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stylesWithEffects.xml" ContentType="application/vnd.ms-word.stylesWithEffects+xml"/>
  <Override PartName="/docProps/app.xml" ContentType="application/vnd.openxmlformats-officedocument.extended-properties+xml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D70" w:rsidRPr="005A0D70" w:rsidRDefault="005A0D70" w:rsidP="005A0D70">
      <w:pPr>
        <w:jc w:val="center"/>
        <w:rPr>
          <w:b/>
        </w:rPr>
      </w:pPr>
      <w:r w:rsidRPr="005A0D70">
        <w:rPr>
          <w:b/>
        </w:rPr>
        <w:t>3 mins = 3 QCMs</w:t>
      </w:r>
    </w:p>
    <w:p w:rsidR="005A0D70" w:rsidRDefault="005A0D70" w:rsidP="005A0D70">
      <w:pPr>
        <w:jc w:val="center"/>
      </w:pPr>
    </w:p>
    <w:tbl>
      <w:tblPr>
        <w:tblStyle w:val="Grille"/>
        <w:tblW w:w="0" w:type="auto"/>
        <w:tblLook w:val="00A0"/>
      </w:tblPr>
      <w:tblGrid>
        <w:gridCol w:w="10338"/>
      </w:tblGrid>
      <w:tr w:rsidR="005A0D70">
        <w:tc>
          <w:tcPr>
            <w:tcW w:w="10338" w:type="dxa"/>
          </w:tcPr>
          <w:p w:rsidR="005A0D70" w:rsidRPr="005A0D70" w:rsidRDefault="005A0D70" w:rsidP="005A0D70">
            <w:pPr>
              <w:rPr>
                <w:sz w:val="22"/>
              </w:rPr>
            </w:pPr>
          </w:p>
          <w:p w:rsidR="005A0D70" w:rsidRPr="007D374B" w:rsidRDefault="005A0D70" w:rsidP="005A0D70">
            <w:pPr>
              <w:rPr>
                <w:b/>
                <w:sz w:val="22"/>
              </w:rPr>
            </w:pPr>
            <w:r w:rsidRPr="007D374B">
              <w:rPr>
                <w:b/>
                <w:sz w:val="22"/>
                <w:u w:val="single"/>
              </w:rPr>
              <w:t>QCM 1 </w:t>
            </w:r>
            <w:r w:rsidRPr="007D374B">
              <w:rPr>
                <w:b/>
                <w:sz w:val="22"/>
              </w:rPr>
              <w:t xml:space="preserve">: </w:t>
            </w:r>
            <w:r w:rsidR="001939FD">
              <w:rPr>
                <w:b/>
                <w:sz w:val="22"/>
              </w:rPr>
              <w:t>Concernant les Centres Régionaux de Pharmacovigilance (CRPV)</w:t>
            </w:r>
          </w:p>
          <w:p w:rsidR="005A0D70" w:rsidRPr="007D374B" w:rsidRDefault="005A0D70" w:rsidP="005A0D70">
            <w:pPr>
              <w:rPr>
                <w:sz w:val="22"/>
              </w:rPr>
            </w:pPr>
          </w:p>
          <w:p w:rsidR="005A0D70" w:rsidRPr="007D374B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 xml:space="preserve">A) </w:t>
            </w:r>
            <w:r w:rsidR="001939FD">
              <w:rPr>
                <w:sz w:val="22"/>
              </w:rPr>
              <w:t>Il existe 31 centres</w:t>
            </w:r>
          </w:p>
          <w:p w:rsidR="005A0D70" w:rsidRPr="007D374B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 xml:space="preserve">B) </w:t>
            </w:r>
            <w:r w:rsidR="001939FD">
              <w:rPr>
                <w:sz w:val="22"/>
              </w:rPr>
              <w:t>Ils ont pour mission de gérer les effets indésirables et les indications de bon usage</w:t>
            </w:r>
          </w:p>
          <w:p w:rsidR="001939FD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 xml:space="preserve">C) </w:t>
            </w:r>
            <w:r w:rsidR="001939FD">
              <w:rPr>
                <w:sz w:val="22"/>
              </w:rPr>
              <w:t>Ce sont des centres d’information sur le médicament pour les patients et les professionnels de santé</w:t>
            </w:r>
          </w:p>
          <w:p w:rsidR="005A0D70" w:rsidRPr="007D374B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 xml:space="preserve">D) </w:t>
            </w:r>
            <w:r w:rsidR="001939FD">
              <w:rPr>
                <w:sz w:val="22"/>
              </w:rPr>
              <w:t>L’industrie pharmaceutique à l’obligation de signaler tout effet indésirable au CRPV</w:t>
            </w:r>
          </w:p>
          <w:p w:rsidR="005A0D70" w:rsidRPr="007D374B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>E) Aucune de ces réponses n’est correcte</w:t>
            </w:r>
          </w:p>
          <w:p w:rsidR="005A0D70" w:rsidRPr="007D374B" w:rsidRDefault="005A0D70" w:rsidP="005A0D70">
            <w:pPr>
              <w:rPr>
                <w:sz w:val="22"/>
              </w:rPr>
            </w:pPr>
          </w:p>
          <w:p w:rsidR="005A0D70" w:rsidRPr="004A1035" w:rsidRDefault="005A0D70" w:rsidP="005A0D70">
            <w:pPr>
              <w:rPr>
                <w:b/>
                <w:sz w:val="22"/>
              </w:rPr>
            </w:pPr>
            <w:r w:rsidRPr="004A1035">
              <w:rPr>
                <w:b/>
                <w:sz w:val="22"/>
                <w:u w:val="single"/>
              </w:rPr>
              <w:t>QCM 2</w:t>
            </w:r>
            <w:r w:rsidRPr="004A1035">
              <w:rPr>
                <w:b/>
                <w:sz w:val="22"/>
              </w:rPr>
              <w:t xml:space="preserve"> :</w:t>
            </w:r>
            <w:r w:rsidR="004A1035" w:rsidRPr="004A1035">
              <w:rPr>
                <w:b/>
                <w:sz w:val="22"/>
              </w:rPr>
              <w:t xml:space="preserve"> </w:t>
            </w:r>
            <w:r w:rsidR="001939FD">
              <w:rPr>
                <w:b/>
                <w:sz w:val="22"/>
              </w:rPr>
              <w:t>Concernant la pharmacovigilance</w:t>
            </w:r>
          </w:p>
          <w:p w:rsidR="005A0D70" w:rsidRPr="007D374B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 xml:space="preserve">A) </w:t>
            </w:r>
            <w:r w:rsidR="001939FD">
              <w:rPr>
                <w:sz w:val="22"/>
              </w:rPr>
              <w:t>Elle a lieu avant, pendant et après l’autorisation de mise sur le marché du médicament</w:t>
            </w:r>
          </w:p>
          <w:p w:rsidR="005A0D70" w:rsidRPr="007D374B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 xml:space="preserve">B) </w:t>
            </w:r>
            <w:r w:rsidR="001939FD">
              <w:rPr>
                <w:sz w:val="22"/>
              </w:rPr>
              <w:t>Elle est définie comme l’ensemble des techniques destinées à identifier, évaluer, prévenir les risques d’effets indésirables des médicaments mis sur le marché</w:t>
            </w:r>
          </w:p>
          <w:p w:rsidR="005A0D70" w:rsidRPr="007D374B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 xml:space="preserve">C) </w:t>
            </w:r>
            <w:r w:rsidR="001939FD">
              <w:rPr>
                <w:sz w:val="22"/>
              </w:rPr>
              <w:t>Son but ultime est d’améliorer le rapport bénéfice/risque des médicaments</w:t>
            </w:r>
          </w:p>
          <w:p w:rsidR="005A0D70" w:rsidRPr="007D374B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 xml:space="preserve">D) </w:t>
            </w:r>
            <w:r w:rsidR="001939FD">
              <w:rPr>
                <w:sz w:val="22"/>
              </w:rPr>
              <w:t>Elle a été mise en place en 1970</w:t>
            </w:r>
          </w:p>
          <w:p w:rsidR="005A0D70" w:rsidRPr="007D374B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>E) Aucune de ces réponses n’est correcte</w:t>
            </w:r>
          </w:p>
          <w:p w:rsidR="005A0D70" w:rsidRPr="007D374B" w:rsidRDefault="005A0D70" w:rsidP="005A0D70">
            <w:pPr>
              <w:rPr>
                <w:sz w:val="22"/>
              </w:rPr>
            </w:pPr>
          </w:p>
          <w:p w:rsidR="00C56FB8" w:rsidRDefault="005A0D70" w:rsidP="00C56FB8">
            <w:pPr>
              <w:rPr>
                <w:b/>
                <w:sz w:val="22"/>
              </w:rPr>
            </w:pPr>
            <w:r w:rsidRPr="007D374B">
              <w:rPr>
                <w:b/>
                <w:sz w:val="22"/>
                <w:u w:val="single"/>
              </w:rPr>
              <w:t>QCM 3</w:t>
            </w:r>
            <w:r w:rsidRPr="007D374B">
              <w:rPr>
                <w:b/>
                <w:sz w:val="22"/>
              </w:rPr>
              <w:t xml:space="preserve"> : </w:t>
            </w:r>
            <w:r w:rsidR="00C56FB8">
              <w:rPr>
                <w:b/>
                <w:sz w:val="22"/>
              </w:rPr>
              <w:t xml:space="preserve">A propos des effets indésirables </w:t>
            </w:r>
          </w:p>
          <w:p w:rsidR="00C56FB8" w:rsidRPr="00C56FB8" w:rsidRDefault="00C56FB8" w:rsidP="00C56FB8">
            <w:pPr>
              <w:rPr>
                <w:sz w:val="22"/>
              </w:rPr>
            </w:pPr>
            <w:r w:rsidRPr="00C56FB8">
              <w:rPr>
                <w:sz w:val="22"/>
              </w:rPr>
              <w:t>A)</w:t>
            </w:r>
            <w:r>
              <w:rPr>
                <w:sz w:val="22"/>
              </w:rPr>
              <w:t xml:space="preserve"> C’est une réaction</w:t>
            </w:r>
            <w:r w:rsidRPr="00C56FB8">
              <w:rPr>
                <w:sz w:val="22"/>
              </w:rPr>
              <w:t xml:space="preserve"> nocive et non voulue se produisant lors de la prise d’un médicament utilisé dans des conditions normale</w:t>
            </w:r>
          </w:p>
          <w:p w:rsidR="00C56FB8" w:rsidRPr="00C56FB8" w:rsidRDefault="00C56FB8" w:rsidP="00C56FB8">
            <w:pPr>
              <w:rPr>
                <w:sz w:val="22"/>
              </w:rPr>
            </w:pPr>
            <w:r w:rsidRPr="00C56FB8">
              <w:rPr>
                <w:sz w:val="22"/>
              </w:rPr>
              <w:t>B)</w:t>
            </w:r>
            <w:r>
              <w:rPr>
                <w:sz w:val="22"/>
              </w:rPr>
              <w:t xml:space="preserve"> Les effets indésirables incluent les intoxication aigue volontaire</w:t>
            </w:r>
          </w:p>
          <w:p w:rsidR="00C56FB8" w:rsidRPr="00C56FB8" w:rsidRDefault="00C56FB8" w:rsidP="00C56FB8">
            <w:pPr>
              <w:rPr>
                <w:sz w:val="22"/>
              </w:rPr>
            </w:pPr>
            <w:r w:rsidRPr="00C56FB8">
              <w:rPr>
                <w:sz w:val="22"/>
              </w:rPr>
              <w:t>C)</w:t>
            </w:r>
            <w:r>
              <w:rPr>
                <w:sz w:val="22"/>
              </w:rPr>
              <w:t xml:space="preserve"> Un effet indésirable et considéré grave s’il entraine une prolongation d’hospitalisation</w:t>
            </w:r>
          </w:p>
          <w:p w:rsidR="00C56FB8" w:rsidRPr="00C56FB8" w:rsidRDefault="00C56FB8" w:rsidP="00C56FB8">
            <w:pPr>
              <w:rPr>
                <w:sz w:val="22"/>
              </w:rPr>
            </w:pPr>
            <w:r w:rsidRPr="00C56FB8">
              <w:rPr>
                <w:sz w:val="22"/>
              </w:rPr>
              <w:t>D)</w:t>
            </w:r>
            <w:r>
              <w:rPr>
                <w:sz w:val="22"/>
              </w:rPr>
              <w:t xml:space="preserve"> Les effets indésirables de type B sont expliqués par la pharmacodynamique de la molécule</w:t>
            </w:r>
          </w:p>
          <w:p w:rsidR="00C56FB8" w:rsidRPr="007D374B" w:rsidRDefault="00C56FB8" w:rsidP="00C56FB8">
            <w:pPr>
              <w:rPr>
                <w:sz w:val="22"/>
              </w:rPr>
            </w:pPr>
            <w:r w:rsidRPr="007D374B">
              <w:rPr>
                <w:sz w:val="22"/>
              </w:rPr>
              <w:t>E) Aucune de ces réponses n’est correcte</w:t>
            </w:r>
          </w:p>
          <w:p w:rsidR="00C56FB8" w:rsidRPr="007D374B" w:rsidRDefault="00C56FB8" w:rsidP="00C56FB8">
            <w:pPr>
              <w:rPr>
                <w:sz w:val="22"/>
              </w:rPr>
            </w:pPr>
          </w:p>
          <w:p w:rsidR="005A0D70" w:rsidRPr="00C56FB8" w:rsidRDefault="005A0D70" w:rsidP="00C56FB8">
            <w:pPr>
              <w:rPr>
                <w:b/>
                <w:sz w:val="22"/>
              </w:rPr>
            </w:pPr>
          </w:p>
        </w:tc>
      </w:tr>
    </w:tbl>
    <w:p w:rsidR="005A0D70" w:rsidRDefault="005A0D70" w:rsidP="005A0D70">
      <w:pPr>
        <w:jc w:val="center"/>
      </w:pPr>
    </w:p>
    <w:p w:rsidR="005A0D70" w:rsidRDefault="005A0D70" w:rsidP="005A0D70">
      <w:pPr>
        <w:jc w:val="center"/>
      </w:pPr>
    </w:p>
    <w:p w:rsidR="005A0D70" w:rsidRPr="005A0D70" w:rsidRDefault="005A0D70" w:rsidP="005A0D70">
      <w:pPr>
        <w:rPr>
          <w:i/>
        </w:rPr>
      </w:pPr>
      <w:r w:rsidRPr="005A0D70">
        <w:rPr>
          <w:i/>
        </w:rPr>
        <w:t>Correction :</w:t>
      </w:r>
    </w:p>
    <w:p w:rsidR="005A0D70" w:rsidRDefault="005A0D70" w:rsidP="005A0D70"/>
    <w:p w:rsidR="005A0D70" w:rsidRPr="005A0D70" w:rsidRDefault="005A0D70" w:rsidP="005A0D70">
      <w:pPr>
        <w:rPr>
          <w:sz w:val="22"/>
        </w:rPr>
      </w:pPr>
      <w:r w:rsidRPr="005A0D70">
        <w:rPr>
          <w:sz w:val="22"/>
        </w:rPr>
        <w:t>QCM1 :</w:t>
      </w:r>
      <w:r w:rsidR="007D374B">
        <w:rPr>
          <w:sz w:val="22"/>
        </w:rPr>
        <w:t xml:space="preserve"> Réponses </w:t>
      </w:r>
      <w:r w:rsidR="00E80AAF">
        <w:rPr>
          <w:sz w:val="22"/>
        </w:rPr>
        <w:t xml:space="preserve">A, </w:t>
      </w:r>
      <w:r w:rsidR="001939FD">
        <w:rPr>
          <w:sz w:val="22"/>
        </w:rPr>
        <w:t>B</w:t>
      </w:r>
    </w:p>
    <w:p w:rsidR="007D374B" w:rsidRDefault="001939FD" w:rsidP="00677D44">
      <w:pPr>
        <w:rPr>
          <w:sz w:val="22"/>
        </w:rPr>
      </w:pPr>
      <w:r>
        <w:rPr>
          <w:sz w:val="22"/>
        </w:rPr>
        <w:t>C</w:t>
      </w:r>
      <w:r w:rsidR="00677D44" w:rsidRPr="00677D44">
        <w:rPr>
          <w:sz w:val="22"/>
        </w:rPr>
        <w:t>)</w:t>
      </w:r>
      <w:r w:rsidR="00677D44">
        <w:rPr>
          <w:sz w:val="22"/>
        </w:rPr>
        <w:t xml:space="preserve"> </w:t>
      </w:r>
      <w:r w:rsidR="00677D44" w:rsidRPr="00677D44">
        <w:rPr>
          <w:sz w:val="22"/>
        </w:rPr>
        <w:t>Faux :</w:t>
      </w:r>
      <w:r w:rsidR="00677D44">
        <w:rPr>
          <w:sz w:val="22"/>
        </w:rPr>
        <w:t xml:space="preserve"> </w:t>
      </w:r>
      <w:r>
        <w:rPr>
          <w:sz w:val="22"/>
        </w:rPr>
        <w:t>Pas pour les patients !! mais pour les médecins et les professionnels de santé</w:t>
      </w:r>
    </w:p>
    <w:p w:rsidR="00F06C9A" w:rsidRPr="00677D44" w:rsidRDefault="00F06C9A" w:rsidP="00677D44">
      <w:pPr>
        <w:rPr>
          <w:sz w:val="22"/>
        </w:rPr>
      </w:pPr>
      <w:r>
        <w:rPr>
          <w:sz w:val="22"/>
        </w:rPr>
        <w:t>D) Faux :</w:t>
      </w:r>
      <w:r w:rsidR="001939FD">
        <w:rPr>
          <w:sz w:val="22"/>
        </w:rPr>
        <w:t xml:space="preserve"> il doit signaler les effets indésirables directement à l’ANSM </w:t>
      </w:r>
    </w:p>
    <w:p w:rsidR="005A0D70" w:rsidRPr="005A0D70" w:rsidRDefault="005A0D70" w:rsidP="005A0D70">
      <w:pPr>
        <w:rPr>
          <w:sz w:val="22"/>
        </w:rPr>
      </w:pPr>
    </w:p>
    <w:p w:rsidR="005A0D70" w:rsidRDefault="005A0D70" w:rsidP="00677D44">
      <w:pPr>
        <w:jc w:val="both"/>
        <w:rPr>
          <w:rFonts w:eastAsia="Times New Roman" w:cs="Arial"/>
          <w:sz w:val="22"/>
          <w:szCs w:val="20"/>
        </w:rPr>
      </w:pPr>
      <w:r>
        <w:rPr>
          <w:sz w:val="22"/>
        </w:rPr>
        <w:t xml:space="preserve">QCM2 </w:t>
      </w:r>
      <w:r w:rsidRPr="005A0D70">
        <w:rPr>
          <w:sz w:val="22"/>
        </w:rPr>
        <w:t xml:space="preserve">: </w:t>
      </w:r>
      <w:r w:rsidRPr="005A0D70">
        <w:rPr>
          <w:rFonts w:eastAsia="Times New Roman" w:cs="Arial"/>
          <w:sz w:val="22"/>
          <w:szCs w:val="20"/>
        </w:rPr>
        <w:t xml:space="preserve">Réponses </w:t>
      </w:r>
      <w:r w:rsidR="001939FD">
        <w:rPr>
          <w:rFonts w:eastAsia="Times New Roman" w:cs="Arial"/>
          <w:sz w:val="22"/>
          <w:szCs w:val="20"/>
        </w:rPr>
        <w:t>B, C, D</w:t>
      </w:r>
    </w:p>
    <w:p w:rsidR="004A1035" w:rsidRDefault="00677D44" w:rsidP="001939FD">
      <w:pPr>
        <w:jc w:val="both"/>
        <w:rPr>
          <w:rFonts w:eastAsia="Times New Roman" w:cs="Arial"/>
          <w:sz w:val="22"/>
          <w:szCs w:val="20"/>
        </w:rPr>
      </w:pPr>
      <w:r w:rsidRPr="00677D44">
        <w:rPr>
          <w:rFonts w:eastAsia="Times New Roman" w:cs="Arial"/>
          <w:sz w:val="22"/>
          <w:szCs w:val="20"/>
        </w:rPr>
        <w:t>A)</w:t>
      </w:r>
      <w:r>
        <w:rPr>
          <w:rFonts w:eastAsia="Times New Roman" w:cs="Arial"/>
          <w:sz w:val="22"/>
          <w:szCs w:val="20"/>
        </w:rPr>
        <w:t xml:space="preserve"> </w:t>
      </w:r>
      <w:r w:rsidR="007E29CE">
        <w:rPr>
          <w:rFonts w:eastAsia="Times New Roman" w:cs="Arial"/>
          <w:sz w:val="22"/>
          <w:szCs w:val="20"/>
        </w:rPr>
        <w:t xml:space="preserve">Faux : </w:t>
      </w:r>
      <w:r w:rsidR="001939FD">
        <w:rPr>
          <w:rFonts w:eastAsia="Times New Roman" w:cs="Arial"/>
          <w:sz w:val="22"/>
          <w:szCs w:val="20"/>
        </w:rPr>
        <w:t>seulement APRES l’AMM</w:t>
      </w:r>
      <w:bookmarkStart w:id="0" w:name="_GoBack"/>
      <w:bookmarkEnd w:id="0"/>
    </w:p>
    <w:p w:rsidR="00677D44" w:rsidRPr="00677D44" w:rsidRDefault="00677D44" w:rsidP="00677D44">
      <w:pPr>
        <w:jc w:val="both"/>
        <w:rPr>
          <w:rFonts w:eastAsia="Times New Roman" w:cs="Arial"/>
          <w:sz w:val="22"/>
          <w:szCs w:val="20"/>
        </w:rPr>
      </w:pPr>
    </w:p>
    <w:p w:rsidR="005A0D70" w:rsidRDefault="005A0D70" w:rsidP="00677D44">
      <w:pPr>
        <w:jc w:val="both"/>
        <w:rPr>
          <w:rFonts w:eastAsia="Times New Roman" w:cs="Arial"/>
          <w:sz w:val="22"/>
          <w:szCs w:val="20"/>
        </w:rPr>
      </w:pPr>
      <w:r>
        <w:rPr>
          <w:rFonts w:eastAsia="Times New Roman" w:cs="Arial"/>
          <w:sz w:val="22"/>
          <w:szCs w:val="20"/>
        </w:rPr>
        <w:t>QCM3 : Réponses</w:t>
      </w:r>
      <w:r w:rsidRPr="005A0D70">
        <w:rPr>
          <w:rFonts w:eastAsia="Times New Roman" w:cs="Arial"/>
          <w:sz w:val="22"/>
          <w:szCs w:val="20"/>
        </w:rPr>
        <w:t xml:space="preserve"> </w:t>
      </w:r>
      <w:r w:rsidR="00C56FB8">
        <w:rPr>
          <w:rFonts w:eastAsia="Times New Roman" w:cs="Arial"/>
          <w:sz w:val="22"/>
          <w:szCs w:val="20"/>
        </w:rPr>
        <w:t xml:space="preserve"> A, C</w:t>
      </w:r>
    </w:p>
    <w:p w:rsidR="00D1208A" w:rsidRDefault="00C56FB8" w:rsidP="00D1208A">
      <w:pPr>
        <w:jc w:val="both"/>
        <w:rPr>
          <w:rFonts w:eastAsia="Times New Roman" w:cs="Arial"/>
          <w:sz w:val="22"/>
          <w:szCs w:val="20"/>
        </w:rPr>
      </w:pPr>
      <w:r>
        <w:rPr>
          <w:rFonts w:eastAsia="Times New Roman" w:cs="Arial"/>
          <w:sz w:val="22"/>
          <w:szCs w:val="20"/>
        </w:rPr>
        <w:t>B</w:t>
      </w:r>
      <w:r w:rsidR="00D1208A" w:rsidRPr="00D1208A">
        <w:rPr>
          <w:rFonts w:eastAsia="Times New Roman" w:cs="Arial"/>
          <w:sz w:val="22"/>
          <w:szCs w:val="20"/>
        </w:rPr>
        <w:t>)</w:t>
      </w:r>
      <w:r w:rsidR="00D1208A">
        <w:rPr>
          <w:rFonts w:eastAsia="Times New Roman" w:cs="Arial"/>
          <w:sz w:val="22"/>
          <w:szCs w:val="20"/>
        </w:rPr>
        <w:t xml:space="preserve"> </w:t>
      </w:r>
      <w:r w:rsidR="00D1208A" w:rsidRPr="00D1208A">
        <w:rPr>
          <w:rFonts w:eastAsia="Times New Roman" w:cs="Arial"/>
          <w:sz w:val="22"/>
          <w:szCs w:val="20"/>
        </w:rPr>
        <w:t xml:space="preserve">Faux : </w:t>
      </w:r>
      <w:r>
        <w:rPr>
          <w:rFonts w:eastAsia="Times New Roman" w:cs="Arial"/>
          <w:sz w:val="22"/>
          <w:szCs w:val="20"/>
        </w:rPr>
        <w:t>Car A juste :p</w:t>
      </w:r>
      <w:r w:rsidR="00D1208A">
        <w:rPr>
          <w:rFonts w:eastAsia="Times New Roman" w:cs="Arial"/>
          <w:sz w:val="22"/>
          <w:szCs w:val="20"/>
        </w:rPr>
        <w:t> </w:t>
      </w:r>
      <w:r>
        <w:rPr>
          <w:rFonts w:eastAsia="Times New Roman" w:cs="Arial"/>
          <w:sz w:val="22"/>
          <w:szCs w:val="20"/>
        </w:rPr>
        <w:t>(intoxication volontaire non prises en compte ^^)</w:t>
      </w:r>
    </w:p>
    <w:p w:rsidR="00D1208A" w:rsidRPr="00D1208A" w:rsidRDefault="00D1208A" w:rsidP="00D1208A">
      <w:pPr>
        <w:jc w:val="both"/>
        <w:rPr>
          <w:rFonts w:eastAsia="Times New Roman" w:cs="Arial"/>
          <w:sz w:val="22"/>
          <w:szCs w:val="20"/>
        </w:rPr>
      </w:pPr>
      <w:r>
        <w:rPr>
          <w:rFonts w:eastAsia="Times New Roman" w:cs="Arial"/>
          <w:sz w:val="22"/>
          <w:szCs w:val="20"/>
        </w:rPr>
        <w:t xml:space="preserve">D) </w:t>
      </w:r>
      <w:r w:rsidR="00C56FB8">
        <w:rPr>
          <w:rFonts w:eastAsia="Times New Roman" w:cs="Arial"/>
          <w:sz w:val="22"/>
          <w:szCs w:val="20"/>
        </w:rPr>
        <w:t>Faux : non c’est le cas des A (comme « attendu » donc « expliqué !)</w:t>
      </w:r>
    </w:p>
    <w:p w:rsidR="005A0D70" w:rsidRPr="005A0D70" w:rsidRDefault="005A0D70" w:rsidP="005A0D70">
      <w:pPr>
        <w:jc w:val="both"/>
        <w:rPr>
          <w:rFonts w:eastAsia="Times New Roman" w:cs="Arial"/>
          <w:sz w:val="22"/>
          <w:szCs w:val="20"/>
        </w:rPr>
      </w:pPr>
    </w:p>
    <w:p w:rsidR="005A0D70" w:rsidRDefault="005A0D70" w:rsidP="005A0D70"/>
    <w:sectPr w:rsidR="005A0D70" w:rsidSect="005A0D70">
      <w:pgSz w:w="11900" w:h="16840"/>
      <w:pgMar w:top="851" w:right="851" w:bottom="851" w:left="851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A6D1B"/>
    <w:multiLevelType w:val="hybridMultilevel"/>
    <w:tmpl w:val="397CBFE8"/>
    <w:lvl w:ilvl="0" w:tplc="39723F7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E2500B"/>
    <w:multiLevelType w:val="hybridMultilevel"/>
    <w:tmpl w:val="0194FB8E"/>
    <w:lvl w:ilvl="0" w:tplc="D23A794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8B55CC"/>
    <w:multiLevelType w:val="hybridMultilevel"/>
    <w:tmpl w:val="EFD44BF4"/>
    <w:lvl w:ilvl="0" w:tplc="2750A96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</w:compat>
  <w:rsids>
    <w:rsidRoot w:val="005A0D70"/>
    <w:rsid w:val="001939FD"/>
    <w:rsid w:val="003B772C"/>
    <w:rsid w:val="004A1035"/>
    <w:rsid w:val="005A0D70"/>
    <w:rsid w:val="0064071B"/>
    <w:rsid w:val="00677D44"/>
    <w:rsid w:val="007D374B"/>
    <w:rsid w:val="007E29CE"/>
    <w:rsid w:val="008A0389"/>
    <w:rsid w:val="00C56FB8"/>
    <w:rsid w:val="00D1208A"/>
    <w:rsid w:val="00E80AAF"/>
    <w:rsid w:val="00F06C9A"/>
  </w:rsids>
  <m:mathPr>
    <m:mathFont m:val="Impact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642C85"/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table" w:styleId="Grille">
    <w:name w:val="Table Grid"/>
    <w:basedOn w:val="TableauNormal"/>
    <w:uiPriority w:val="59"/>
    <w:rsid w:val="005A0D7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rsid w:val="00677D4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7" Type="http://schemas.microsoft.com/office/2007/relationships/stylesWithEffects" Target="stylesWithEffects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257</Words>
  <Characters>1467</Characters>
  <Application>Microsoft Macintosh Word</Application>
  <DocSecurity>0</DocSecurity>
  <Lines>12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Faculté de Medecine de Nice</Company>
  <LinksUpToDate>false</LinksUpToDate>
  <CharactersWithSpaces>1801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Nicolas Maugars</dc:creator>
  <cp:keywords/>
  <cp:lastModifiedBy>Nicolas Maugars</cp:lastModifiedBy>
  <cp:revision>9</cp:revision>
  <dcterms:created xsi:type="dcterms:W3CDTF">2013-02-23T22:27:00Z</dcterms:created>
  <dcterms:modified xsi:type="dcterms:W3CDTF">2013-03-09T20:23:00Z</dcterms:modified>
</cp:coreProperties>
</file>