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14223" w:type="dxa"/>
        <w:tblInd w:w="-176" w:type="dxa"/>
        <w:tblLayout w:type="fixed"/>
        <w:tblLook w:val="04A0"/>
      </w:tblPr>
      <w:tblGrid>
        <w:gridCol w:w="1402"/>
        <w:gridCol w:w="1408"/>
        <w:gridCol w:w="7395"/>
        <w:gridCol w:w="1312"/>
        <w:gridCol w:w="2706"/>
      </w:tblGrid>
      <w:tr w:rsidR="00D334BD" w:rsidTr="00D334BD">
        <w:tc>
          <w:tcPr>
            <w:tcW w:w="1402" w:type="dxa"/>
          </w:tcPr>
          <w:p w:rsidR="00D334BD" w:rsidRPr="00D334BD" w:rsidRDefault="00D334BD">
            <w:pPr>
              <w:rPr>
                <w:b/>
                <w:color w:val="943634" w:themeColor="accent2" w:themeShade="BF"/>
              </w:rPr>
            </w:pPr>
            <w:r w:rsidRPr="00D334BD">
              <w:rPr>
                <w:b/>
                <w:color w:val="943634" w:themeColor="accent2" w:themeShade="BF"/>
              </w:rPr>
              <w:t>Type de carcinome</w:t>
            </w:r>
          </w:p>
        </w:tc>
        <w:tc>
          <w:tcPr>
            <w:tcW w:w="1408" w:type="dxa"/>
          </w:tcPr>
          <w:p w:rsidR="00D334BD" w:rsidRPr="00D334BD" w:rsidRDefault="00D334BD">
            <w:pPr>
              <w:rPr>
                <w:b/>
                <w:color w:val="943634" w:themeColor="accent2" w:themeShade="BF"/>
              </w:rPr>
            </w:pPr>
            <w:r w:rsidRPr="00D334BD">
              <w:rPr>
                <w:b/>
                <w:color w:val="943634" w:themeColor="accent2" w:themeShade="BF"/>
              </w:rPr>
              <w:t xml:space="preserve">Mutation </w:t>
            </w:r>
          </w:p>
        </w:tc>
        <w:tc>
          <w:tcPr>
            <w:tcW w:w="7395" w:type="dxa"/>
          </w:tcPr>
          <w:p w:rsidR="00D334BD" w:rsidRPr="00D334BD" w:rsidRDefault="00D334BD">
            <w:pPr>
              <w:rPr>
                <w:b/>
                <w:color w:val="943634" w:themeColor="accent2" w:themeShade="BF"/>
              </w:rPr>
            </w:pPr>
            <w:r w:rsidRPr="00D334BD">
              <w:rPr>
                <w:b/>
                <w:color w:val="943634" w:themeColor="accent2" w:themeShade="BF"/>
              </w:rPr>
              <w:t xml:space="preserve">Conséquence de cette mutation </w:t>
            </w:r>
          </w:p>
        </w:tc>
        <w:tc>
          <w:tcPr>
            <w:tcW w:w="1312" w:type="dxa"/>
          </w:tcPr>
          <w:p w:rsidR="00D334BD" w:rsidRPr="00D334BD" w:rsidRDefault="00D334BD">
            <w:pPr>
              <w:rPr>
                <w:b/>
                <w:color w:val="943634" w:themeColor="accent2" w:themeShade="BF"/>
              </w:rPr>
            </w:pPr>
            <w:r w:rsidRPr="00D334BD">
              <w:rPr>
                <w:b/>
                <w:color w:val="943634" w:themeColor="accent2" w:themeShade="BF"/>
              </w:rPr>
              <w:t xml:space="preserve">Valeur pronostic </w:t>
            </w:r>
          </w:p>
        </w:tc>
        <w:tc>
          <w:tcPr>
            <w:tcW w:w="2706" w:type="dxa"/>
          </w:tcPr>
          <w:p w:rsidR="00D334BD" w:rsidRPr="00D334BD" w:rsidRDefault="00D334BD">
            <w:pPr>
              <w:rPr>
                <w:b/>
                <w:color w:val="943634" w:themeColor="accent2" w:themeShade="BF"/>
              </w:rPr>
            </w:pPr>
            <w:r w:rsidRPr="00D334BD">
              <w:rPr>
                <w:b/>
                <w:color w:val="943634" w:themeColor="accent2" w:themeShade="BF"/>
              </w:rPr>
              <w:t xml:space="preserve">Valeur prédictive de la réponse aux traitements </w:t>
            </w:r>
          </w:p>
        </w:tc>
      </w:tr>
      <w:tr w:rsidR="00D334BD" w:rsidTr="00D334BD">
        <w:trPr>
          <w:trHeight w:val="8371"/>
        </w:trPr>
        <w:tc>
          <w:tcPr>
            <w:tcW w:w="1402" w:type="dxa"/>
          </w:tcPr>
          <w:p w:rsidR="00D334BD" w:rsidRPr="00D334BD" w:rsidRDefault="00D334BD">
            <w:pPr>
              <w:rPr>
                <w:b/>
                <w:color w:val="76923C" w:themeColor="accent3" w:themeShade="BF"/>
                <w:sz w:val="24"/>
              </w:rPr>
            </w:pPr>
            <w:r w:rsidRPr="00D334BD">
              <w:rPr>
                <w:b/>
                <w:color w:val="76923C" w:themeColor="accent3" w:themeShade="BF"/>
                <w:sz w:val="24"/>
              </w:rPr>
              <w:t>Cancer de la thyroïde</w:t>
            </w:r>
          </w:p>
          <w:p w:rsidR="00D334BD" w:rsidRDefault="00D334BD"/>
          <w:p w:rsidR="00D334BD" w:rsidRPr="00D334BD" w:rsidRDefault="00D334BD">
            <w:pPr>
              <w:rPr>
                <w:i/>
                <w:color w:val="A6A6A6" w:themeColor="background1" w:themeShade="A6"/>
              </w:rPr>
            </w:pPr>
            <w:r w:rsidRPr="00D334BD">
              <w:rPr>
                <w:i/>
                <w:color w:val="A6A6A6" w:themeColor="background1" w:themeShade="A6"/>
              </w:rPr>
              <w:t>Caryotype simple</w:t>
            </w:r>
          </w:p>
        </w:tc>
        <w:tc>
          <w:tcPr>
            <w:tcW w:w="1408" w:type="dxa"/>
          </w:tcPr>
          <w:p w:rsidR="00D334BD" w:rsidRDefault="00D334BD">
            <w:r>
              <w:t xml:space="preserve">Fusion </w:t>
            </w:r>
            <w:r w:rsidRPr="00FF3414">
              <w:rPr>
                <w:b/>
                <w:color w:val="E36C0A" w:themeColor="accent6" w:themeShade="BF"/>
              </w:rPr>
              <w:t>RET/PTC</w:t>
            </w:r>
          </w:p>
          <w:p w:rsidR="00D334BD" w:rsidRDefault="00D334BD"/>
          <w:p w:rsidR="00D334BD" w:rsidRDefault="00D334BD"/>
          <w:p w:rsidR="00D334BD" w:rsidRPr="00E85695" w:rsidRDefault="00D334BD" w:rsidP="00E85695"/>
          <w:p w:rsidR="00D334BD" w:rsidRPr="00E85695" w:rsidRDefault="00D334BD" w:rsidP="00E85695"/>
          <w:p w:rsidR="00D334BD" w:rsidRPr="00E85695" w:rsidRDefault="00D334BD" w:rsidP="00E85695"/>
          <w:p w:rsidR="00D334BD" w:rsidRPr="00E85695" w:rsidRDefault="00D334BD" w:rsidP="00E85695"/>
          <w:p w:rsidR="00D334BD" w:rsidRDefault="00D334BD" w:rsidP="00E85695"/>
          <w:p w:rsidR="00D334BD" w:rsidRPr="00E85695" w:rsidRDefault="00D334BD" w:rsidP="00E85695"/>
          <w:p w:rsidR="00D334BD" w:rsidRDefault="00D334BD" w:rsidP="00E85695"/>
          <w:p w:rsidR="00D334BD" w:rsidRDefault="00D334BD" w:rsidP="00E85695"/>
          <w:p w:rsidR="00D334BD" w:rsidRDefault="00D334BD" w:rsidP="00E85695"/>
          <w:p w:rsidR="00D334BD" w:rsidRDefault="00D334BD" w:rsidP="00E85695"/>
          <w:p w:rsidR="00D334BD" w:rsidRDefault="00D334BD" w:rsidP="00E85695"/>
          <w:p w:rsidR="00D334BD" w:rsidRPr="00E85695" w:rsidRDefault="00D334BD" w:rsidP="00E85695">
            <w:r>
              <w:t xml:space="preserve">Fusion </w:t>
            </w:r>
            <w:r w:rsidRPr="00FF3414">
              <w:rPr>
                <w:b/>
                <w:color w:val="E36C0A" w:themeColor="accent6" w:themeShade="BF"/>
              </w:rPr>
              <w:t>BRAF/AKAP9</w:t>
            </w:r>
          </w:p>
        </w:tc>
        <w:tc>
          <w:tcPr>
            <w:tcW w:w="7395" w:type="dxa"/>
          </w:tcPr>
          <w:p w:rsidR="00D334BD" w:rsidRPr="00E85695" w:rsidRDefault="00D334BD">
            <w:pPr>
              <w:rPr>
                <w:b/>
              </w:rPr>
            </w:pPr>
            <w:r w:rsidRPr="00E85695">
              <w:rPr>
                <w:b/>
              </w:rPr>
              <w:t xml:space="preserve">Activation constitutionnelle de </w:t>
            </w:r>
            <w:r w:rsidRPr="00FF3414">
              <w:rPr>
                <w:b/>
                <w:color w:val="E36C0A" w:themeColor="accent6" w:themeShade="BF"/>
                <w:sz w:val="24"/>
              </w:rPr>
              <w:t>RET</w:t>
            </w:r>
            <w:r w:rsidRPr="00FF3414">
              <w:rPr>
                <w:b/>
                <w:sz w:val="24"/>
              </w:rPr>
              <w:t xml:space="preserve"> </w:t>
            </w:r>
            <w:r>
              <w:rPr>
                <w:b/>
              </w:rPr>
              <w:t>(</w:t>
            </w:r>
            <w:r w:rsidRPr="00FF3414">
              <w:rPr>
                <w:b/>
                <w:color w:val="548DD4" w:themeColor="text2" w:themeTint="99"/>
              </w:rPr>
              <w:t>activité tyrosine kinase</w:t>
            </w:r>
            <w:r>
              <w:rPr>
                <w:b/>
              </w:rPr>
              <w:t>)</w:t>
            </w:r>
          </w:p>
          <w:p w:rsidR="00D334BD" w:rsidRDefault="00D334BD"/>
          <w:p w:rsidR="00D334BD" w:rsidRDefault="00D334BD" w:rsidP="00FF3414"/>
          <w:p w:rsidR="00D334BD" w:rsidRDefault="00D334BD" w:rsidP="00FF3414">
            <w:pPr>
              <w:ind w:left="360"/>
            </w:pPr>
          </w:p>
          <w:p w:rsidR="00D334BD" w:rsidRDefault="00D334BD" w:rsidP="00FF3414">
            <w:pPr>
              <w:ind w:left="360"/>
            </w:pPr>
          </w:p>
          <w:p w:rsidR="00D334BD" w:rsidRDefault="00D334BD" w:rsidP="00FF3414">
            <w:pPr>
              <w:ind w:left="360"/>
            </w:pPr>
          </w:p>
          <w:p w:rsidR="00D334BD" w:rsidRDefault="00D334BD" w:rsidP="00FF3414">
            <w:pPr>
              <w:ind w:left="360"/>
            </w:pPr>
          </w:p>
          <w:p w:rsidR="00D334BD" w:rsidRDefault="00D334BD" w:rsidP="00FF3414">
            <w:pPr>
              <w:pStyle w:val="Paragraphedeliste"/>
            </w:pPr>
          </w:p>
          <w:p w:rsidR="00D334BD" w:rsidRDefault="00D334BD" w:rsidP="00FF3414"/>
          <w:p w:rsidR="00D334BD" w:rsidRDefault="00D334BD" w:rsidP="00FF3414">
            <w:pPr>
              <w:pStyle w:val="Paragraphedeliste"/>
            </w:pPr>
          </w:p>
          <w:p w:rsidR="00D334BD" w:rsidRDefault="00D334BD" w:rsidP="00FF3414">
            <w:pPr>
              <w:pStyle w:val="Paragraphedeliste"/>
            </w:pPr>
          </w:p>
          <w:p w:rsidR="00D334BD" w:rsidRDefault="00D334BD" w:rsidP="00FF3414">
            <w:pPr>
              <w:pStyle w:val="Paragraphedeliste"/>
            </w:pPr>
          </w:p>
          <w:p w:rsidR="00D334BD" w:rsidRDefault="00D334BD" w:rsidP="00FF3414">
            <w:pPr>
              <w:pStyle w:val="Paragraphedeliste"/>
            </w:pPr>
          </w:p>
          <w:p w:rsidR="00D334BD" w:rsidRDefault="00D334BD" w:rsidP="00FF3414">
            <w:pPr>
              <w:pStyle w:val="Paragraphedeliste"/>
            </w:pPr>
          </w:p>
          <w:p w:rsidR="00D334BD" w:rsidRDefault="00D334BD" w:rsidP="00E85695">
            <w:pPr>
              <w:pStyle w:val="Paragraphedeliste"/>
              <w:numPr>
                <w:ilvl w:val="0"/>
                <w:numId w:val="1"/>
              </w:numPr>
            </w:pPr>
            <w:r>
              <w:t xml:space="preserve">Favorise la </w:t>
            </w:r>
            <w:r w:rsidRPr="00FF3414">
              <w:rPr>
                <w:b/>
                <w:color w:val="FF0000"/>
                <w:sz w:val="24"/>
              </w:rPr>
              <w:t>prolifération et la survie cellulaire</w:t>
            </w:r>
            <w:r w:rsidRPr="00FF3414">
              <w:rPr>
                <w:sz w:val="24"/>
              </w:rPr>
              <w:t xml:space="preserve"> </w:t>
            </w:r>
          </w:p>
          <w:p w:rsidR="00D334BD" w:rsidRPr="00FF3414" w:rsidRDefault="00D334BD" w:rsidP="00E85695">
            <w:pPr>
              <w:rPr>
                <w:b/>
              </w:rPr>
            </w:pPr>
            <w:r w:rsidRPr="00FF3414">
              <w:rPr>
                <w:b/>
                <w:noProof/>
                <w:lang w:eastAsia="fr-FR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margin">
                    <wp:posOffset>231775</wp:posOffset>
                  </wp:positionH>
                  <wp:positionV relativeFrom="margin">
                    <wp:posOffset>509905</wp:posOffset>
                  </wp:positionV>
                  <wp:extent cx="3812540" cy="1774190"/>
                  <wp:effectExtent l="19050" t="0" r="0" b="0"/>
                  <wp:wrapSquare wrapText="bothSides"/>
                  <wp:docPr id="3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2540" cy="177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F3414">
              <w:rPr>
                <w:b/>
              </w:rPr>
              <w:t xml:space="preserve">Activation constitutive de </w:t>
            </w:r>
            <w:r w:rsidRPr="00FF3414">
              <w:rPr>
                <w:b/>
                <w:color w:val="E36C0A" w:themeColor="accent6" w:themeShade="BF"/>
                <w:sz w:val="24"/>
              </w:rPr>
              <w:t>BRAF</w:t>
            </w:r>
            <w:r w:rsidRPr="00FF3414">
              <w:rPr>
                <w:b/>
              </w:rPr>
              <w:t xml:space="preserve"> (</w:t>
            </w:r>
            <w:r w:rsidRPr="00FF3414">
              <w:rPr>
                <w:b/>
                <w:color w:val="548DD4" w:themeColor="text2" w:themeTint="99"/>
              </w:rPr>
              <w:t>activité tyrosine kinase</w:t>
            </w:r>
            <w:r w:rsidRPr="00FF3414">
              <w:rPr>
                <w:b/>
              </w:rPr>
              <w:t xml:space="preserve">) </w:t>
            </w:r>
          </w:p>
          <w:p w:rsidR="00D334BD" w:rsidRPr="00FF3414" w:rsidRDefault="00D334BD" w:rsidP="00FF3414">
            <w:pPr>
              <w:pStyle w:val="Paragraphedeliste"/>
              <w:numPr>
                <w:ilvl w:val="0"/>
                <w:numId w:val="1"/>
              </w:numPr>
              <w:rPr>
                <w:b/>
                <w:color w:val="FF0000"/>
                <w:sz w:val="24"/>
              </w:rPr>
            </w:pPr>
            <w:r>
              <w:rPr>
                <w:b/>
                <w:noProof/>
                <w:color w:val="FF0000"/>
                <w:sz w:val="24"/>
                <w:lang w:eastAsia="fr-FR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margin">
                    <wp:posOffset>50165</wp:posOffset>
                  </wp:positionH>
                  <wp:positionV relativeFrom="margin">
                    <wp:posOffset>2817495</wp:posOffset>
                  </wp:positionV>
                  <wp:extent cx="4422140" cy="2078990"/>
                  <wp:effectExtent l="19050" t="0" r="0" b="0"/>
                  <wp:wrapSquare wrapText="bothSides"/>
                  <wp:docPr id="4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2140" cy="207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F3414">
              <w:rPr>
                <w:b/>
                <w:color w:val="FF0000"/>
                <w:sz w:val="24"/>
              </w:rPr>
              <w:t>Prolifération cellulaire ++++</w:t>
            </w:r>
          </w:p>
          <w:p w:rsidR="00D334BD" w:rsidRPr="00E85695" w:rsidRDefault="00D334BD" w:rsidP="00E85695"/>
        </w:tc>
        <w:tc>
          <w:tcPr>
            <w:tcW w:w="1312" w:type="dxa"/>
          </w:tcPr>
          <w:p w:rsidR="00D334BD" w:rsidRDefault="00D334BD"/>
        </w:tc>
        <w:tc>
          <w:tcPr>
            <w:tcW w:w="2706" w:type="dxa"/>
          </w:tcPr>
          <w:p w:rsidR="00D334BD" w:rsidRPr="006C77AB" w:rsidRDefault="00D334BD">
            <w:pPr>
              <w:rPr>
                <w:b/>
              </w:rPr>
            </w:pPr>
            <w:r w:rsidRPr="006C77AB">
              <w:rPr>
                <w:b/>
              </w:rPr>
              <w:t xml:space="preserve">Résistant à l’iode radioactif </w:t>
            </w:r>
          </w:p>
          <w:p w:rsidR="00D334BD" w:rsidRDefault="00D334BD"/>
          <w:p w:rsidR="00D334BD" w:rsidRDefault="00D334BD">
            <w:r w:rsidRPr="006C77AB">
              <w:rPr>
                <w:u w:val="single"/>
              </w:rPr>
              <w:t>Traitement </w:t>
            </w:r>
            <w:r>
              <w:t xml:space="preserve">: </w:t>
            </w:r>
            <w:r w:rsidRPr="006C77AB">
              <w:rPr>
                <w:b/>
                <w:color w:val="943634" w:themeColor="accent2" w:themeShade="BF"/>
                <w:sz w:val="24"/>
              </w:rPr>
              <w:t>inhibiteur de tyrosine kinase</w:t>
            </w:r>
            <w:r w:rsidRPr="006C77AB">
              <w:rPr>
                <w:sz w:val="24"/>
              </w:rPr>
              <w:t> </w:t>
            </w:r>
            <w:r>
              <w:t xml:space="preserve">: </w:t>
            </w:r>
          </w:p>
          <w:p w:rsidR="00D334BD" w:rsidRPr="006C77AB" w:rsidRDefault="00D334BD" w:rsidP="006C77AB">
            <w:pPr>
              <w:pStyle w:val="Paragraphedeliste"/>
              <w:numPr>
                <w:ilvl w:val="0"/>
                <w:numId w:val="2"/>
              </w:numPr>
              <w:rPr>
                <w:b/>
                <w:color w:val="00B050"/>
                <w:sz w:val="24"/>
                <w:u w:val="single"/>
              </w:rPr>
            </w:pPr>
            <w:proofErr w:type="spellStart"/>
            <w:r w:rsidRPr="006C77AB">
              <w:rPr>
                <w:b/>
                <w:color w:val="00B050"/>
                <w:sz w:val="24"/>
                <w:u w:val="single"/>
              </w:rPr>
              <w:t>Vandetanib</w:t>
            </w:r>
            <w:proofErr w:type="spellEnd"/>
            <w:r w:rsidRPr="006C77AB">
              <w:rPr>
                <w:b/>
                <w:color w:val="00B050"/>
                <w:sz w:val="24"/>
                <w:u w:val="single"/>
              </w:rPr>
              <w:t xml:space="preserve"> </w:t>
            </w:r>
          </w:p>
          <w:p w:rsidR="00D334BD" w:rsidRDefault="00D334BD" w:rsidP="006C77AB">
            <w:pPr>
              <w:pStyle w:val="Paragraphedeliste"/>
              <w:numPr>
                <w:ilvl w:val="0"/>
                <w:numId w:val="2"/>
              </w:numPr>
            </w:pPr>
            <w:proofErr w:type="spellStart"/>
            <w:r w:rsidRPr="006C77AB">
              <w:rPr>
                <w:b/>
                <w:color w:val="00B050"/>
                <w:sz w:val="24"/>
                <w:u w:val="single"/>
              </w:rPr>
              <w:t>Sofarenib</w:t>
            </w:r>
            <w:proofErr w:type="spellEnd"/>
            <w:r w:rsidRPr="006C77AB">
              <w:rPr>
                <w:sz w:val="24"/>
              </w:rPr>
              <w:t xml:space="preserve"> </w:t>
            </w:r>
          </w:p>
        </w:tc>
      </w:tr>
      <w:tr w:rsidR="00D334BD" w:rsidTr="00D334BD">
        <w:tc>
          <w:tcPr>
            <w:tcW w:w="1402" w:type="dxa"/>
          </w:tcPr>
          <w:p w:rsidR="00D334BD" w:rsidRPr="00D334BD" w:rsidRDefault="00D334BD">
            <w:pPr>
              <w:rPr>
                <w:b/>
                <w:color w:val="76923C" w:themeColor="accent3" w:themeShade="BF"/>
                <w:sz w:val="24"/>
              </w:rPr>
            </w:pPr>
            <w:r w:rsidRPr="00D334BD">
              <w:rPr>
                <w:b/>
                <w:color w:val="76923C" w:themeColor="accent3" w:themeShade="BF"/>
                <w:sz w:val="24"/>
              </w:rPr>
              <w:lastRenderedPageBreak/>
              <w:t>Cancer sécrétoire du sein</w:t>
            </w:r>
          </w:p>
          <w:p w:rsidR="00D334BD" w:rsidRPr="00D334BD" w:rsidRDefault="00D334BD">
            <w:pPr>
              <w:rPr>
                <w:i/>
                <w:color w:val="A6A6A6" w:themeColor="background1" w:themeShade="A6"/>
              </w:rPr>
            </w:pPr>
            <w:r w:rsidRPr="00D334BD">
              <w:rPr>
                <w:i/>
                <w:color w:val="A6A6A6" w:themeColor="background1" w:themeShade="A6"/>
              </w:rPr>
              <w:t xml:space="preserve">Caryotype simple  </w:t>
            </w:r>
          </w:p>
        </w:tc>
        <w:tc>
          <w:tcPr>
            <w:tcW w:w="1408" w:type="dxa"/>
          </w:tcPr>
          <w:p w:rsidR="00D334BD" w:rsidRDefault="00D334BD">
            <w:r>
              <w:t xml:space="preserve">Fusion </w:t>
            </w:r>
            <w:r w:rsidRPr="006C77AB">
              <w:rPr>
                <w:b/>
                <w:color w:val="E36C0A" w:themeColor="accent6" w:themeShade="BF"/>
              </w:rPr>
              <w:t>ETV6/NTRK3</w:t>
            </w:r>
          </w:p>
        </w:tc>
        <w:tc>
          <w:tcPr>
            <w:tcW w:w="7395" w:type="dxa"/>
          </w:tcPr>
          <w:p w:rsidR="00D334BD" w:rsidRDefault="00D334BD">
            <w:r w:rsidRPr="006C77AB">
              <w:rPr>
                <w:b/>
              </w:rPr>
              <w:t xml:space="preserve">Activation constitutive de </w:t>
            </w:r>
            <w:r w:rsidRPr="006C77AB">
              <w:rPr>
                <w:b/>
                <w:color w:val="E36C0A" w:themeColor="accent6" w:themeShade="BF"/>
                <w:sz w:val="24"/>
              </w:rPr>
              <w:t>NTRK3</w:t>
            </w:r>
            <w:r>
              <w:t xml:space="preserve"> (</w:t>
            </w:r>
            <w:r w:rsidRPr="006C77AB">
              <w:rPr>
                <w:b/>
                <w:color w:val="548DD4" w:themeColor="text2" w:themeTint="99"/>
              </w:rPr>
              <w:t>activité tyrosine kinase</w:t>
            </w:r>
            <w:r>
              <w:t xml:space="preserve">)  </w:t>
            </w:r>
          </w:p>
          <w:p w:rsidR="00D334BD" w:rsidRDefault="00D334BD"/>
        </w:tc>
        <w:tc>
          <w:tcPr>
            <w:tcW w:w="1312" w:type="dxa"/>
          </w:tcPr>
          <w:p w:rsidR="00D334BD" w:rsidRDefault="00D334BD"/>
        </w:tc>
        <w:tc>
          <w:tcPr>
            <w:tcW w:w="2706" w:type="dxa"/>
          </w:tcPr>
          <w:p w:rsidR="00D334BD" w:rsidRDefault="00D334BD"/>
        </w:tc>
      </w:tr>
      <w:tr w:rsidR="00D334BD" w:rsidTr="00D334BD">
        <w:tc>
          <w:tcPr>
            <w:tcW w:w="1402" w:type="dxa"/>
          </w:tcPr>
          <w:p w:rsidR="00D334BD" w:rsidRPr="00D334BD" w:rsidRDefault="00D334BD">
            <w:pPr>
              <w:rPr>
                <w:b/>
                <w:color w:val="76923C" w:themeColor="accent3" w:themeShade="BF"/>
                <w:sz w:val="24"/>
              </w:rPr>
            </w:pPr>
            <w:r w:rsidRPr="00D334BD">
              <w:rPr>
                <w:b/>
                <w:color w:val="76923C" w:themeColor="accent3" w:themeShade="BF"/>
                <w:sz w:val="24"/>
              </w:rPr>
              <w:t>Cancer colorectal</w:t>
            </w:r>
          </w:p>
          <w:p w:rsidR="00D334BD" w:rsidRDefault="00D334BD"/>
          <w:p w:rsidR="00D334BD" w:rsidRPr="00D334BD" w:rsidRDefault="00D334BD">
            <w:pPr>
              <w:rPr>
                <w:i/>
                <w:color w:val="A6A6A6" w:themeColor="background1" w:themeShade="A6"/>
              </w:rPr>
            </w:pPr>
            <w:r w:rsidRPr="00D334BD">
              <w:rPr>
                <w:i/>
                <w:color w:val="A6A6A6" w:themeColor="background1" w:themeShade="A6"/>
              </w:rPr>
              <w:t>Caryotype complexe</w:t>
            </w:r>
          </w:p>
        </w:tc>
        <w:tc>
          <w:tcPr>
            <w:tcW w:w="1408" w:type="dxa"/>
          </w:tcPr>
          <w:p w:rsidR="00D334BD" w:rsidRDefault="00D334BD">
            <w:r>
              <w:t xml:space="preserve">Mutation activatrice de </w:t>
            </w:r>
            <w:r w:rsidRPr="004A6489">
              <w:rPr>
                <w:b/>
                <w:color w:val="E36C0A" w:themeColor="accent6" w:themeShade="BF"/>
                <w:sz w:val="24"/>
              </w:rPr>
              <w:t>RAS </w:t>
            </w:r>
            <w:r>
              <w:t xml:space="preserve">: </w:t>
            </w:r>
          </w:p>
          <w:p w:rsidR="00D334BD" w:rsidRPr="004A6489" w:rsidRDefault="00D334BD">
            <w:pPr>
              <w:rPr>
                <w:color w:val="E36C0A" w:themeColor="accent6" w:themeShade="BF"/>
              </w:rPr>
            </w:pPr>
            <w:r w:rsidRPr="004A6489">
              <w:rPr>
                <w:color w:val="E36C0A" w:themeColor="accent6" w:themeShade="BF"/>
              </w:rPr>
              <w:t xml:space="preserve">Transition G&gt;A </w:t>
            </w:r>
          </w:p>
          <w:p w:rsidR="00D334BD" w:rsidRPr="004A6489" w:rsidRDefault="00D334BD">
            <w:pPr>
              <w:rPr>
                <w:color w:val="E36C0A" w:themeColor="accent6" w:themeShade="BF"/>
              </w:rPr>
            </w:pPr>
            <w:proofErr w:type="spellStart"/>
            <w:r w:rsidRPr="004A6489">
              <w:rPr>
                <w:color w:val="E36C0A" w:themeColor="accent6" w:themeShade="BF"/>
              </w:rPr>
              <w:t>Transversion</w:t>
            </w:r>
            <w:proofErr w:type="spellEnd"/>
            <w:r w:rsidRPr="004A6489">
              <w:rPr>
                <w:color w:val="E36C0A" w:themeColor="accent6" w:themeShade="BF"/>
              </w:rPr>
              <w:t xml:space="preserve"> </w:t>
            </w:r>
          </w:p>
          <w:p w:rsidR="00D334BD" w:rsidRDefault="00D334BD">
            <w:r w:rsidRPr="004A6489">
              <w:rPr>
                <w:color w:val="E36C0A" w:themeColor="accent6" w:themeShade="BF"/>
              </w:rPr>
              <w:t>G&lt;T</w:t>
            </w:r>
          </w:p>
        </w:tc>
        <w:tc>
          <w:tcPr>
            <w:tcW w:w="7395" w:type="dxa"/>
          </w:tcPr>
          <w:p w:rsidR="00D334BD" w:rsidRDefault="00D334BD">
            <w:r w:rsidRPr="004A6489">
              <w:rPr>
                <w:b/>
              </w:rPr>
              <w:t xml:space="preserve">Activation constitutive de </w:t>
            </w:r>
            <w:r w:rsidRPr="004A6489">
              <w:rPr>
                <w:b/>
                <w:color w:val="E36C0A" w:themeColor="accent6" w:themeShade="BF"/>
                <w:sz w:val="24"/>
              </w:rPr>
              <w:t>RAS</w:t>
            </w:r>
            <w:r>
              <w:t xml:space="preserve"> (</w:t>
            </w:r>
            <w:r w:rsidRPr="004A6489">
              <w:rPr>
                <w:b/>
                <w:color w:val="0070C0"/>
              </w:rPr>
              <w:t>activité Tyrosine kinase</w:t>
            </w:r>
            <w:r>
              <w:t xml:space="preserve">) </w:t>
            </w:r>
          </w:p>
          <w:p w:rsidR="00D334BD" w:rsidRDefault="00D334BD"/>
          <w:p w:rsidR="00D334BD" w:rsidRDefault="00D334BD"/>
          <w:p w:rsidR="00D334BD" w:rsidRDefault="00D334BD"/>
          <w:p w:rsidR="00D334BD" w:rsidRDefault="00D334BD"/>
          <w:p w:rsidR="00D334BD" w:rsidRDefault="00D334BD"/>
          <w:p w:rsidR="00D334BD" w:rsidRDefault="00D334BD"/>
          <w:p w:rsidR="00D334BD" w:rsidRDefault="00D334BD"/>
          <w:p w:rsidR="00D334BD" w:rsidRDefault="00D334BD"/>
          <w:p w:rsidR="00D334BD" w:rsidRDefault="00D334BD"/>
          <w:p w:rsidR="00D334BD" w:rsidRDefault="00D334BD"/>
          <w:p w:rsidR="00D334BD" w:rsidRDefault="00D334BD"/>
          <w:p w:rsidR="00D334BD" w:rsidRDefault="00D334BD"/>
          <w:p w:rsidR="00D334BD" w:rsidRDefault="00D334BD"/>
          <w:p w:rsidR="00D334BD" w:rsidRDefault="00D334BD" w:rsidP="004A6489">
            <w:pPr>
              <w:pStyle w:val="Paragraphedeliste"/>
              <w:numPr>
                <w:ilvl w:val="0"/>
                <w:numId w:val="1"/>
              </w:numPr>
            </w:pPr>
            <w:r w:rsidRPr="004A6489">
              <w:rPr>
                <w:rFonts w:cstheme="minorHAnsi"/>
                <w:color w:val="000000" w:themeColor="text1"/>
              </w:rPr>
              <w:t xml:space="preserve">La mutation activatrice Ras dans le cancer colorectal prédit une </w:t>
            </w:r>
            <w:r w:rsidRPr="004A6489">
              <w:rPr>
                <w:rFonts w:cstheme="minorHAnsi"/>
                <w:b/>
                <w:color w:val="FF0000"/>
                <w:sz w:val="24"/>
              </w:rPr>
              <w:t>résistance aux anticorps monoclonaux dirigés contre REGF</w:t>
            </w:r>
            <w:r>
              <w:rPr>
                <w:noProof/>
                <w:lang w:eastAsia="fr-FR"/>
              </w:rPr>
              <w:t xml:space="preserve"> </w:t>
            </w:r>
            <w:r>
              <w:rPr>
                <w:noProof/>
                <w:lang w:eastAsia="fr-FR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margin">
                    <wp:posOffset>104775</wp:posOffset>
                  </wp:positionH>
                  <wp:positionV relativeFrom="margin">
                    <wp:posOffset>186690</wp:posOffset>
                  </wp:positionV>
                  <wp:extent cx="2614930" cy="2068195"/>
                  <wp:effectExtent l="19050" t="0" r="0" b="0"/>
                  <wp:wrapSquare wrapText="bothSides"/>
                  <wp:docPr id="5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4930" cy="2068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12" w:type="dxa"/>
          </w:tcPr>
          <w:p w:rsidR="00D334BD" w:rsidRPr="004A6489" w:rsidRDefault="00D334BD">
            <w:pPr>
              <w:rPr>
                <w:b/>
                <w:color w:val="FF0000"/>
                <w:sz w:val="24"/>
              </w:rPr>
            </w:pPr>
            <w:r w:rsidRPr="004A6489">
              <w:rPr>
                <w:b/>
                <w:color w:val="FF0000"/>
                <w:sz w:val="24"/>
              </w:rPr>
              <w:t xml:space="preserve">Mauvais pronostic </w:t>
            </w:r>
          </w:p>
        </w:tc>
        <w:tc>
          <w:tcPr>
            <w:tcW w:w="2706" w:type="dxa"/>
          </w:tcPr>
          <w:p w:rsidR="00D334BD" w:rsidRDefault="00D334BD">
            <w:r>
              <w:t xml:space="preserve">Prédit la </w:t>
            </w:r>
            <w:r w:rsidRPr="004A6489">
              <w:rPr>
                <w:b/>
              </w:rPr>
              <w:t>résistance aux anticorps monoclonaux dirigés contre REGF</w:t>
            </w:r>
            <w:r>
              <w:t xml:space="preserve">. </w:t>
            </w:r>
          </w:p>
        </w:tc>
      </w:tr>
      <w:tr w:rsidR="00D334BD" w:rsidTr="00D334BD">
        <w:tc>
          <w:tcPr>
            <w:tcW w:w="1402" w:type="dxa"/>
          </w:tcPr>
          <w:p w:rsidR="00D334BD" w:rsidRPr="00D334BD" w:rsidRDefault="00D334BD">
            <w:pPr>
              <w:rPr>
                <w:b/>
                <w:color w:val="76923C" w:themeColor="accent3" w:themeShade="BF"/>
                <w:sz w:val="24"/>
              </w:rPr>
            </w:pPr>
            <w:r w:rsidRPr="00D334BD">
              <w:rPr>
                <w:b/>
                <w:color w:val="76923C" w:themeColor="accent3" w:themeShade="BF"/>
                <w:sz w:val="24"/>
              </w:rPr>
              <w:t>Cancer bronchique</w:t>
            </w:r>
          </w:p>
          <w:p w:rsidR="00D334BD" w:rsidRPr="00D334BD" w:rsidRDefault="00D334BD">
            <w:pPr>
              <w:rPr>
                <w:i/>
                <w:color w:val="A6A6A6" w:themeColor="background1" w:themeShade="A6"/>
              </w:rPr>
            </w:pPr>
            <w:r w:rsidRPr="00D334BD">
              <w:rPr>
                <w:i/>
                <w:color w:val="A6A6A6" w:themeColor="background1" w:themeShade="A6"/>
              </w:rPr>
              <w:t>Caryotype complexe</w:t>
            </w:r>
          </w:p>
        </w:tc>
        <w:tc>
          <w:tcPr>
            <w:tcW w:w="1408" w:type="dxa"/>
          </w:tcPr>
          <w:p w:rsidR="00D334BD" w:rsidRDefault="00D334BD">
            <w:r>
              <w:t xml:space="preserve">Fusion </w:t>
            </w:r>
            <w:r w:rsidRPr="00D334BD">
              <w:rPr>
                <w:b/>
                <w:color w:val="E36C0A" w:themeColor="accent6" w:themeShade="BF"/>
              </w:rPr>
              <w:t>EML4 /ALK</w:t>
            </w:r>
            <w:r w:rsidRPr="00D334BD">
              <w:t xml:space="preserve"> </w:t>
            </w:r>
          </w:p>
        </w:tc>
        <w:tc>
          <w:tcPr>
            <w:tcW w:w="7395" w:type="dxa"/>
          </w:tcPr>
          <w:p w:rsidR="00D334BD" w:rsidRDefault="00D334BD"/>
        </w:tc>
        <w:tc>
          <w:tcPr>
            <w:tcW w:w="1312" w:type="dxa"/>
          </w:tcPr>
          <w:p w:rsidR="00D334BD" w:rsidRDefault="00D334BD"/>
        </w:tc>
        <w:tc>
          <w:tcPr>
            <w:tcW w:w="2706" w:type="dxa"/>
          </w:tcPr>
          <w:p w:rsidR="00D334BD" w:rsidRDefault="00D334BD"/>
        </w:tc>
      </w:tr>
      <w:tr w:rsidR="00D334BD" w:rsidTr="00D334BD">
        <w:tc>
          <w:tcPr>
            <w:tcW w:w="1402" w:type="dxa"/>
          </w:tcPr>
          <w:p w:rsidR="00D334BD" w:rsidRPr="00D334BD" w:rsidRDefault="00D334BD">
            <w:pPr>
              <w:rPr>
                <w:b/>
                <w:color w:val="76923C" w:themeColor="accent3" w:themeShade="BF"/>
                <w:sz w:val="24"/>
              </w:rPr>
            </w:pPr>
            <w:r w:rsidRPr="00D334BD">
              <w:rPr>
                <w:b/>
                <w:color w:val="76923C" w:themeColor="accent3" w:themeShade="BF"/>
                <w:sz w:val="24"/>
              </w:rPr>
              <w:lastRenderedPageBreak/>
              <w:t xml:space="preserve">Cancer du sein </w:t>
            </w:r>
          </w:p>
          <w:p w:rsidR="00D334BD" w:rsidRDefault="00D334BD"/>
          <w:p w:rsidR="00D334BD" w:rsidRPr="00D334BD" w:rsidRDefault="00D334BD">
            <w:pPr>
              <w:rPr>
                <w:i/>
                <w:color w:val="A6A6A6" w:themeColor="background1" w:themeShade="A6"/>
              </w:rPr>
            </w:pPr>
            <w:r w:rsidRPr="00D334BD">
              <w:rPr>
                <w:i/>
                <w:color w:val="A6A6A6" w:themeColor="background1" w:themeShade="A6"/>
              </w:rPr>
              <w:t>Caryotype complexe</w:t>
            </w:r>
          </w:p>
        </w:tc>
        <w:tc>
          <w:tcPr>
            <w:tcW w:w="1408" w:type="dxa"/>
          </w:tcPr>
          <w:p w:rsidR="00D334BD" w:rsidRDefault="00D334BD">
            <w:r>
              <w:t xml:space="preserve">Amplification du </w:t>
            </w:r>
            <w:r w:rsidRPr="00D334BD">
              <w:rPr>
                <w:b/>
                <w:color w:val="E36C0A" w:themeColor="accent6" w:themeShade="BF"/>
              </w:rPr>
              <w:t>gène codant pour le récepteur HER2</w:t>
            </w:r>
            <w:r w:rsidRPr="00D334BD">
              <w:t xml:space="preserve"> </w:t>
            </w:r>
            <w:r>
              <w:t>(</w:t>
            </w:r>
            <w:r w:rsidRPr="00D334BD">
              <w:rPr>
                <w:color w:val="00B0F0"/>
              </w:rPr>
              <w:t>récepteur au facteur de croissance épidermique à activité tyrosine kinase</w:t>
            </w:r>
            <w:r>
              <w:t>)</w:t>
            </w:r>
          </w:p>
        </w:tc>
        <w:tc>
          <w:tcPr>
            <w:tcW w:w="7395" w:type="dxa"/>
          </w:tcPr>
          <w:p w:rsidR="00D334BD" w:rsidRDefault="00D334BD">
            <w:pPr>
              <w:rPr>
                <w:b/>
                <w:color w:val="E36C0A" w:themeColor="accent6" w:themeShade="BF"/>
                <w:sz w:val="24"/>
              </w:rPr>
            </w:pPr>
            <w:r>
              <w:rPr>
                <w:b/>
                <w:noProof/>
                <w:lang w:eastAsia="fr-FR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margin">
                    <wp:posOffset>104775</wp:posOffset>
                  </wp:positionH>
                  <wp:positionV relativeFrom="margin">
                    <wp:posOffset>198120</wp:posOffset>
                  </wp:positionV>
                  <wp:extent cx="4225925" cy="1848485"/>
                  <wp:effectExtent l="19050" t="0" r="3175" b="0"/>
                  <wp:wrapSquare wrapText="bothSides"/>
                  <wp:docPr id="6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5925" cy="1848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334BD">
              <w:rPr>
                <w:b/>
              </w:rPr>
              <w:t>Sur expression</w:t>
            </w:r>
            <w:r>
              <w:t xml:space="preserve"> de </w:t>
            </w:r>
            <w:r w:rsidRPr="00D334BD">
              <w:rPr>
                <w:b/>
                <w:color w:val="E36C0A" w:themeColor="accent6" w:themeShade="BF"/>
                <w:sz w:val="24"/>
              </w:rPr>
              <w:t xml:space="preserve">HER2 </w:t>
            </w:r>
          </w:p>
          <w:p w:rsidR="00D334BD" w:rsidRPr="00D334BD" w:rsidRDefault="00D334BD" w:rsidP="00D334BD">
            <w:pPr>
              <w:pStyle w:val="Paragraphedeliste"/>
              <w:numPr>
                <w:ilvl w:val="0"/>
                <w:numId w:val="1"/>
              </w:numPr>
              <w:rPr>
                <w:b/>
                <w:color w:val="FF0000"/>
                <w:sz w:val="28"/>
              </w:rPr>
            </w:pPr>
            <w:proofErr w:type="spellStart"/>
            <w:r w:rsidRPr="00D334BD">
              <w:rPr>
                <w:b/>
                <w:color w:val="FF0000"/>
                <w:sz w:val="28"/>
              </w:rPr>
              <w:t>Tumorigénèse</w:t>
            </w:r>
            <w:proofErr w:type="spellEnd"/>
            <w:r w:rsidRPr="00D334BD">
              <w:rPr>
                <w:b/>
                <w:color w:val="FF0000"/>
                <w:sz w:val="28"/>
              </w:rPr>
              <w:t xml:space="preserve"> </w:t>
            </w:r>
          </w:p>
          <w:p w:rsidR="00D334BD" w:rsidRDefault="00D334BD"/>
        </w:tc>
        <w:tc>
          <w:tcPr>
            <w:tcW w:w="1312" w:type="dxa"/>
          </w:tcPr>
          <w:p w:rsidR="00D334BD" w:rsidRPr="00D334BD" w:rsidRDefault="00D334BD">
            <w:pPr>
              <w:rPr>
                <w:b/>
                <w:color w:val="FF0000"/>
              </w:rPr>
            </w:pPr>
            <w:r w:rsidRPr="00D334BD">
              <w:rPr>
                <w:b/>
                <w:color w:val="FF0000"/>
                <w:sz w:val="28"/>
              </w:rPr>
              <w:t xml:space="preserve">Mauvais pronostic </w:t>
            </w:r>
          </w:p>
        </w:tc>
        <w:tc>
          <w:tcPr>
            <w:tcW w:w="2706" w:type="dxa"/>
          </w:tcPr>
          <w:p w:rsidR="00D334BD" w:rsidRPr="00D334BD" w:rsidRDefault="00D334BD" w:rsidP="00D334BD">
            <w:pPr>
              <w:rPr>
                <w:rFonts w:cstheme="minorHAnsi"/>
                <w:bCs/>
              </w:rPr>
            </w:pPr>
            <w:r w:rsidRPr="00D334BD">
              <w:rPr>
                <w:rFonts w:cstheme="minorHAnsi"/>
                <w:bCs/>
              </w:rPr>
              <w:t xml:space="preserve">La </w:t>
            </w:r>
            <w:r w:rsidRPr="00D334BD">
              <w:rPr>
                <w:rFonts w:cstheme="minorHAnsi"/>
                <w:b/>
                <w:bCs/>
                <w:color w:val="FF0000"/>
                <w:sz w:val="24"/>
                <w:u w:val="single"/>
              </w:rPr>
              <w:t>positivité de HER2</w:t>
            </w:r>
            <w:r w:rsidRPr="00D334BD">
              <w:rPr>
                <w:rFonts w:cstheme="minorHAnsi"/>
                <w:bCs/>
                <w:color w:val="76923C" w:themeColor="accent3" w:themeShade="BF"/>
                <w:sz w:val="24"/>
              </w:rPr>
              <w:t xml:space="preserve"> </w:t>
            </w:r>
            <w:r w:rsidRPr="00D334BD">
              <w:rPr>
                <w:rFonts w:cstheme="minorHAnsi"/>
                <w:bCs/>
              </w:rPr>
              <w:t>peut signifier :</w:t>
            </w:r>
          </w:p>
          <w:p w:rsidR="00D334BD" w:rsidRDefault="00D334BD" w:rsidP="00D334BD">
            <w:pPr>
              <w:rPr>
                <w:rFonts w:cstheme="minorHAnsi"/>
                <w:bCs/>
              </w:rPr>
            </w:pPr>
          </w:p>
          <w:p w:rsidR="00D334BD" w:rsidRPr="003E383B" w:rsidRDefault="00D334BD" w:rsidP="00D334BD">
            <w:r>
              <w:rPr>
                <w:rFonts w:cstheme="minorHAnsi"/>
                <w:bCs/>
              </w:rPr>
              <w:t xml:space="preserve">En </w:t>
            </w:r>
            <w:r w:rsidRPr="003E383B">
              <w:rPr>
                <w:rFonts w:cstheme="minorHAnsi"/>
                <w:b/>
                <w:bCs/>
              </w:rPr>
              <w:t>hormonothérapie</w:t>
            </w:r>
            <w:r>
              <w:rPr>
                <w:rFonts w:cstheme="minorHAnsi"/>
                <w:bCs/>
              </w:rPr>
              <w:t xml:space="preserve"> : </w:t>
            </w:r>
          </w:p>
          <w:p w:rsidR="00D334BD" w:rsidRPr="00B03BD1" w:rsidRDefault="00D334BD" w:rsidP="00D334B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  <w:lang w:val="fr-FR"/>
              </w:rPr>
            </w:pPr>
            <w:r w:rsidRPr="00B03BD1">
              <w:rPr>
                <w:rFonts w:asciiTheme="minorHAnsi" w:hAnsiTheme="minorHAnsi" w:cstheme="minorHAnsi"/>
                <w:bCs/>
                <w:sz w:val="22"/>
                <w:szCs w:val="22"/>
                <w:lang w:val="fr-FR"/>
              </w:rPr>
              <w:t xml:space="preserve">Une </w:t>
            </w:r>
            <w:r w:rsidRPr="00B03BD1">
              <w:rPr>
                <w:rFonts w:asciiTheme="minorHAnsi" w:hAnsiTheme="minorHAnsi" w:cstheme="minorHAnsi"/>
                <w:b/>
                <w:bCs/>
                <w:color w:val="FF0000"/>
                <w:szCs w:val="22"/>
                <w:lang w:val="fr-FR"/>
              </w:rPr>
              <w:t xml:space="preserve">résistance </w:t>
            </w:r>
            <w:r w:rsidRPr="00B03BD1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val="fr-FR"/>
              </w:rPr>
              <w:t>au</w:t>
            </w:r>
            <w:r w:rsidRPr="00B03BD1">
              <w:rPr>
                <w:rFonts w:asciiTheme="minorHAnsi" w:hAnsiTheme="minorHAnsi" w:cstheme="minorHAnsi"/>
                <w:b/>
                <w:bCs/>
                <w:color w:val="FF0000"/>
                <w:szCs w:val="22"/>
                <w:lang w:val="fr-FR"/>
              </w:rPr>
              <w:t xml:space="preserve"> </w:t>
            </w:r>
            <w:proofErr w:type="spellStart"/>
            <w:r w:rsidRPr="00B03BD1">
              <w:rPr>
                <w:rFonts w:asciiTheme="minorHAnsi" w:hAnsiTheme="minorHAnsi" w:cstheme="minorHAnsi"/>
                <w:b/>
                <w:bCs/>
                <w:color w:val="00B050"/>
                <w:szCs w:val="22"/>
                <w:lang w:val="fr-FR"/>
              </w:rPr>
              <w:t>Tamoxifène</w:t>
            </w:r>
            <w:proofErr w:type="spellEnd"/>
            <w:r w:rsidRPr="00B03BD1">
              <w:rPr>
                <w:rFonts w:asciiTheme="minorHAnsi" w:hAnsiTheme="minorHAnsi" w:cstheme="minorHAnsi"/>
                <w:bCs/>
                <w:color w:val="FF0000"/>
                <w:szCs w:val="22"/>
                <w:lang w:val="fr-FR"/>
              </w:rPr>
              <w:t xml:space="preserve"> </w:t>
            </w:r>
          </w:p>
          <w:p w:rsidR="00D334BD" w:rsidRDefault="00D334BD" w:rsidP="00D334B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  <w:lang w:val="fr-FR"/>
              </w:rPr>
            </w:pPr>
            <w:r w:rsidRPr="00B03BD1">
              <w:rPr>
                <w:rFonts w:asciiTheme="minorHAnsi" w:hAnsiTheme="minorHAnsi" w:cstheme="minorHAnsi"/>
                <w:bCs/>
                <w:sz w:val="22"/>
                <w:szCs w:val="22"/>
                <w:lang w:val="fr-FR"/>
              </w:rPr>
              <w:t xml:space="preserve">une </w:t>
            </w:r>
            <w:r w:rsidRPr="00B03BD1">
              <w:rPr>
                <w:rFonts w:asciiTheme="minorHAnsi" w:hAnsiTheme="minorHAnsi" w:cstheme="minorHAnsi"/>
                <w:b/>
                <w:bCs/>
                <w:color w:val="FF0000"/>
                <w:szCs w:val="22"/>
                <w:lang w:val="fr-FR"/>
              </w:rPr>
              <w:t>sensibilité</w:t>
            </w:r>
            <w:r w:rsidRPr="00B03BD1">
              <w:rPr>
                <w:rFonts w:asciiTheme="minorHAnsi" w:hAnsiTheme="minorHAnsi" w:cstheme="minorHAnsi"/>
                <w:b/>
                <w:bCs/>
                <w:szCs w:val="22"/>
                <w:lang w:val="fr-FR"/>
              </w:rPr>
              <w:t xml:space="preserve"> </w:t>
            </w:r>
            <w:r w:rsidRPr="00B03BD1">
              <w:rPr>
                <w:rFonts w:asciiTheme="minorHAnsi" w:hAnsiTheme="minorHAnsi" w:cstheme="minorHAnsi"/>
                <w:bCs/>
                <w:sz w:val="22"/>
                <w:szCs w:val="22"/>
                <w:lang w:val="fr-FR"/>
              </w:rPr>
              <w:t>aux</w:t>
            </w:r>
            <w:r w:rsidRPr="00B03BD1">
              <w:rPr>
                <w:rFonts w:asciiTheme="minorHAnsi" w:hAnsiTheme="minorHAnsi" w:cstheme="minorHAnsi"/>
                <w:b/>
                <w:bCs/>
                <w:szCs w:val="22"/>
                <w:lang w:val="fr-FR"/>
              </w:rPr>
              <w:t xml:space="preserve"> </w:t>
            </w:r>
            <w:proofErr w:type="spellStart"/>
            <w:r w:rsidRPr="00B03BD1">
              <w:rPr>
                <w:rFonts w:asciiTheme="minorHAnsi" w:hAnsiTheme="minorHAnsi" w:cstheme="minorHAnsi"/>
                <w:b/>
                <w:bCs/>
                <w:color w:val="00B050"/>
                <w:szCs w:val="22"/>
                <w:lang w:val="fr-FR"/>
              </w:rPr>
              <w:t>Antiaromatases</w:t>
            </w:r>
            <w:proofErr w:type="spellEnd"/>
          </w:p>
          <w:p w:rsidR="00D334BD" w:rsidRPr="00D334BD" w:rsidRDefault="00D334BD" w:rsidP="00D334BD">
            <w:pPr>
              <w:pStyle w:val="Default"/>
              <w:ind w:left="720"/>
              <w:rPr>
                <w:rFonts w:asciiTheme="minorHAnsi" w:hAnsiTheme="minorHAnsi" w:cstheme="minorHAnsi"/>
                <w:sz w:val="22"/>
                <w:szCs w:val="22"/>
                <w:lang w:val="fr-FR"/>
              </w:rPr>
            </w:pPr>
          </w:p>
          <w:p w:rsidR="00D334BD" w:rsidRPr="00A61FBB" w:rsidRDefault="00D334BD" w:rsidP="00D334BD">
            <w:pPr>
              <w:pStyle w:val="Default"/>
              <w:spacing w:after="200"/>
              <w:rPr>
                <w:rFonts w:asciiTheme="minorHAnsi" w:hAnsiTheme="minorHAnsi" w:cstheme="minorHAnsi"/>
                <w:b/>
                <w:color w:val="FF0000"/>
                <w:lang w:val="fr-F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fr-FR"/>
              </w:rPr>
              <w:t xml:space="preserve">Une </w:t>
            </w:r>
            <w:r w:rsidRPr="00A61FBB">
              <w:rPr>
                <w:rFonts w:asciiTheme="minorHAnsi" w:hAnsiTheme="minorHAnsi" w:cstheme="minorHAnsi"/>
                <w:b/>
                <w:color w:val="FF0000"/>
                <w:lang w:val="fr-FR"/>
              </w:rPr>
              <w:t>sensibilité possible</w:t>
            </w:r>
            <w:r w:rsidRPr="00A61FBB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r-FR"/>
              </w:rPr>
              <w:t xml:space="preserve"> aux </w:t>
            </w:r>
            <w:proofErr w:type="spellStart"/>
            <w:r w:rsidRPr="00B03BD1">
              <w:rPr>
                <w:rFonts w:asciiTheme="minorHAnsi" w:hAnsiTheme="minorHAnsi" w:cstheme="minorHAnsi"/>
                <w:b/>
                <w:color w:val="00B050"/>
                <w:szCs w:val="22"/>
                <w:u w:val="single"/>
                <w:lang w:val="fr-FR"/>
              </w:rPr>
              <w:t>Anthracyclines</w:t>
            </w:r>
            <w:proofErr w:type="spellEnd"/>
          </w:p>
          <w:p w:rsidR="00D334BD" w:rsidRPr="00B03BD1" w:rsidRDefault="00D334BD" w:rsidP="00D334BD">
            <w:pPr>
              <w:pStyle w:val="Default"/>
              <w:spacing w:after="200"/>
              <w:rPr>
                <w:rFonts w:asciiTheme="minorHAnsi" w:hAnsiTheme="minorHAnsi" w:cstheme="minorHAnsi"/>
                <w:sz w:val="22"/>
                <w:szCs w:val="22"/>
                <w:lang w:val="fr-F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fr-FR"/>
              </w:rPr>
              <w:t>U</w:t>
            </w:r>
            <w:r w:rsidRPr="00B03BD1">
              <w:rPr>
                <w:rFonts w:asciiTheme="minorHAnsi" w:hAnsiTheme="minorHAnsi" w:cstheme="minorHAnsi"/>
                <w:sz w:val="22"/>
                <w:szCs w:val="22"/>
                <w:lang w:val="fr-FR"/>
              </w:rPr>
              <w:t xml:space="preserve">ne </w:t>
            </w:r>
            <w:r w:rsidRPr="00B03BD1">
              <w:rPr>
                <w:rFonts w:asciiTheme="minorHAnsi" w:hAnsiTheme="minorHAnsi" w:cstheme="minorHAnsi"/>
                <w:b/>
                <w:color w:val="FF0000"/>
                <w:szCs w:val="22"/>
                <w:lang w:val="fr-FR"/>
              </w:rPr>
              <w:t>résistance</w:t>
            </w:r>
            <w:r>
              <w:rPr>
                <w:rFonts w:asciiTheme="minorHAnsi" w:hAnsiTheme="minorHAnsi" w:cstheme="minorHAnsi"/>
                <w:b/>
                <w:color w:val="FF0000"/>
                <w:szCs w:val="22"/>
                <w:lang w:val="fr-FR"/>
              </w:rPr>
              <w:t xml:space="preserve"> </w:t>
            </w:r>
            <w:r w:rsidRPr="00A61FBB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r-FR"/>
              </w:rPr>
              <w:t xml:space="preserve">au </w:t>
            </w:r>
            <w:r w:rsidRPr="00B03BD1">
              <w:rPr>
                <w:rFonts w:asciiTheme="minorHAnsi" w:hAnsiTheme="minorHAnsi" w:cstheme="minorHAnsi"/>
                <w:b/>
                <w:color w:val="00B050"/>
                <w:szCs w:val="22"/>
                <w:u w:val="single"/>
                <w:lang w:val="fr-FR"/>
              </w:rPr>
              <w:t>CMF</w:t>
            </w:r>
            <w:r w:rsidRPr="00B03BD1">
              <w:rPr>
                <w:rFonts w:asciiTheme="minorHAnsi" w:hAnsiTheme="minorHAnsi" w:cstheme="minorHAnsi"/>
                <w:sz w:val="22"/>
                <w:szCs w:val="22"/>
                <w:lang w:val="fr-FR"/>
              </w:rPr>
              <w:t> :</w:t>
            </w:r>
            <w:r>
              <w:rPr>
                <w:rFonts w:asciiTheme="minorHAnsi" w:hAnsiTheme="minorHAnsi" w:cstheme="minorHAnsi"/>
                <w:sz w:val="22"/>
                <w:szCs w:val="22"/>
                <w:lang w:val="fr-FR"/>
              </w:rPr>
              <w:t xml:space="preserve"> peut être, c’est encore indéterminé</w:t>
            </w:r>
          </w:p>
          <w:p w:rsidR="00D334BD" w:rsidRDefault="00D334BD" w:rsidP="00D334BD">
            <w:pPr>
              <w:pStyle w:val="Default"/>
              <w:spacing w:after="200"/>
              <w:rPr>
                <w:rFonts w:asciiTheme="minorHAnsi" w:hAnsiTheme="minorHAnsi" w:cstheme="minorHAnsi"/>
                <w:b/>
                <w:color w:val="00B050"/>
                <w:szCs w:val="22"/>
                <w:u w:val="single"/>
                <w:lang w:val="fr-FR"/>
              </w:rPr>
            </w:pPr>
            <w:r w:rsidRPr="00B03BD1">
              <w:rPr>
                <w:rFonts w:asciiTheme="minorHAnsi" w:hAnsiTheme="minorHAnsi" w:cstheme="minorHAnsi"/>
                <w:sz w:val="22"/>
                <w:szCs w:val="22"/>
                <w:lang w:val="fr-FR"/>
              </w:rPr>
              <w:t> </w:t>
            </w:r>
            <w:r>
              <w:rPr>
                <w:rFonts w:asciiTheme="minorHAnsi" w:hAnsiTheme="minorHAnsi" w:cstheme="minorHAnsi"/>
                <w:sz w:val="22"/>
                <w:szCs w:val="22"/>
                <w:lang w:val="fr-FR"/>
              </w:rPr>
              <w:t xml:space="preserve">Une </w:t>
            </w:r>
            <w:r w:rsidRPr="00B03BD1">
              <w:rPr>
                <w:rFonts w:asciiTheme="minorHAnsi" w:hAnsiTheme="minorHAnsi" w:cstheme="minorHAnsi"/>
                <w:b/>
                <w:color w:val="FF0000"/>
                <w:szCs w:val="22"/>
                <w:lang w:val="fr-FR"/>
              </w:rPr>
              <w:t xml:space="preserve">sensibilité </w:t>
            </w:r>
            <w:r w:rsidRPr="00A61FBB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r-FR"/>
              </w:rPr>
              <w:t>aux</w:t>
            </w:r>
            <w:r w:rsidRPr="00A61FBB">
              <w:rPr>
                <w:rFonts w:asciiTheme="minorHAnsi" w:hAnsiTheme="minorHAnsi" w:cstheme="minorHAnsi"/>
                <w:b/>
                <w:color w:val="00B050"/>
                <w:szCs w:val="22"/>
                <w:u w:val="single"/>
                <w:lang w:val="fr-FR"/>
              </w:rPr>
              <w:t xml:space="preserve"> </w:t>
            </w:r>
            <w:proofErr w:type="spellStart"/>
            <w:r w:rsidRPr="00B03BD1">
              <w:rPr>
                <w:rFonts w:asciiTheme="minorHAnsi" w:hAnsiTheme="minorHAnsi" w:cstheme="minorHAnsi"/>
                <w:b/>
                <w:color w:val="00B050"/>
                <w:szCs w:val="22"/>
                <w:u w:val="single"/>
                <w:lang w:val="fr-FR"/>
              </w:rPr>
              <w:t>Taxanes</w:t>
            </w:r>
            <w:proofErr w:type="spellEnd"/>
          </w:p>
          <w:p w:rsidR="00D334BD" w:rsidRDefault="00D334BD" w:rsidP="00D334BD">
            <w:pPr>
              <w:pStyle w:val="Default"/>
              <w:spacing w:after="200"/>
              <w:rPr>
                <w:rFonts w:asciiTheme="minorHAnsi" w:hAnsiTheme="minorHAnsi" w:cstheme="minorHAnsi"/>
                <w:b/>
                <w:color w:val="FF0000"/>
                <w:szCs w:val="22"/>
                <w:lang w:val="fr-FR"/>
              </w:rPr>
            </w:pPr>
            <w:r w:rsidRPr="00D334BD">
              <w:rPr>
                <w:rFonts w:asciiTheme="minorHAnsi" w:hAnsiTheme="minorHAnsi" w:cstheme="minorHAnsi"/>
                <w:color w:val="auto"/>
                <w:sz w:val="22"/>
                <w:szCs w:val="22"/>
                <w:lang w:val="fr-FR"/>
              </w:rPr>
              <w:t xml:space="preserve">Une </w:t>
            </w:r>
            <w:r w:rsidRPr="00D334BD">
              <w:rPr>
                <w:rFonts w:asciiTheme="minorHAnsi" w:hAnsiTheme="minorHAnsi" w:cstheme="minorHAnsi"/>
                <w:b/>
                <w:color w:val="FF0000"/>
                <w:szCs w:val="22"/>
                <w:lang w:val="fr-FR"/>
              </w:rPr>
              <w:t>sensibilité</w:t>
            </w:r>
            <w:r w:rsidRPr="00D334BD">
              <w:rPr>
                <w:rFonts w:asciiTheme="minorHAnsi" w:hAnsiTheme="minorHAnsi" w:cstheme="minorHAnsi"/>
                <w:color w:val="auto"/>
                <w:sz w:val="22"/>
                <w:szCs w:val="22"/>
                <w:lang w:val="fr-FR"/>
              </w:rPr>
              <w:t xml:space="preserve"> au</w:t>
            </w:r>
            <w:r w:rsidRPr="00D334BD">
              <w:rPr>
                <w:rFonts w:asciiTheme="minorHAnsi" w:hAnsiTheme="minorHAnsi" w:cstheme="minorHAnsi"/>
                <w:b/>
                <w:color w:val="00B050"/>
                <w:sz w:val="22"/>
                <w:szCs w:val="22"/>
                <w:u w:val="single"/>
                <w:lang w:val="fr-FR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color w:val="00B050"/>
                <w:szCs w:val="22"/>
                <w:u w:val="single"/>
                <w:lang w:val="fr-FR"/>
              </w:rPr>
              <w:t>trastuzinab</w:t>
            </w:r>
            <w:proofErr w:type="spellEnd"/>
            <w:r>
              <w:rPr>
                <w:rFonts w:asciiTheme="minorHAnsi" w:hAnsiTheme="minorHAnsi" w:cstheme="minorHAnsi"/>
                <w:b/>
                <w:color w:val="00B050"/>
                <w:szCs w:val="22"/>
                <w:u w:val="single"/>
                <w:lang w:val="fr-FR"/>
              </w:rPr>
              <w:t xml:space="preserve"> </w:t>
            </w:r>
          </w:p>
          <w:p w:rsidR="00D334BD" w:rsidRDefault="00D334BD"/>
        </w:tc>
      </w:tr>
    </w:tbl>
    <w:p w:rsidR="006C77AB" w:rsidRPr="00D334BD" w:rsidRDefault="006C77AB">
      <w:pPr>
        <w:rPr>
          <w:color w:val="7030A0"/>
        </w:rPr>
      </w:pPr>
      <w:r w:rsidRPr="00D334BD">
        <w:rPr>
          <w:color w:val="7030A0"/>
        </w:rPr>
        <w:t>ATTENTION : Un gène de fusion n’est p</w:t>
      </w:r>
      <w:r w:rsidR="004A6489" w:rsidRPr="00D334BD">
        <w:rPr>
          <w:color w:val="7030A0"/>
        </w:rPr>
        <w:t>as obligatoirement associé à un</w:t>
      </w:r>
      <w:r w:rsidRPr="00D334BD">
        <w:rPr>
          <w:color w:val="7030A0"/>
        </w:rPr>
        <w:t xml:space="preserve"> seul type tumoral : </w:t>
      </w:r>
    </w:p>
    <w:p w:rsidR="00D334BD" w:rsidRPr="00D334BD" w:rsidRDefault="00D334BD" w:rsidP="006C77AB">
      <w:pPr>
        <w:pStyle w:val="Paragraphedeliste"/>
        <w:numPr>
          <w:ilvl w:val="0"/>
          <w:numId w:val="2"/>
        </w:numPr>
        <w:rPr>
          <w:color w:val="7030A0"/>
        </w:rPr>
        <w:sectPr w:rsidR="00D334BD" w:rsidRPr="00D334BD" w:rsidSect="00FF341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6C77AB" w:rsidRPr="00D334BD" w:rsidRDefault="006C77AB" w:rsidP="006C77AB">
      <w:pPr>
        <w:pStyle w:val="Paragraphedeliste"/>
        <w:numPr>
          <w:ilvl w:val="0"/>
          <w:numId w:val="2"/>
        </w:numPr>
        <w:rPr>
          <w:color w:val="7030A0"/>
        </w:rPr>
      </w:pPr>
      <w:r w:rsidRPr="00D334BD">
        <w:rPr>
          <w:color w:val="7030A0"/>
        </w:rPr>
        <w:lastRenderedPageBreak/>
        <w:t xml:space="preserve">Fusion ETV6/NTRK3 est impliquée dans : </w:t>
      </w:r>
    </w:p>
    <w:p w:rsidR="006C77AB" w:rsidRPr="00D334BD" w:rsidRDefault="006C77AB" w:rsidP="006C77AB">
      <w:pPr>
        <w:pStyle w:val="Paragraphedeliste"/>
        <w:numPr>
          <w:ilvl w:val="1"/>
          <w:numId w:val="2"/>
        </w:numPr>
        <w:rPr>
          <w:color w:val="7030A0"/>
        </w:rPr>
      </w:pPr>
      <w:r w:rsidRPr="00D334BD">
        <w:rPr>
          <w:color w:val="7030A0"/>
        </w:rPr>
        <w:t xml:space="preserve">carcinome sécrétoire du sein </w:t>
      </w:r>
    </w:p>
    <w:p w:rsidR="006C77AB" w:rsidRPr="00D334BD" w:rsidRDefault="006C77AB" w:rsidP="006C77AB">
      <w:pPr>
        <w:pStyle w:val="Paragraphedeliste"/>
        <w:numPr>
          <w:ilvl w:val="1"/>
          <w:numId w:val="2"/>
        </w:numPr>
        <w:rPr>
          <w:color w:val="7030A0"/>
        </w:rPr>
      </w:pPr>
      <w:proofErr w:type="spellStart"/>
      <w:r w:rsidRPr="00D334BD">
        <w:rPr>
          <w:color w:val="7030A0"/>
        </w:rPr>
        <w:t>néphrome</w:t>
      </w:r>
      <w:proofErr w:type="spellEnd"/>
      <w:r w:rsidRPr="00D334BD">
        <w:rPr>
          <w:color w:val="7030A0"/>
        </w:rPr>
        <w:t xml:space="preserve"> mésoblastique congénital </w:t>
      </w:r>
    </w:p>
    <w:p w:rsidR="006C77AB" w:rsidRPr="00D334BD" w:rsidRDefault="006C77AB" w:rsidP="006C77AB">
      <w:pPr>
        <w:pStyle w:val="Paragraphedeliste"/>
        <w:numPr>
          <w:ilvl w:val="1"/>
          <w:numId w:val="2"/>
        </w:numPr>
        <w:rPr>
          <w:color w:val="7030A0"/>
        </w:rPr>
      </w:pPr>
      <w:r w:rsidRPr="00D334BD">
        <w:rPr>
          <w:color w:val="7030A0"/>
        </w:rPr>
        <w:t xml:space="preserve">fibrosarcome de l’enfant </w:t>
      </w:r>
    </w:p>
    <w:p w:rsidR="006C77AB" w:rsidRPr="00D334BD" w:rsidRDefault="006C77AB" w:rsidP="006C77AB">
      <w:pPr>
        <w:pStyle w:val="Paragraphedeliste"/>
        <w:numPr>
          <w:ilvl w:val="1"/>
          <w:numId w:val="2"/>
        </w:numPr>
        <w:rPr>
          <w:color w:val="7030A0"/>
        </w:rPr>
      </w:pPr>
      <w:r w:rsidRPr="00D334BD">
        <w:rPr>
          <w:color w:val="7030A0"/>
        </w:rPr>
        <w:t xml:space="preserve">acute </w:t>
      </w:r>
      <w:proofErr w:type="spellStart"/>
      <w:r w:rsidRPr="00D334BD">
        <w:rPr>
          <w:color w:val="7030A0"/>
        </w:rPr>
        <w:t>myelogenous</w:t>
      </w:r>
      <w:proofErr w:type="spellEnd"/>
      <w:r w:rsidRPr="00D334BD">
        <w:rPr>
          <w:color w:val="7030A0"/>
        </w:rPr>
        <w:t xml:space="preserve"> </w:t>
      </w:r>
      <w:proofErr w:type="spellStart"/>
      <w:r w:rsidRPr="00D334BD">
        <w:rPr>
          <w:color w:val="7030A0"/>
        </w:rPr>
        <w:t>leukomia</w:t>
      </w:r>
      <w:proofErr w:type="spellEnd"/>
      <w:r w:rsidRPr="00D334BD">
        <w:rPr>
          <w:color w:val="7030A0"/>
        </w:rPr>
        <w:t xml:space="preserve"> </w:t>
      </w:r>
    </w:p>
    <w:p w:rsidR="00E310E8" w:rsidRDefault="00E310E8" w:rsidP="00E310E8">
      <w:pPr>
        <w:pStyle w:val="Paragraphedeliste"/>
        <w:rPr>
          <w:color w:val="7030A0"/>
        </w:rPr>
      </w:pPr>
    </w:p>
    <w:p w:rsidR="004A6489" w:rsidRPr="00D334BD" w:rsidRDefault="004A6489" w:rsidP="004A6489">
      <w:pPr>
        <w:pStyle w:val="Paragraphedeliste"/>
        <w:numPr>
          <w:ilvl w:val="0"/>
          <w:numId w:val="2"/>
        </w:numPr>
        <w:rPr>
          <w:color w:val="7030A0"/>
        </w:rPr>
      </w:pPr>
      <w:r w:rsidRPr="00D334BD">
        <w:rPr>
          <w:color w:val="7030A0"/>
        </w:rPr>
        <w:lastRenderedPageBreak/>
        <w:t xml:space="preserve">Gène ALK remanié dans : </w:t>
      </w:r>
    </w:p>
    <w:p w:rsidR="004A6489" w:rsidRPr="00D334BD" w:rsidRDefault="004A6489" w:rsidP="004A6489">
      <w:pPr>
        <w:pStyle w:val="Paragraphedeliste"/>
        <w:numPr>
          <w:ilvl w:val="1"/>
          <w:numId w:val="2"/>
        </w:numPr>
        <w:rPr>
          <w:color w:val="7030A0"/>
        </w:rPr>
      </w:pPr>
      <w:r w:rsidRPr="00D334BD">
        <w:rPr>
          <w:color w:val="7030A0"/>
        </w:rPr>
        <w:t>Carcinome broncho pulmonaire (fusion EML4/ALK)</w:t>
      </w:r>
    </w:p>
    <w:p w:rsidR="004A6489" w:rsidRPr="00D334BD" w:rsidRDefault="004A6489" w:rsidP="004A6489">
      <w:pPr>
        <w:pStyle w:val="Paragraphedeliste"/>
        <w:numPr>
          <w:ilvl w:val="1"/>
          <w:numId w:val="2"/>
        </w:numPr>
        <w:rPr>
          <w:color w:val="7030A0"/>
        </w:rPr>
      </w:pPr>
      <w:r w:rsidRPr="00D334BD">
        <w:rPr>
          <w:color w:val="7030A0"/>
        </w:rPr>
        <w:t xml:space="preserve">Lymphome </w:t>
      </w:r>
      <w:proofErr w:type="spellStart"/>
      <w:r w:rsidRPr="00D334BD">
        <w:rPr>
          <w:color w:val="7030A0"/>
        </w:rPr>
        <w:t>anaplasique</w:t>
      </w:r>
      <w:proofErr w:type="spellEnd"/>
      <w:r w:rsidRPr="00D334BD">
        <w:rPr>
          <w:color w:val="7030A0"/>
        </w:rPr>
        <w:t xml:space="preserve"> à grandes cellules (fusion NPM /ALK) </w:t>
      </w:r>
    </w:p>
    <w:sectPr w:rsidR="004A6489" w:rsidRPr="00D334BD" w:rsidSect="00D334BD">
      <w:type w:val="continuous"/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35A18"/>
    <w:multiLevelType w:val="hybridMultilevel"/>
    <w:tmpl w:val="92DA253E"/>
    <w:lvl w:ilvl="0" w:tplc="8E76EAA6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220B7A"/>
    <w:multiLevelType w:val="hybridMultilevel"/>
    <w:tmpl w:val="79E6F656"/>
    <w:lvl w:ilvl="0" w:tplc="9A38D66C">
      <w:start w:val="5"/>
      <w:numFmt w:val="bullet"/>
      <w:lvlText w:val=""/>
      <w:lvlJc w:val="left"/>
      <w:pPr>
        <w:ind w:left="786" w:hanging="360"/>
      </w:pPr>
      <w:rPr>
        <w:rFonts w:ascii="Wingdings" w:eastAsiaTheme="minorHAnsi" w:hAnsi="Wingding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C1042E"/>
    <w:multiLevelType w:val="hybridMultilevel"/>
    <w:tmpl w:val="F894D59C"/>
    <w:lvl w:ilvl="0" w:tplc="777E8166">
      <w:start w:val="7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3C487A"/>
    <w:multiLevelType w:val="hybridMultilevel"/>
    <w:tmpl w:val="EB38584A"/>
    <w:lvl w:ilvl="0" w:tplc="141E02C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85695"/>
    <w:rsid w:val="004A6489"/>
    <w:rsid w:val="006C77AB"/>
    <w:rsid w:val="009F076A"/>
    <w:rsid w:val="00D334BD"/>
    <w:rsid w:val="00E310E8"/>
    <w:rsid w:val="00E85695"/>
    <w:rsid w:val="00FF3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76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E856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rameclaire-Accent2">
    <w:name w:val="Light Shading Accent 2"/>
    <w:basedOn w:val="TableauNormal"/>
    <w:uiPriority w:val="60"/>
    <w:rsid w:val="00E85695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Grilleclaire-Accent2">
    <w:name w:val="Light Grid Accent 2"/>
    <w:basedOn w:val="TableauNormal"/>
    <w:uiPriority w:val="62"/>
    <w:rsid w:val="00E856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steclaire-Accent6">
    <w:name w:val="Light List Accent 6"/>
    <w:basedOn w:val="TableauNormal"/>
    <w:uiPriority w:val="61"/>
    <w:rsid w:val="00E856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leclaire">
    <w:name w:val="Light Grid"/>
    <w:basedOn w:val="TableauNormal"/>
    <w:uiPriority w:val="62"/>
    <w:rsid w:val="00E856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Tramemoyenne2-Accent6">
    <w:name w:val="Medium Shading 2 Accent 6"/>
    <w:basedOn w:val="TableauNormal"/>
    <w:uiPriority w:val="64"/>
    <w:rsid w:val="00E856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rilleclaire-Accent6">
    <w:name w:val="Light Grid Accent 6"/>
    <w:basedOn w:val="TableauNormal"/>
    <w:uiPriority w:val="62"/>
    <w:rsid w:val="00E856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E856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5695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E85695"/>
    <w:pPr>
      <w:ind w:left="720"/>
      <w:contextualSpacing/>
    </w:pPr>
  </w:style>
  <w:style w:type="paragraph" w:customStyle="1" w:styleId="Default">
    <w:name w:val="Default"/>
    <w:rsid w:val="00D334B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309</Words>
  <Characters>1703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</dc:creator>
  <cp:lastModifiedBy>mag</cp:lastModifiedBy>
  <cp:revision>1</cp:revision>
  <dcterms:created xsi:type="dcterms:W3CDTF">2013-04-15T08:48:00Z</dcterms:created>
  <dcterms:modified xsi:type="dcterms:W3CDTF">2013-04-15T09:40:00Z</dcterms:modified>
</cp:coreProperties>
</file>