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8C795D" w:rsidRDefault="008C795D" w:rsidP="008C795D">
      <w:pPr>
        <w:spacing w:after="0" w:line="240" w:lineRule="auto"/>
        <w:ind w:left="142"/>
        <w:rPr>
          <w:rFonts w:eastAsia="Times New Roman" w:cs="Calibri"/>
          <w:b/>
          <w:sz w:val="40"/>
          <w:szCs w:val="40"/>
        </w:rPr>
      </w:pPr>
      <w:r>
        <w:rPr>
          <w:rFonts w:eastAsia="Times New Roman" w:cs="Calibri"/>
          <w:b/>
          <w:i/>
          <w:noProof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-342900</wp:posOffset>
            </wp:positionV>
            <wp:extent cx="1124585" cy="1531620"/>
            <wp:effectExtent l="50800" t="25400" r="18415" b="17780"/>
            <wp:wrapSquare wrapText="bothSides"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mo="http://schemas.microsoft.com/office/mac/office/2008/main" xmlns:ve="http://schemas.openxmlformats.org/markup-compatibility/2006" xmlns:mv="urn:schemas-microsoft-com:mac:vml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Calibri"/>
          <w:b/>
          <w:i/>
          <w:sz w:val="40"/>
          <w:szCs w:val="40"/>
        </w:rPr>
        <w:t>D</w:t>
      </w:r>
      <w:r w:rsidR="003446E4">
        <w:rPr>
          <w:rFonts w:eastAsia="Times New Roman" w:cs="Calibri"/>
          <w:b/>
          <w:i/>
          <w:sz w:val="40"/>
          <w:szCs w:val="40"/>
        </w:rPr>
        <w:t xml:space="preserve">evoir </w:t>
      </w:r>
      <w:r>
        <w:rPr>
          <w:rFonts w:eastAsia="Times New Roman" w:cs="Calibri"/>
          <w:b/>
          <w:i/>
          <w:sz w:val="40"/>
          <w:szCs w:val="40"/>
        </w:rPr>
        <w:t>M</w:t>
      </w:r>
      <w:r w:rsidR="003446E4">
        <w:rPr>
          <w:rFonts w:eastAsia="Times New Roman" w:cs="Calibri"/>
          <w:b/>
          <w:i/>
          <w:sz w:val="40"/>
          <w:szCs w:val="40"/>
        </w:rPr>
        <w:t>aison</w:t>
      </w:r>
      <w:r w:rsidRPr="00BA2869">
        <w:rPr>
          <w:rFonts w:eastAsia="Times New Roman" w:cs="Calibri"/>
          <w:b/>
          <w:i/>
          <w:color w:val="FFFFFF" w:themeColor="background1"/>
          <w:sz w:val="40"/>
          <w:szCs w:val="40"/>
        </w:rPr>
        <w:t>1</w:t>
      </w:r>
      <w:r w:rsidR="001A601D" w:rsidRPr="001A601D">
        <w:rPr>
          <w:rFonts w:eastAsia="Times New Roman" w:cs="Times New Roman"/>
          <w:noProof/>
          <w:lang w:eastAsia="fr-FR"/>
        </w:rPr>
        <w:pict>
          <v:rect id="Rectangle 2" o:spid="_x0000_s1029" style="position:absolute;left:0;text-align:left;margin-left:-7.9pt;margin-top:-9.55pt;width:536.55pt;height: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" filled="f" strokecolor="#a5a5a5 [2092]" strokeweight="2pt"/>
        </w:pict>
      </w:r>
      <w:r>
        <w:rPr>
          <w:rFonts w:eastAsia="Times New Roman" w:cs="Calibri"/>
          <w:b/>
          <w:i/>
          <w:sz w:val="40"/>
          <w:szCs w:val="40"/>
        </w:rPr>
        <w:t xml:space="preserve">2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="00FB3AC3" w:rsidRPr="00AB5727">
        <w:rPr>
          <w:rFonts w:eastAsia="Times New Roman" w:cs="Calibri"/>
          <w:sz w:val="40"/>
          <w:szCs w:val="40"/>
        </w:rPr>
        <w:t xml:space="preserve">DRICI -&gt; </w:t>
      </w:r>
      <w:r w:rsidR="00F016A3">
        <w:rPr>
          <w:rFonts w:eastAsia="Times New Roman" w:cs="Calibri"/>
          <w:sz w:val="40"/>
          <w:szCs w:val="40"/>
        </w:rPr>
        <w:t>Cours 7 &amp;</w:t>
      </w:r>
      <w:r w:rsidR="003446E4">
        <w:rPr>
          <w:rFonts w:eastAsia="Times New Roman" w:cs="Calibri"/>
          <w:sz w:val="40"/>
          <w:szCs w:val="40"/>
        </w:rPr>
        <w:t xml:space="preserve"> 8</w:t>
      </w:r>
      <w:r w:rsidR="00F016A3">
        <w:rPr>
          <w:rFonts w:eastAsia="Times New Roman" w:cs="Calibri"/>
          <w:sz w:val="40"/>
          <w:szCs w:val="40"/>
        </w:rPr>
        <w:t xml:space="preserve">      </w:t>
      </w:r>
      <w:r w:rsidR="003446E4">
        <w:rPr>
          <w:rFonts w:eastAsia="Times New Roman" w:cs="Calibri"/>
          <w:sz w:val="40"/>
          <w:szCs w:val="40"/>
        </w:rPr>
        <w:tab/>
      </w:r>
      <w:r w:rsidR="003446E4">
        <w:rPr>
          <w:rFonts w:eastAsia="Times New Roman" w:cs="Calibri"/>
          <w:sz w:val="40"/>
          <w:szCs w:val="40"/>
        </w:rPr>
        <w:tab/>
        <w:t xml:space="preserve">  </w:t>
      </w:r>
      <w:r w:rsidR="00F016A3">
        <w:rPr>
          <w:rFonts w:eastAsia="Times New Roman" w:cs="Calibri"/>
          <w:sz w:val="40"/>
          <w:szCs w:val="40"/>
        </w:rPr>
        <w:t xml:space="preserve"> </w:t>
      </w:r>
      <w:r w:rsidRPr="0055059B">
        <w:rPr>
          <w:rFonts w:eastAsia="Times New Roman" w:cs="Calibri"/>
          <w:b/>
          <w:sz w:val="40"/>
          <w:szCs w:val="40"/>
        </w:rPr>
        <w:t>UE</w:t>
      </w:r>
      <w:r>
        <w:rPr>
          <w:rFonts w:eastAsia="Times New Roman" w:cs="Calibri"/>
          <w:b/>
          <w:sz w:val="40"/>
          <w:szCs w:val="40"/>
        </w:rPr>
        <w:t xml:space="preserve">6 </w:t>
      </w:r>
    </w:p>
    <w:p w:rsidR="0055059B" w:rsidRPr="00283BB0" w:rsidRDefault="008C795D" w:rsidP="00283BB0">
      <w:pPr>
        <w:spacing w:after="0" w:line="240" w:lineRule="auto"/>
        <w:ind w:left="142"/>
        <w:rPr>
          <w:rFonts w:eastAsia="Times New Roman" w:cs="Calibri"/>
          <w:sz w:val="40"/>
          <w:szCs w:val="40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>
        <w:rPr>
          <w:rFonts w:eastAsia="Times New Roman" w:cs="Calibri"/>
          <w:b/>
          <w:sz w:val="28"/>
          <w:szCs w:val="28"/>
        </w:rPr>
        <w:t xml:space="preserve">QCMS + Vrai/Faux </w:t>
      </w:r>
      <w:r>
        <w:rPr>
          <w:rFonts w:eastAsia="Times New Roman" w:cs="Calibri"/>
          <w:b/>
          <w:sz w:val="36"/>
          <w:szCs w:val="28"/>
        </w:rPr>
        <w:t xml:space="preserve">      </w:t>
      </w:r>
    </w:p>
    <w:p w:rsidR="00EB23D6" w:rsidRDefault="00EB23D6" w:rsidP="00EB23D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283BB0" w:rsidRDefault="00283BB0" w:rsidP="000253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EB23D6" w:rsidRDefault="00DA5A1D" w:rsidP="000253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PHARMACOLOGIE</w:t>
      </w:r>
      <w:r w:rsidR="00FB3AC3">
        <w:rPr>
          <w:rFonts w:ascii="Arial" w:eastAsia="Times New Roman" w:hAnsi="Arial" w:cs="Arial"/>
          <w:b/>
          <w:sz w:val="20"/>
          <w:szCs w:val="20"/>
          <w:u w:val="single"/>
        </w:rPr>
        <w:t xml:space="preserve"> QCMs cours 7 &amp; 8</w:t>
      </w:r>
    </w:p>
    <w:p w:rsidR="00AC0B9D" w:rsidRPr="0055059B" w:rsidRDefault="00AC0B9D" w:rsidP="0055059B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8C795D" w:rsidRDefault="008C795D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 w:rsidRPr="00766D64">
        <w:rPr>
          <w:rFonts w:ascii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hAnsi="Arial" w:cs="Arial"/>
          <w:b/>
          <w:bCs/>
          <w:sz w:val="20"/>
          <w:szCs w:val="20"/>
        </w:rPr>
        <w:t> : Concernant le cycle de vie du médicament,</w:t>
      </w:r>
    </w:p>
    <w:p w:rsidR="008C795D" w:rsidRDefault="008C795D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8C795D" w:rsidRPr="00766D64" w:rsidRDefault="008C795D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Cs/>
          <w:sz w:val="20"/>
          <w:szCs w:val="20"/>
        </w:rPr>
      </w:pPr>
      <w:r w:rsidRPr="00766D64">
        <w:rPr>
          <w:rFonts w:ascii="Arial" w:hAnsi="Arial" w:cs="Arial"/>
          <w:bCs/>
          <w:sz w:val="20"/>
          <w:szCs w:val="20"/>
        </w:rPr>
        <w:t>A)</w:t>
      </w:r>
      <w:r>
        <w:rPr>
          <w:rFonts w:ascii="Arial" w:hAnsi="Arial" w:cs="Arial"/>
          <w:bCs/>
          <w:sz w:val="20"/>
          <w:szCs w:val="20"/>
        </w:rPr>
        <w:t xml:space="preserve"> La validité du brevet est de 20 ans</w:t>
      </w:r>
    </w:p>
    <w:p w:rsidR="008C795D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66D64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Le développement clinique comporte 4 phases</w:t>
      </w:r>
    </w:p>
    <w:p w:rsidR="008C795D" w:rsidRPr="007471E2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L’AMM se demande après la phase 4</w:t>
      </w:r>
    </w:p>
    <w:p w:rsidR="008C795D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Le processus de recherche commence par l’identification d’une cible pertinente</w:t>
      </w:r>
    </w:p>
    <w:p w:rsidR="008C795D" w:rsidRDefault="008C795D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8C795D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8C795D" w:rsidRDefault="008C795D" w:rsidP="008C795D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D907DB">
        <w:rPr>
          <w:rFonts w:ascii="Arial" w:hAnsi="Arial" w:cs="Arial"/>
          <w:b/>
          <w:sz w:val="20"/>
          <w:szCs w:val="20"/>
          <w:u w:val="single"/>
        </w:rPr>
        <w:t> </w:t>
      </w:r>
      <w:r w:rsidRPr="00D907D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>A propos du dossier analytique,</w:t>
      </w:r>
    </w:p>
    <w:p w:rsidR="008C795D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8C795D" w:rsidRPr="00D907DB" w:rsidRDefault="008C795D" w:rsidP="008C795D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907DB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Il définit les caractères granulométriques et organoleptiques </w:t>
      </w:r>
    </w:p>
    <w:p w:rsidR="008C795D" w:rsidRDefault="008C795D" w:rsidP="008C795D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Il ne définit pas les conditions de conservation, c’est le rôle du dossier galénique</w:t>
      </w:r>
    </w:p>
    <w:p w:rsidR="008C795D" w:rsidRDefault="008C795D" w:rsidP="008C795D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D907DB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Il définit la structure du principe actif ainsi que les méthodes pour son dosage</w:t>
      </w:r>
    </w:p>
    <w:p w:rsidR="008C795D" w:rsidRDefault="008C795D" w:rsidP="008C795D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En pré-clinique il n’est pas obligatoire de suivre les GMP</w:t>
      </w:r>
    </w:p>
    <w:p w:rsidR="00FB3AC3" w:rsidRDefault="008C795D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FB3AC3" w:rsidRDefault="00FB3AC3" w:rsidP="008C795D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 w:rsidRPr="00766D64"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</w:rPr>
        <w:t>3</w:t>
      </w:r>
      <w:r>
        <w:rPr>
          <w:rFonts w:ascii="Arial" w:hAnsi="Arial" w:cs="Arial"/>
          <w:b/>
          <w:bCs/>
          <w:sz w:val="20"/>
          <w:szCs w:val="20"/>
        </w:rPr>
        <w:t> : A propos de la genèse des médicaments,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FB3AC3" w:rsidRPr="00306792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306792">
        <w:rPr>
          <w:rFonts w:ascii="Arial" w:hAnsi="Arial" w:cs="Arial"/>
          <w:bCs/>
          <w:sz w:val="20"/>
          <w:szCs w:val="20"/>
        </w:rPr>
        <w:t>A) Le développement est très long et coute très cher à l’industriel</w:t>
      </w:r>
      <w:r>
        <w:rPr>
          <w:rFonts w:ascii="Arial" w:hAnsi="Arial" w:cs="Arial"/>
          <w:bCs/>
          <w:sz w:val="20"/>
          <w:szCs w:val="20"/>
        </w:rPr>
        <w:t xml:space="preserve"> 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66D64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L’industriel est obligé de proposer son dossier (présenter son médicament) à la Commission de Transparence</w:t>
      </w:r>
    </w:p>
    <w:p w:rsidR="00FB3AC3" w:rsidRPr="007471E2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Le CCP (contrat complémentaire de protection) dure 10 ans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 développement doit être le plus rapide et efficace possible par soucis de rentabilité pour l’industriel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B3AC3" w:rsidRPr="00D907DB" w:rsidRDefault="00FB3AC3" w:rsidP="00FB3AC3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 w:rsidRPr="00D907DB">
        <w:rPr>
          <w:rFonts w:ascii="Arial" w:hAnsi="Arial" w:cs="Arial"/>
          <w:b/>
          <w:sz w:val="20"/>
          <w:szCs w:val="20"/>
          <w:u w:val="single"/>
        </w:rPr>
        <w:t> </w:t>
      </w:r>
      <w:r w:rsidRPr="00D907DB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Au sujet du PA (principe actif) et des excipients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Aujourd’hui on utilise généralement la synthèse chimique pour produire des PA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Le PA ne peut pas être d’origine humaine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Un excipient est un composé qu’il peut être nécessaire d’ajouter au PA pour améliorer la stabilité, conservation, solubilisation d’un médicament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Les excipients </w:t>
      </w:r>
      <w:proofErr w:type="gramStart"/>
      <w:r>
        <w:rPr>
          <w:rFonts w:ascii="Arial" w:hAnsi="Arial" w:cs="Arial"/>
          <w:sz w:val="20"/>
          <w:szCs w:val="20"/>
        </w:rPr>
        <w:t>peuvent</w:t>
      </w:r>
      <w:proofErr w:type="gramEnd"/>
      <w:r>
        <w:rPr>
          <w:rFonts w:ascii="Arial" w:hAnsi="Arial" w:cs="Arial"/>
          <w:sz w:val="20"/>
          <w:szCs w:val="20"/>
        </w:rPr>
        <w:t xml:space="preserve"> créer des effets indésirables et thérapeutiques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FB3AC3" w:rsidRPr="0085071E" w:rsidRDefault="00FB3AC3" w:rsidP="00FB3AC3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5071E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85071E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Au sujet de l’exception française,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La formation médicale continue est indépendante de l’industrie pharmaceutique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9 consultations sur 10 </w:t>
      </w:r>
      <w:proofErr w:type="gramStart"/>
      <w:r>
        <w:rPr>
          <w:rFonts w:ascii="Arial" w:hAnsi="Arial" w:cs="Arial"/>
          <w:sz w:val="20"/>
          <w:szCs w:val="20"/>
        </w:rPr>
        <w:t>aboutissent</w:t>
      </w:r>
      <w:proofErr w:type="gramEnd"/>
      <w:r>
        <w:rPr>
          <w:rFonts w:ascii="Arial" w:hAnsi="Arial" w:cs="Arial"/>
          <w:sz w:val="20"/>
          <w:szCs w:val="20"/>
        </w:rPr>
        <w:t xml:space="preserve"> à la rédaction d’une ordonnance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Les ordonnances </w:t>
      </w:r>
      <w:proofErr w:type="gramStart"/>
      <w:r>
        <w:rPr>
          <w:rFonts w:ascii="Arial" w:hAnsi="Arial" w:cs="Arial"/>
          <w:sz w:val="20"/>
          <w:szCs w:val="20"/>
        </w:rPr>
        <w:t>ont</w:t>
      </w:r>
      <w:proofErr w:type="gramEnd"/>
      <w:r>
        <w:rPr>
          <w:rFonts w:ascii="Arial" w:hAnsi="Arial" w:cs="Arial"/>
          <w:sz w:val="20"/>
          <w:szCs w:val="20"/>
        </w:rPr>
        <w:t xml:space="preserve"> une médiane de 3-4 lignes </w:t>
      </w:r>
    </w:p>
    <w:p w:rsidR="00FB3AC3" w:rsidRDefault="00FB3AC3" w:rsidP="00FB3AC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Les français </w:t>
      </w:r>
      <w:proofErr w:type="gramStart"/>
      <w:r>
        <w:rPr>
          <w:rFonts w:ascii="Arial" w:hAnsi="Arial" w:cs="Arial"/>
          <w:sz w:val="20"/>
          <w:szCs w:val="20"/>
        </w:rPr>
        <w:t>sont</w:t>
      </w:r>
      <w:proofErr w:type="gramEnd"/>
      <w:r>
        <w:rPr>
          <w:rFonts w:ascii="Arial" w:hAnsi="Arial" w:cs="Arial"/>
          <w:sz w:val="20"/>
          <w:szCs w:val="20"/>
        </w:rPr>
        <w:t xml:space="preserve"> les plus gros consommateurs d’Europe de psychotropes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hAnsi="Arial" w:cs="Arial"/>
          <w:b/>
          <w:bCs/>
          <w:sz w:val="20"/>
          <w:szCs w:val="20"/>
        </w:rPr>
        <w:t> : A propos du cours sur la production du médicament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La </w:t>
      </w:r>
      <w:proofErr w:type="spellStart"/>
      <w:r>
        <w:rPr>
          <w:rFonts w:ascii="Arial" w:hAnsi="Arial" w:cs="Arial"/>
          <w:sz w:val="20"/>
          <w:szCs w:val="20"/>
        </w:rPr>
        <w:t>sur-promotion</w:t>
      </w:r>
      <w:proofErr w:type="spellEnd"/>
      <w:r>
        <w:rPr>
          <w:rFonts w:ascii="Arial" w:hAnsi="Arial" w:cs="Arial"/>
          <w:sz w:val="20"/>
          <w:szCs w:val="20"/>
        </w:rPr>
        <w:t xml:space="preserve"> des médicaments par les industriels peut entrainer des extensions d’indications erronées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La France est un grand pays producteur et exportateur de médicament en Europe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¾ des 8000 spécialités </w:t>
      </w:r>
      <w:proofErr w:type="gramStart"/>
      <w:r>
        <w:rPr>
          <w:rFonts w:ascii="Arial" w:hAnsi="Arial" w:cs="Arial"/>
          <w:sz w:val="20"/>
          <w:szCs w:val="20"/>
        </w:rPr>
        <w:t>sont</w:t>
      </w:r>
      <w:proofErr w:type="gramEnd"/>
      <w:r>
        <w:rPr>
          <w:rFonts w:ascii="Arial" w:hAnsi="Arial" w:cs="Arial"/>
          <w:sz w:val="20"/>
          <w:szCs w:val="20"/>
        </w:rPr>
        <w:t xml:space="preserve"> remboursés selon leur SMR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Les Principes Actifs </w:t>
      </w:r>
      <w:proofErr w:type="gramStart"/>
      <w:r>
        <w:rPr>
          <w:rFonts w:ascii="Arial" w:hAnsi="Arial" w:cs="Arial"/>
          <w:sz w:val="20"/>
          <w:szCs w:val="20"/>
        </w:rPr>
        <w:t>peuvent</w:t>
      </w:r>
      <w:proofErr w:type="gramEnd"/>
      <w:r>
        <w:rPr>
          <w:rFonts w:ascii="Arial" w:hAnsi="Arial" w:cs="Arial"/>
          <w:sz w:val="20"/>
          <w:szCs w:val="20"/>
        </w:rPr>
        <w:t xml:space="preserve"> avoir diverses origines </w:t>
      </w:r>
    </w:p>
    <w:p w:rsidR="00FB3AC3" w:rsidRDefault="00FB3AC3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A07785" w:rsidRDefault="00A07785" w:rsidP="00FB3AC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hAnsi="Arial" w:cs="Arial"/>
          <w:b/>
          <w:bCs/>
          <w:sz w:val="20"/>
          <w:szCs w:val="20"/>
        </w:rPr>
        <w:t> : Classer dans l’ordre décroissant, la répartition du marché mondial de l’industrie pharmaceutique</w:t>
      </w:r>
    </w:p>
    <w:p w:rsidR="00A07785" w:rsidRDefault="00A07785" w:rsidP="00A0778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 Japon</w:t>
      </w:r>
    </w:p>
    <w:p w:rsidR="00A07785" w:rsidRDefault="00A07785" w:rsidP="00A0778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L’Europe (EMA)</w:t>
      </w:r>
    </w:p>
    <w:p w:rsidR="00A07785" w:rsidRDefault="00A07785" w:rsidP="00A0778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Les USA et le Canada (FDA)</w:t>
      </w:r>
    </w:p>
    <w:p w:rsidR="00A07785" w:rsidRPr="00AE172B" w:rsidRDefault="00A07785" w:rsidP="00A0778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L’Inde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2 – 3 – 4 – 1  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3 – 2 – 1 – 4 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3 – 2 – 4 – 1 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2 – 3 – 1 – 4 </w:t>
      </w:r>
    </w:p>
    <w:p w:rsidR="00283BB0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A07785" w:rsidRPr="00283BB0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hAnsi="Arial" w:cs="Arial"/>
          <w:b/>
          <w:bCs/>
          <w:sz w:val="20"/>
          <w:szCs w:val="20"/>
        </w:rPr>
        <w:t> : Concernant les dépenses des médicaments</w:t>
      </w:r>
      <w:r w:rsidR="000253BC">
        <w:rPr>
          <w:rFonts w:ascii="Arial" w:hAnsi="Arial" w:cs="Arial"/>
          <w:b/>
          <w:bCs/>
          <w:color w:val="00B050"/>
          <w:sz w:val="20"/>
          <w:szCs w:val="20"/>
        </w:rPr>
        <w:t xml:space="preserve"> 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La France occupe le premier rang en termes de dépense par an par habitant de médicament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Le remboursement en France est généralement évalué suivant le SMR (service médical rendu) 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9 classes médicamenteuses </w:t>
      </w:r>
      <w:proofErr w:type="gramStart"/>
      <w:r>
        <w:rPr>
          <w:rFonts w:ascii="Arial" w:hAnsi="Arial" w:cs="Arial"/>
          <w:sz w:val="20"/>
          <w:szCs w:val="20"/>
        </w:rPr>
        <w:t>représentent</w:t>
      </w:r>
      <w:proofErr w:type="gramEnd"/>
      <w:r>
        <w:rPr>
          <w:rFonts w:ascii="Arial" w:hAnsi="Arial" w:cs="Arial"/>
          <w:sz w:val="20"/>
          <w:szCs w:val="20"/>
        </w:rPr>
        <w:t xml:space="preserve"> 33% des dépenses des médicaments</w:t>
      </w:r>
    </w:p>
    <w:p w:rsidR="00A07785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Les génériques </w:t>
      </w:r>
      <w:proofErr w:type="gramStart"/>
      <w:r>
        <w:rPr>
          <w:rFonts w:ascii="Arial" w:hAnsi="Arial" w:cs="Arial"/>
          <w:sz w:val="20"/>
          <w:szCs w:val="20"/>
        </w:rPr>
        <w:t>sont</w:t>
      </w:r>
      <w:proofErr w:type="gramEnd"/>
      <w:r>
        <w:rPr>
          <w:rFonts w:ascii="Arial" w:hAnsi="Arial" w:cs="Arial"/>
          <w:sz w:val="20"/>
          <w:szCs w:val="20"/>
        </w:rPr>
        <w:t xml:space="preserve"> beaucoup moins chers que le médicament princeps</w:t>
      </w:r>
    </w:p>
    <w:p w:rsidR="000253BC" w:rsidRDefault="00A07785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 de ces réponses n’est correcte.</w:t>
      </w:r>
    </w:p>
    <w:p w:rsidR="000253BC" w:rsidRDefault="000253BC" w:rsidP="00A0778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0253BC" w:rsidRPr="00403771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9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Quelles sont les propriétés attribuées aux excipients ?</w:t>
      </w:r>
    </w:p>
    <w:p w:rsidR="000253BC" w:rsidRDefault="000253BC" w:rsidP="000253BC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Favoriser l’observance, en donnant meilleur goût par exemple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Etre à l’origine d’effets indésirables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Supporter certains effets pharmacologiques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Modifier la stabilité ou la conservation du principe actif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10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du conditionnement du médicament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Le conditionnement primaire peut consister en un tube, une notice, une ampoule ou une seringue 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 conditionnement secondaire est par exemple la boîte contenant le médicament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conditionnement peut tenir une fonction protectrice ou informative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 conditionnement n’influe pas sur le prix du médicament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11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Quelles missions incombent à l’ANSM (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ex-AFSSAPS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>) ?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Elaborer des normes qualités 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Délivrer les autorisations d’ouverture aux laboratoires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Engager des actions correctrices (retrait de lots</w:t>
      </w:r>
      <w:proofErr w:type="gramStart"/>
      <w:r>
        <w:rPr>
          <w:rFonts w:ascii="Arial" w:eastAsia="Times New Roman" w:hAnsi="Arial" w:cs="Arial"/>
          <w:sz w:val="20"/>
          <w:szCs w:val="20"/>
        </w:rPr>
        <w:t>, …)</w:t>
      </w:r>
      <w:proofErr w:type="gramEnd"/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Fixer le prix du médicament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12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: </w:t>
      </w:r>
      <w:r>
        <w:rPr>
          <w:rFonts w:ascii="Arial" w:eastAsia="Times New Roman" w:hAnsi="Arial" w:cs="Arial"/>
          <w:b/>
          <w:sz w:val="20"/>
          <w:szCs w:val="20"/>
        </w:rPr>
        <w:t>En 2007, quelle classe thérapeutique représente le pourcentage le plus important du marché en unités ?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Les anti-infectieux 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Les médicaments de l’appareil digestif, de stomatologie et du métabolisme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Les médicaments de l’appareil respiratoire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Les médicaments du système nerveux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13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de la France et du marché du médicament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Les médecins français prescrivent plus que leurs homologues européens, avec 90% des consultations chez le généraliste qui aboutissent à une prescription 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En revanche, le nombre de médicaments prescrits par ordonnance est dans la moyenne européenne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Le fait que de nombreux médicaments soient remboursés en France contribue à la </w:t>
      </w:r>
      <w:proofErr w:type="spellStart"/>
      <w:r>
        <w:rPr>
          <w:rFonts w:ascii="Arial" w:eastAsia="Times New Roman" w:hAnsi="Arial" w:cs="Arial"/>
          <w:sz w:val="20"/>
          <w:szCs w:val="20"/>
        </w:rPr>
        <w:t>surprescription</w:t>
      </w:r>
      <w:proofErr w:type="spellEnd"/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La France est le 1</w:t>
      </w:r>
      <w:r w:rsidRPr="002D3870">
        <w:rPr>
          <w:rFonts w:ascii="Arial" w:eastAsia="Times New Roman" w:hAnsi="Arial" w:cs="Arial"/>
          <w:sz w:val="20"/>
          <w:szCs w:val="20"/>
          <w:vertAlign w:val="superscript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exportateur européen et le 4</w:t>
      </w:r>
      <w:r w:rsidRPr="002D3870">
        <w:rPr>
          <w:rFonts w:ascii="Arial" w:eastAsia="Times New Roman" w:hAnsi="Arial" w:cs="Arial"/>
          <w:sz w:val="20"/>
          <w:szCs w:val="20"/>
          <w:vertAlign w:val="superscript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exportateur mondial de médicaments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tabs>
          <w:tab w:val="left" w:pos="1425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14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des médicaments OTC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Cette expression signifie « Over the </w:t>
      </w:r>
      <w:proofErr w:type="spellStart"/>
      <w:r>
        <w:rPr>
          <w:rFonts w:ascii="Arial" w:eastAsia="Times New Roman" w:hAnsi="Arial" w:cs="Arial"/>
          <w:sz w:val="20"/>
          <w:szCs w:val="20"/>
        </w:rPr>
        <w:t>counter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 » et concerne les médicaments à prescription médicale obligatoire 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Ils permettent une économie pour la sécurité sociale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Cette économie est uniquement due au </w:t>
      </w:r>
      <w:proofErr w:type="spellStart"/>
      <w:r>
        <w:rPr>
          <w:rFonts w:ascii="Arial" w:eastAsia="Times New Roman" w:hAnsi="Arial" w:cs="Arial"/>
          <w:sz w:val="20"/>
          <w:szCs w:val="20"/>
        </w:rPr>
        <w:t>non-remboursement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des médicaments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Les risques </w:t>
      </w:r>
      <w:proofErr w:type="gramStart"/>
      <w:r>
        <w:rPr>
          <w:rFonts w:ascii="Arial" w:eastAsia="Times New Roman" w:hAnsi="Arial" w:cs="Arial"/>
          <w:sz w:val="20"/>
          <w:szCs w:val="20"/>
        </w:rPr>
        <w:t>sont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notamment une iatrogénie médicamenteuse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0253BC" w:rsidRDefault="000253BC" w:rsidP="000253BC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15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Concernant la distribution et le marché du médicament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La majorité des stocks des fabricants sont distribués aux grossistes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 xml:space="preserve">Les hôpitaux se </w:t>
      </w:r>
      <w:proofErr w:type="gramStart"/>
      <w:r>
        <w:rPr>
          <w:rFonts w:ascii="Arial" w:eastAsia="Times New Roman" w:hAnsi="Arial" w:cs="Arial"/>
          <w:sz w:val="20"/>
          <w:szCs w:val="20"/>
        </w:rPr>
        <w:t>fournissent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majoritairement auprès des grossistes </w:t>
      </w:r>
    </w:p>
    <w:p w:rsidR="000253BC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 marché mondial du médicament représente environ 150 milliards de dollars</w:t>
      </w:r>
    </w:p>
    <w:p w:rsidR="000253BC" w:rsidRPr="00113BB4" w:rsidRDefault="000253BC" w:rsidP="00025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 marché mondial du médicament se répartit majoritairement sur l’axe : Etats-Unis – UE – Japon</w:t>
      </w:r>
    </w:p>
    <w:p w:rsidR="000804B8" w:rsidRDefault="000253BC" w:rsidP="000804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283BB0" w:rsidRDefault="00283BB0" w:rsidP="000804B8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0804B8" w:rsidRDefault="000804B8" w:rsidP="000804B8">
      <w:pPr>
        <w:spacing w:after="0" w:line="240" w:lineRule="auto"/>
        <w:jc w:val="center"/>
        <w:rPr>
          <w:rFonts w:ascii="Arial" w:eastAsia="Times New Roman" w:hAnsi="Arial" w:cs="Arial"/>
          <w:sz w:val="40"/>
          <w:szCs w:val="20"/>
        </w:rPr>
      </w:pPr>
      <w:r w:rsidRPr="000804B8">
        <w:rPr>
          <w:rFonts w:ascii="Arial" w:eastAsia="Times New Roman" w:hAnsi="Arial" w:cs="Arial"/>
          <w:b/>
          <w:i/>
          <w:sz w:val="40"/>
          <w:szCs w:val="20"/>
          <w:u w:val="single"/>
        </w:rPr>
        <w:t>Vrai/Faux</w:t>
      </w:r>
    </w:p>
    <w:p w:rsidR="000804B8" w:rsidRPr="008B4A32" w:rsidRDefault="000804B8" w:rsidP="000804B8">
      <w:pPr>
        <w:spacing w:after="0" w:line="240" w:lineRule="auto"/>
        <w:jc w:val="center"/>
        <w:rPr>
          <w:rFonts w:ascii="Arial" w:eastAsia="Times New Roman" w:hAnsi="Arial" w:cs="Arial"/>
          <w:sz w:val="40"/>
          <w:szCs w:val="20"/>
        </w:rPr>
      </w:pP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551"/>
        <w:gridCol w:w="8705"/>
        <w:gridCol w:w="709"/>
        <w:gridCol w:w="717"/>
      </w:tblGrid>
      <w:tr w:rsidR="000804B8">
        <w:tc>
          <w:tcPr>
            <w:tcW w:w="551" w:type="dxa"/>
          </w:tcPr>
          <w:p w:rsidR="000804B8" w:rsidRPr="004D18FD" w:rsidRDefault="000804B8" w:rsidP="00791F9F">
            <w:pPr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N°</w:t>
            </w:r>
          </w:p>
        </w:tc>
        <w:tc>
          <w:tcPr>
            <w:tcW w:w="8705" w:type="dxa"/>
          </w:tcPr>
          <w:p w:rsidR="000804B8" w:rsidRPr="004D18FD" w:rsidRDefault="000804B8" w:rsidP="00791F9F">
            <w:pPr>
              <w:rPr>
                <w:rFonts w:eastAsia="Times New Roman" w:cs="Arial"/>
                <w:b/>
                <w:szCs w:val="20"/>
              </w:rPr>
            </w:pPr>
          </w:p>
        </w:tc>
        <w:tc>
          <w:tcPr>
            <w:tcW w:w="709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Vrai</w:t>
            </w:r>
          </w:p>
        </w:tc>
        <w:tc>
          <w:tcPr>
            <w:tcW w:w="717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Faux</w:t>
            </w: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</w:t>
            </w:r>
          </w:p>
        </w:tc>
        <w:tc>
          <w:tcPr>
            <w:tcW w:w="8705" w:type="dxa"/>
          </w:tcPr>
          <w:p w:rsidR="000804B8" w:rsidRPr="004D18FD" w:rsidRDefault="00F7777F" w:rsidP="00791F9F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Lorsque l’on donne une dose, on peut obtenir plusieurs concentrations résultantes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</w:t>
            </w:r>
          </w:p>
        </w:tc>
        <w:tc>
          <w:tcPr>
            <w:tcW w:w="8705" w:type="dxa"/>
          </w:tcPr>
          <w:p w:rsidR="000804B8" w:rsidRPr="004D18FD" w:rsidRDefault="00F7777F" w:rsidP="00791F9F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Une concentration de médicament donné donne le même effet chez tous les patients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3</w:t>
            </w:r>
          </w:p>
        </w:tc>
        <w:tc>
          <w:tcPr>
            <w:tcW w:w="8705" w:type="dxa"/>
          </w:tcPr>
          <w:p w:rsidR="000804B8" w:rsidRPr="004D18FD" w:rsidRDefault="00F7777F" w:rsidP="00791F9F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À partir d’un certain niveau d‘efficacité l’augmentation des doses ne fait que diminuer la tolérance au traitement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rPr>
          <w:trHeight w:val="228"/>
        </w:trPr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4</w:t>
            </w:r>
          </w:p>
        </w:tc>
        <w:tc>
          <w:tcPr>
            <w:tcW w:w="8705" w:type="dxa"/>
          </w:tcPr>
          <w:p w:rsidR="000804B8" w:rsidRPr="004D18FD" w:rsidRDefault="00F7777F" w:rsidP="00791F9F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Les associations de mé</w:t>
            </w:r>
            <w:r w:rsidR="00964AB8">
              <w:rPr>
                <w:rFonts w:eastAsia="Times New Roman" w:cs="Arial"/>
                <w:szCs w:val="20"/>
              </w:rPr>
              <w:t>dicaments sont une pratique rare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64AB8" w:rsidRDefault="00964AB8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5</w:t>
            </w:r>
          </w:p>
        </w:tc>
        <w:tc>
          <w:tcPr>
            <w:tcW w:w="8705" w:type="dxa"/>
          </w:tcPr>
          <w:p w:rsidR="000804B8" w:rsidRPr="004D18FD" w:rsidRDefault="00F7777F" w:rsidP="00791F9F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DCI = dénomination courante internationale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6</w:t>
            </w:r>
          </w:p>
        </w:tc>
        <w:tc>
          <w:tcPr>
            <w:tcW w:w="8705" w:type="dxa"/>
          </w:tcPr>
          <w:p w:rsidR="000804B8" w:rsidRPr="004D18FD" w:rsidRDefault="004D18F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terme de philanthropie caractérise le but d’une entreprise : faire de l’argent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7</w:t>
            </w:r>
          </w:p>
        </w:tc>
        <w:tc>
          <w:tcPr>
            <w:tcW w:w="8705" w:type="dxa"/>
          </w:tcPr>
          <w:p w:rsidR="000804B8" w:rsidRPr="004D18FD" w:rsidRDefault="004D18FD" w:rsidP="00791F9F">
            <w:pPr>
              <w:tabs>
                <w:tab w:val="left" w:pos="7255"/>
              </w:tabs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recherche exploratoire peut seulement se faire par synthèse, et par l’aide des biotechnologies </w:t>
            </w:r>
            <w:r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8</w:t>
            </w:r>
          </w:p>
        </w:tc>
        <w:tc>
          <w:tcPr>
            <w:tcW w:w="8705" w:type="dxa"/>
          </w:tcPr>
          <w:p w:rsidR="000804B8" w:rsidRPr="004D18FD" w:rsidRDefault="002164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On recherche les têtes e séries en fonction entre autre de la pharmacocinétique et des caractéristiques physico-chimiques de la molécule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9</w:t>
            </w:r>
          </w:p>
        </w:tc>
        <w:tc>
          <w:tcPr>
            <w:tcW w:w="8705" w:type="dxa"/>
          </w:tcPr>
          <w:p w:rsidR="000804B8" w:rsidRPr="004D18FD" w:rsidRDefault="002164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test d’Ames permet de tester la </w:t>
            </w:r>
            <w:proofErr w:type="spellStart"/>
            <w:r>
              <w:rPr>
                <w:rFonts w:eastAsia="Times New Roman" w:cs="Arial"/>
                <w:szCs w:val="20"/>
              </w:rPr>
              <w:t>mutagénicité</w:t>
            </w:r>
            <w:proofErr w:type="spellEnd"/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10</w:t>
            </w:r>
          </w:p>
        </w:tc>
        <w:tc>
          <w:tcPr>
            <w:tcW w:w="8705" w:type="dxa"/>
          </w:tcPr>
          <w:p w:rsidR="000804B8" w:rsidRPr="004D18FD" w:rsidRDefault="00706D7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dossier pré-clinique comprend les dossier analytique, toxicologique, galénique et pharmacologique</w:t>
            </w:r>
          </w:p>
        </w:tc>
        <w:tc>
          <w:tcPr>
            <w:tcW w:w="709" w:type="dxa"/>
          </w:tcPr>
          <w:p w:rsidR="00964AB8" w:rsidRDefault="00964AB8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11</w:t>
            </w:r>
          </w:p>
        </w:tc>
        <w:tc>
          <w:tcPr>
            <w:tcW w:w="8705" w:type="dxa"/>
          </w:tcPr>
          <w:p w:rsidR="000804B8" w:rsidRPr="00706D7F" w:rsidRDefault="00706D7F" w:rsidP="00791F9F">
            <w:pPr>
              <w:rPr>
                <w:rFonts w:eastAsia="Times New Roman" w:cs="Arial"/>
                <w:color w:val="FF0000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dossier analytique s’intéresse au PA et à sa pharmacocinétique précoce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12</w:t>
            </w:r>
          </w:p>
        </w:tc>
        <w:tc>
          <w:tcPr>
            <w:tcW w:w="8705" w:type="dxa"/>
          </w:tcPr>
          <w:p w:rsidR="000804B8" w:rsidRPr="004D18FD" w:rsidRDefault="00706D7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pharmacocinétique précoce se fait sur du matériel humain in vivo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13</w:t>
            </w:r>
          </w:p>
        </w:tc>
        <w:tc>
          <w:tcPr>
            <w:tcW w:w="8705" w:type="dxa"/>
          </w:tcPr>
          <w:p w:rsidR="000804B8" w:rsidRPr="004D18FD" w:rsidRDefault="00706D7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aigue se mesure en 2 semaines via des doses réitérées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14</w:t>
            </w:r>
          </w:p>
        </w:tc>
        <w:tc>
          <w:tcPr>
            <w:tcW w:w="8705" w:type="dxa"/>
          </w:tcPr>
          <w:p w:rsidR="000804B8" w:rsidRPr="004D18FD" w:rsidRDefault="00706D7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NOAEL est la dose maximale sans effets indésirables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15</w:t>
            </w:r>
          </w:p>
        </w:tc>
        <w:tc>
          <w:tcPr>
            <w:tcW w:w="8705" w:type="dxa"/>
          </w:tcPr>
          <w:p w:rsidR="000804B8" w:rsidRPr="004D18FD" w:rsidRDefault="00706D7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DL 50 = </w:t>
            </w:r>
            <w:r w:rsidR="007A060F">
              <w:rPr>
                <w:rFonts w:eastAsia="Times New Roman" w:cs="Arial"/>
                <w:szCs w:val="20"/>
              </w:rPr>
              <w:t xml:space="preserve">dose tuant 50 % des animaux, elle sert pour la toxicité chronique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964AB8" w:rsidRDefault="000804B8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16</w:t>
            </w:r>
          </w:p>
        </w:tc>
        <w:tc>
          <w:tcPr>
            <w:tcW w:w="8705" w:type="dxa"/>
          </w:tcPr>
          <w:p w:rsidR="000804B8" w:rsidRPr="004D18FD" w:rsidRDefault="007A060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chronique est divisé en 2 : chronique et </w:t>
            </w:r>
            <w:proofErr w:type="spellStart"/>
            <w:r>
              <w:rPr>
                <w:rFonts w:eastAsia="Times New Roman" w:cs="Arial"/>
                <w:szCs w:val="20"/>
              </w:rPr>
              <w:t>subchronique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17</w:t>
            </w:r>
          </w:p>
        </w:tc>
        <w:tc>
          <w:tcPr>
            <w:tcW w:w="8705" w:type="dxa"/>
          </w:tcPr>
          <w:p w:rsidR="000804B8" w:rsidRPr="004D18FD" w:rsidRDefault="007A060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chronique dure 1 à 3 mois, et la </w:t>
            </w:r>
            <w:proofErr w:type="spellStart"/>
            <w:r>
              <w:rPr>
                <w:rFonts w:eastAsia="Times New Roman" w:cs="Arial"/>
                <w:szCs w:val="20"/>
              </w:rPr>
              <w:t>subchronique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plus de 3 mois</w:t>
            </w:r>
            <w:r w:rsidRPr="007A060F">
              <w:rPr>
                <w:rFonts w:eastAsia="Times New Roman" w:cs="Arial"/>
                <w:color w:val="FF0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18</w:t>
            </w:r>
          </w:p>
        </w:tc>
        <w:tc>
          <w:tcPr>
            <w:tcW w:w="8705" w:type="dxa"/>
          </w:tcPr>
          <w:p w:rsidR="000804B8" w:rsidRPr="004D18FD" w:rsidRDefault="007A060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études de </w:t>
            </w:r>
            <w:proofErr w:type="spellStart"/>
            <w:r>
              <w:rPr>
                <w:rFonts w:eastAsia="Times New Roman" w:cs="Arial"/>
                <w:szCs w:val="20"/>
              </w:rPr>
              <w:t>repro-toxicité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se</w:t>
            </w:r>
            <w:r w:rsidR="00C069A3">
              <w:rPr>
                <w:rFonts w:eastAsia="Times New Roman" w:cs="Arial"/>
                <w:szCs w:val="20"/>
              </w:rPr>
              <w:t xml:space="preserve"> font en 3 segments : citez les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19</w:t>
            </w:r>
          </w:p>
        </w:tc>
        <w:tc>
          <w:tcPr>
            <w:tcW w:w="8705" w:type="dxa"/>
          </w:tcPr>
          <w:p w:rsidR="000804B8" w:rsidRPr="007A060F" w:rsidRDefault="007A060F" w:rsidP="00791F9F">
            <w:pPr>
              <w:rPr>
                <w:rFonts w:eastAsia="Times New Roman" w:cs="Arial"/>
                <w:szCs w:val="20"/>
              </w:rPr>
            </w:pPr>
            <w:r w:rsidRPr="007A060F">
              <w:rPr>
                <w:rFonts w:eastAsia="Times New Roman" w:cs="Arial"/>
                <w:szCs w:val="20"/>
              </w:rPr>
              <w:t>Lorsque l’étude chez l’homme doit atteindre 3 mois, le médicament doit être donné au moins 3 mois chez le rongeur et 6 mois chez le non rongeur</w:t>
            </w:r>
            <w:r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20</w:t>
            </w:r>
          </w:p>
        </w:tc>
        <w:tc>
          <w:tcPr>
            <w:tcW w:w="8705" w:type="dxa"/>
          </w:tcPr>
          <w:p w:rsidR="000804B8" w:rsidRPr="00283BB0" w:rsidRDefault="00283BB0" w:rsidP="00791F9F">
            <w:pPr>
              <w:rPr>
                <w:rFonts w:eastAsia="Times New Roman" w:cs="Arial"/>
                <w:szCs w:val="20"/>
              </w:rPr>
            </w:pPr>
            <w:r w:rsidRPr="00283BB0">
              <w:rPr>
                <w:rFonts w:eastAsia="Times New Roman" w:cs="Arial"/>
                <w:szCs w:val="20"/>
              </w:rPr>
              <w:t>La durée d’administration aux rongeurs est égale à 6 mois quand le médicament doit être donné à l’homme au moins 3 mois lors d’une phase 3 en Europe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21</w:t>
            </w:r>
          </w:p>
        </w:tc>
        <w:tc>
          <w:tcPr>
            <w:tcW w:w="8705" w:type="dxa"/>
          </w:tcPr>
          <w:p w:rsidR="000804B8" w:rsidRPr="004D18FD" w:rsidRDefault="00283BB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dossier galénique s’occupe de la forme pharmaceutique finale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22</w:t>
            </w:r>
          </w:p>
        </w:tc>
        <w:tc>
          <w:tcPr>
            <w:tcW w:w="8705" w:type="dxa"/>
          </w:tcPr>
          <w:p w:rsidR="000804B8" w:rsidRPr="004D18FD" w:rsidRDefault="00283BB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C’est dans le dossier galénique que l’on s’occupe des conditions de conservations du médicaments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23</w:t>
            </w:r>
          </w:p>
        </w:tc>
        <w:tc>
          <w:tcPr>
            <w:tcW w:w="8705" w:type="dxa"/>
          </w:tcPr>
          <w:p w:rsidR="000804B8" w:rsidRPr="004D18FD" w:rsidRDefault="00283BB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C’est dans le dossier pharmacologique que l’on anticipe la dose 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24</w:t>
            </w:r>
          </w:p>
        </w:tc>
        <w:tc>
          <w:tcPr>
            <w:tcW w:w="8705" w:type="dxa"/>
          </w:tcPr>
          <w:p w:rsidR="000804B8" w:rsidRPr="004D18FD" w:rsidRDefault="00283BB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pharmacocinétique fait le lien entre l’animal et l’homme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0804B8" w:rsidRPr="000804B8">
        <w:tc>
          <w:tcPr>
            <w:tcW w:w="551" w:type="dxa"/>
          </w:tcPr>
          <w:p w:rsidR="000804B8" w:rsidRPr="004D18FD" w:rsidRDefault="000804B8" w:rsidP="00791F9F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25</w:t>
            </w:r>
          </w:p>
        </w:tc>
        <w:tc>
          <w:tcPr>
            <w:tcW w:w="8705" w:type="dxa"/>
          </w:tcPr>
          <w:p w:rsidR="000804B8" w:rsidRPr="004D18FD" w:rsidRDefault="00283BB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pathologie de l’animal est proche de la pathologie de l’homme</w:t>
            </w:r>
          </w:p>
        </w:tc>
        <w:tc>
          <w:tcPr>
            <w:tcW w:w="709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0804B8" w:rsidRPr="00F7777F" w:rsidRDefault="000804B8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26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brevet dure 25 ans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27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CCP (contrat complémentaire de protection) rajoute 10 années de protection supplémentaires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28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PA peut être d’origine humaine, végétale, chimique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29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excipients sont des composés qu’il peut être nécessaire d’ajouter au PA pour sa conservation, solubilisation et sa stabilité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30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excipients sont inertes, ils ne peuvent pas produire d’effet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31</w:t>
            </w:r>
          </w:p>
        </w:tc>
        <w:tc>
          <w:tcPr>
            <w:tcW w:w="8705" w:type="dxa"/>
          </w:tcPr>
          <w:p w:rsidR="00B031C0" w:rsidRDefault="0003520D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conditionnement primaire est directement au contact du médicament et participe à sa protection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32</w:t>
            </w:r>
          </w:p>
        </w:tc>
        <w:tc>
          <w:tcPr>
            <w:tcW w:w="8705" w:type="dxa"/>
          </w:tcPr>
          <w:p w:rsidR="00B031C0" w:rsidRDefault="008A7D4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conditionnement secondaire a une fonction informative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33</w:t>
            </w:r>
          </w:p>
        </w:tc>
        <w:tc>
          <w:tcPr>
            <w:tcW w:w="8705" w:type="dxa"/>
          </w:tcPr>
          <w:p w:rsidR="00B031C0" w:rsidRDefault="008A7D40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conditionnement secondaire permet parfois d’administrer le médicament (primaire)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34</w:t>
            </w:r>
          </w:p>
        </w:tc>
        <w:tc>
          <w:tcPr>
            <w:tcW w:w="8705" w:type="dxa"/>
          </w:tcPr>
          <w:p w:rsidR="00B031C0" w:rsidRDefault="00E76D2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Tami</w:t>
            </w:r>
            <w:r w:rsidR="00331A08">
              <w:rPr>
                <w:rFonts w:eastAsia="Times New Roman" w:cs="Arial"/>
                <w:szCs w:val="20"/>
              </w:rPr>
              <w:t>sage</w:t>
            </w:r>
            <w:r>
              <w:rPr>
                <w:rFonts w:eastAsia="Times New Roman" w:cs="Arial"/>
                <w:szCs w:val="20"/>
              </w:rPr>
              <w:t>, lyophilisation et marinage sont des exemples d’opérations pharmaceutiques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35</w:t>
            </w:r>
          </w:p>
        </w:tc>
        <w:tc>
          <w:tcPr>
            <w:tcW w:w="8705" w:type="dxa"/>
          </w:tcPr>
          <w:p w:rsidR="00B031C0" w:rsidRDefault="00E76D2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médecins peuvent prescrire de façon magistrale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36</w:t>
            </w:r>
          </w:p>
        </w:tc>
        <w:tc>
          <w:tcPr>
            <w:tcW w:w="8705" w:type="dxa"/>
          </w:tcPr>
          <w:p w:rsidR="00B031C0" w:rsidRDefault="00E76D2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préparations magistrales sont réservées aux utilisations externes des médicaments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37</w:t>
            </w:r>
          </w:p>
        </w:tc>
        <w:tc>
          <w:tcPr>
            <w:tcW w:w="8705" w:type="dxa"/>
          </w:tcPr>
          <w:p w:rsidR="00B031C0" w:rsidRDefault="00E76D2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analgésiques se prennent par voie rectale</w:t>
            </w:r>
            <w:r w:rsidRPr="00E76D22">
              <w:rPr>
                <w:rFonts w:eastAsia="Times New Roman" w:cs="Arial"/>
                <w:color w:val="008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38</w:t>
            </w:r>
          </w:p>
        </w:tc>
        <w:tc>
          <w:tcPr>
            <w:tcW w:w="8705" w:type="dxa"/>
          </w:tcPr>
          <w:p w:rsidR="00B031C0" w:rsidRDefault="0030657B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personnel</w:t>
            </w:r>
            <w:r w:rsidR="007D7DCC">
              <w:rPr>
                <w:rFonts w:eastAsia="Times New Roman" w:cs="Arial"/>
                <w:szCs w:val="20"/>
              </w:rPr>
              <w:t xml:space="preserve"> ne peut pas être </w:t>
            </w:r>
            <w:r>
              <w:rPr>
                <w:rFonts w:eastAsia="Times New Roman" w:cs="Arial"/>
                <w:szCs w:val="20"/>
              </w:rPr>
              <w:t>contrôlé dans le cadre des bonnes pratiques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E76D22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39</w:t>
            </w:r>
          </w:p>
        </w:tc>
        <w:tc>
          <w:tcPr>
            <w:tcW w:w="8705" w:type="dxa"/>
          </w:tcPr>
          <w:p w:rsidR="00B031C0" w:rsidRDefault="007D7DCC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Toutes les étapes de fabrication sont susceptibles d’être contrôlés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</w:t>
            </w:r>
            <w:r w:rsidR="00E76D22">
              <w:rPr>
                <w:rFonts w:eastAsia="Times New Roman" w:cs="Arial"/>
                <w:szCs w:val="20"/>
              </w:rPr>
              <w:t>0</w:t>
            </w:r>
          </w:p>
        </w:tc>
        <w:tc>
          <w:tcPr>
            <w:tcW w:w="8705" w:type="dxa"/>
          </w:tcPr>
          <w:p w:rsidR="00B031C0" w:rsidRDefault="0030657B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L’assurance qualité du médicament repose sur l’application des bonnes pratiques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</w:t>
            </w:r>
            <w:r w:rsidR="00E76D22">
              <w:rPr>
                <w:rFonts w:eastAsia="Times New Roman" w:cs="Arial"/>
                <w:szCs w:val="20"/>
              </w:rPr>
              <w:t>1</w:t>
            </w:r>
          </w:p>
        </w:tc>
        <w:tc>
          <w:tcPr>
            <w:tcW w:w="8705" w:type="dxa"/>
          </w:tcPr>
          <w:p w:rsidR="00B031C0" w:rsidRDefault="008B4A3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France est le premier pa</w:t>
            </w:r>
            <w:r w:rsidR="00634859">
              <w:rPr>
                <w:rFonts w:eastAsia="Times New Roman" w:cs="Arial"/>
                <w:szCs w:val="20"/>
              </w:rPr>
              <w:t xml:space="preserve">ys exportateur de médicament du monde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</w:t>
            </w:r>
            <w:r w:rsidR="00E76D22">
              <w:rPr>
                <w:rFonts w:eastAsia="Times New Roman" w:cs="Arial"/>
                <w:szCs w:val="20"/>
              </w:rPr>
              <w:t>2</w:t>
            </w:r>
          </w:p>
        </w:tc>
        <w:tc>
          <w:tcPr>
            <w:tcW w:w="8705" w:type="dxa"/>
          </w:tcPr>
          <w:p w:rsidR="00B031C0" w:rsidRDefault="005A27E4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L’ANSM délivre les autorisations d’ouverture des labos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</w:t>
            </w:r>
            <w:r w:rsidR="00E76D22">
              <w:rPr>
                <w:rFonts w:eastAsia="Times New Roman" w:cs="Arial"/>
                <w:szCs w:val="20"/>
              </w:rPr>
              <w:t>3</w:t>
            </w:r>
          </w:p>
        </w:tc>
        <w:tc>
          <w:tcPr>
            <w:tcW w:w="8705" w:type="dxa"/>
          </w:tcPr>
          <w:p w:rsidR="00B031C0" w:rsidRDefault="008A393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L’ANSM surveille, inspecte et peut modifier l’administration des labos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Pr="004D18FD" w:rsidRDefault="00B031C0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44</w:t>
            </w:r>
          </w:p>
        </w:tc>
        <w:tc>
          <w:tcPr>
            <w:tcW w:w="8705" w:type="dxa"/>
          </w:tcPr>
          <w:p w:rsidR="00B031C0" w:rsidRDefault="008A393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L’ANSM ne surveille pas les vaccins, c’est le rôle de l’Agence de Biomédecine 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B031C0" w:rsidRPr="000804B8">
        <w:tc>
          <w:tcPr>
            <w:tcW w:w="551" w:type="dxa"/>
          </w:tcPr>
          <w:p w:rsidR="00B031C0" w:rsidRDefault="00E76D22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45</w:t>
            </w:r>
          </w:p>
        </w:tc>
        <w:tc>
          <w:tcPr>
            <w:tcW w:w="8705" w:type="dxa"/>
          </w:tcPr>
          <w:p w:rsidR="00B031C0" w:rsidRDefault="008A393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vente de médicaments sur internet est autorisée mais est très encadrée</w:t>
            </w:r>
          </w:p>
        </w:tc>
        <w:tc>
          <w:tcPr>
            <w:tcW w:w="709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B031C0" w:rsidRPr="00F7777F" w:rsidRDefault="00B031C0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46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L’AMM est demandé après la phase II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47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Une fois mis sur le marché le médicament n’est plus étudié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48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 s’</w:t>
            </w:r>
            <w:r w:rsidR="00065CA7">
              <w:rPr>
                <w:rFonts w:eastAsia="Times New Roman" w:cs="Arial"/>
                <w:szCs w:val="20"/>
              </w:rPr>
              <w:t>intéresse</w:t>
            </w:r>
            <w:r>
              <w:rPr>
                <w:rFonts w:eastAsia="Times New Roman" w:cs="Arial"/>
                <w:szCs w:val="20"/>
              </w:rPr>
              <w:t xml:space="preserve"> à la sécurité du médicament chez l’être humain</w:t>
            </w:r>
          </w:p>
        </w:tc>
        <w:tc>
          <w:tcPr>
            <w:tcW w:w="709" w:type="dxa"/>
          </w:tcPr>
          <w:p w:rsidR="008A393A" w:rsidRPr="00253D48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49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 regarde l’</w:t>
            </w:r>
            <w:r w:rsidR="00065CA7">
              <w:rPr>
                <w:rFonts w:eastAsia="Times New Roman" w:cs="Arial"/>
                <w:szCs w:val="20"/>
              </w:rPr>
              <w:t>efficacité</w:t>
            </w:r>
            <w:r>
              <w:rPr>
                <w:rFonts w:eastAsia="Times New Roman" w:cs="Arial"/>
                <w:szCs w:val="20"/>
              </w:rPr>
              <w:t xml:space="preserve"> chez l’homme malade ?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50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III compare toujours son efficacité et sa tolérance face au placebo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51</w:t>
            </w:r>
          </w:p>
        </w:tc>
        <w:tc>
          <w:tcPr>
            <w:tcW w:w="8705" w:type="dxa"/>
          </w:tcPr>
          <w:p w:rsidR="008A393A" w:rsidRDefault="00253D48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IV est considéré </w:t>
            </w:r>
            <w:proofErr w:type="spellStart"/>
            <w:r>
              <w:rPr>
                <w:rFonts w:eastAsia="Times New Roman" w:cs="Arial"/>
                <w:szCs w:val="20"/>
              </w:rPr>
              <w:t>post-AMM</w:t>
            </w:r>
            <w:proofErr w:type="spellEnd"/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52</w:t>
            </w:r>
          </w:p>
        </w:tc>
        <w:tc>
          <w:tcPr>
            <w:tcW w:w="8705" w:type="dxa"/>
          </w:tcPr>
          <w:p w:rsidR="008A393A" w:rsidRDefault="00B7423E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 se f</w:t>
            </w:r>
            <w:r w:rsidR="00065CA7">
              <w:rPr>
                <w:rFonts w:eastAsia="Times New Roman" w:cs="Arial"/>
                <w:szCs w:val="20"/>
              </w:rPr>
              <w:t xml:space="preserve">ait chez le volontaire sain, elle est donc réalisable chez eux dans toutes les pathologies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53</w:t>
            </w:r>
          </w:p>
        </w:tc>
        <w:tc>
          <w:tcPr>
            <w:tcW w:w="8705" w:type="dxa"/>
          </w:tcPr>
          <w:p w:rsidR="008A393A" w:rsidRDefault="00065CA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 comprend un petit nombre de volontaire sains (10 à 100)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54</w:t>
            </w:r>
          </w:p>
        </w:tc>
        <w:tc>
          <w:tcPr>
            <w:tcW w:w="8705" w:type="dxa"/>
          </w:tcPr>
          <w:p w:rsidR="008A393A" w:rsidRDefault="00065CA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Durant les phases I nous (les hommes) servons beaucoup plus souvent de cobaye !!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56</w:t>
            </w:r>
          </w:p>
        </w:tc>
        <w:tc>
          <w:tcPr>
            <w:tcW w:w="8705" w:type="dxa"/>
          </w:tcPr>
          <w:p w:rsidR="008A393A" w:rsidRDefault="00065CA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Pendant la phase I on va déterminer la dose minimale tolérée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57</w:t>
            </w:r>
          </w:p>
        </w:tc>
        <w:tc>
          <w:tcPr>
            <w:tcW w:w="8705" w:type="dxa"/>
          </w:tcPr>
          <w:p w:rsidR="008A393A" w:rsidRDefault="00065CA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phase I on poursuit les études de pharmacocinétiques seulement à dose unique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58</w:t>
            </w:r>
          </w:p>
        </w:tc>
        <w:tc>
          <w:tcPr>
            <w:tcW w:w="8705" w:type="dxa"/>
          </w:tcPr>
          <w:p w:rsidR="008A393A" w:rsidRDefault="00065CA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</w:t>
            </w:r>
            <w:r w:rsidR="001F4299">
              <w:rPr>
                <w:rFonts w:eastAsia="Times New Roman" w:cs="Arial"/>
                <w:szCs w:val="20"/>
              </w:rPr>
              <w:t>phase I les volontaires sont généralement indemnisés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59</w:t>
            </w:r>
          </w:p>
        </w:tc>
        <w:tc>
          <w:tcPr>
            <w:tcW w:w="8705" w:type="dxa"/>
          </w:tcPr>
          <w:p w:rsidR="008A393A" w:rsidRDefault="001F4299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 concerne plus de patients que la phase I, l’ensemble de ces patients sont malades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60</w:t>
            </w:r>
          </w:p>
        </w:tc>
        <w:tc>
          <w:tcPr>
            <w:tcW w:w="8705" w:type="dxa"/>
          </w:tcPr>
          <w:p w:rsidR="001F4299" w:rsidRDefault="001F4299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II est divisible en 2 parties : </w:t>
            </w:r>
          </w:p>
          <w:p w:rsidR="001F4299" w:rsidRDefault="001F4299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- A = efficacité chez le malade </w:t>
            </w:r>
          </w:p>
          <w:p w:rsidR="008A393A" w:rsidRDefault="001F4299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- B =  toxicité chez le malade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61</w:t>
            </w:r>
          </w:p>
        </w:tc>
        <w:tc>
          <w:tcPr>
            <w:tcW w:w="8705" w:type="dxa"/>
          </w:tcPr>
          <w:p w:rsidR="008A393A" w:rsidRDefault="001F4299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En phase II on poursuit les études de pharmacocinétiques, seulement sur des malades sans autres pathol</w:t>
            </w:r>
            <w:r w:rsidR="00A5239F">
              <w:rPr>
                <w:rFonts w:eastAsia="Times New Roman" w:cs="Arial"/>
                <w:szCs w:val="20"/>
              </w:rPr>
              <w:t>o</w:t>
            </w:r>
            <w:r>
              <w:rPr>
                <w:rFonts w:eastAsia="Times New Roman" w:cs="Arial"/>
                <w:szCs w:val="20"/>
              </w:rPr>
              <w:t>gies</w:t>
            </w:r>
            <w:r w:rsidR="00A5239F"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62</w:t>
            </w:r>
          </w:p>
        </w:tc>
        <w:tc>
          <w:tcPr>
            <w:tcW w:w="8705" w:type="dxa"/>
          </w:tcPr>
          <w:p w:rsidR="008A393A" w:rsidRDefault="00A523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Durant la phase II on essaye d’établir des relations entre dose administrée et concentration obtenue, et entre concentration et effet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63</w:t>
            </w:r>
          </w:p>
        </w:tc>
        <w:tc>
          <w:tcPr>
            <w:tcW w:w="8705" w:type="dxa"/>
          </w:tcPr>
          <w:p w:rsidR="008A393A" w:rsidRDefault="00A523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études de phases 3 sont de grandes études et concernent de 1000 à 5000 patients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64</w:t>
            </w:r>
          </w:p>
        </w:tc>
        <w:tc>
          <w:tcPr>
            <w:tcW w:w="8705" w:type="dxa"/>
          </w:tcPr>
          <w:p w:rsidR="008A393A" w:rsidRDefault="00A523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III est une phase comparative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65</w:t>
            </w:r>
          </w:p>
        </w:tc>
        <w:tc>
          <w:tcPr>
            <w:tcW w:w="8705" w:type="dxa"/>
          </w:tcPr>
          <w:p w:rsidR="008A393A" w:rsidRDefault="00A523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En phase III la durée de traitement est longue et il existe des formes cliniques multiples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66</w:t>
            </w:r>
          </w:p>
        </w:tc>
        <w:tc>
          <w:tcPr>
            <w:tcW w:w="8705" w:type="dxa"/>
          </w:tcPr>
          <w:p w:rsidR="008A393A" w:rsidRDefault="00A5239F" w:rsidP="00791F9F">
            <w:pPr>
              <w:tabs>
                <w:tab w:val="left" w:pos="1643"/>
              </w:tabs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études de phases III sont toujours prospective, randomisée, m</w:t>
            </w:r>
            <w:r w:rsidR="00894DCA">
              <w:rPr>
                <w:rFonts w:eastAsia="Times New Roman" w:cs="Arial"/>
                <w:szCs w:val="20"/>
              </w:rPr>
              <w:t>ulticentrique et en double insu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A393A" w:rsidRPr="000804B8">
        <w:tc>
          <w:tcPr>
            <w:tcW w:w="551" w:type="dxa"/>
          </w:tcPr>
          <w:p w:rsidR="008A393A" w:rsidRDefault="001A29AC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67</w:t>
            </w:r>
          </w:p>
        </w:tc>
        <w:tc>
          <w:tcPr>
            <w:tcW w:w="8705" w:type="dxa"/>
          </w:tcPr>
          <w:p w:rsidR="008A393A" w:rsidRDefault="00802CD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Pendant la phase III on cherche de nouvelles indications </w:t>
            </w:r>
          </w:p>
        </w:tc>
        <w:tc>
          <w:tcPr>
            <w:tcW w:w="709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A393A" w:rsidRPr="00F7777F" w:rsidRDefault="008A393A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68</w:t>
            </w:r>
          </w:p>
        </w:tc>
        <w:tc>
          <w:tcPr>
            <w:tcW w:w="8705" w:type="dxa"/>
          </w:tcPr>
          <w:p w:rsidR="00802CD3" w:rsidRDefault="00802CD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Il faut 2 à 3 études pivots pour obtenir une AMM au niveau mondial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69</w:t>
            </w:r>
          </w:p>
        </w:tc>
        <w:tc>
          <w:tcPr>
            <w:tcW w:w="8705" w:type="dxa"/>
          </w:tcPr>
          <w:p w:rsidR="00802CD3" w:rsidRDefault="00802CD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En phase IV on détecte les effets indésirables graves, rares et on découvre de nouvelles interactions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70</w:t>
            </w:r>
          </w:p>
        </w:tc>
        <w:tc>
          <w:tcPr>
            <w:tcW w:w="8705" w:type="dxa"/>
          </w:tcPr>
          <w:p w:rsidR="00802CD3" w:rsidRDefault="00802CD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IV s’intéresse à l’innocuité du médicament dans ses conditions d’emploi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71</w:t>
            </w:r>
          </w:p>
        </w:tc>
        <w:tc>
          <w:tcPr>
            <w:tcW w:w="8705" w:type="dxa"/>
          </w:tcPr>
          <w:p w:rsidR="00802CD3" w:rsidRDefault="002C67B0" w:rsidP="00D77E8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fabricants de médicaments donne 65% aux grossistes répartiteurs, 15% à l’Hôpital et 20% aux pharmacies</w:t>
            </w:r>
            <w:r w:rsidRPr="002C67B0">
              <w:rPr>
                <w:rFonts w:eastAsia="Times New Roman" w:cs="Arial"/>
                <w:color w:val="008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72</w:t>
            </w:r>
          </w:p>
        </w:tc>
        <w:tc>
          <w:tcPr>
            <w:tcW w:w="8705" w:type="dxa"/>
          </w:tcPr>
          <w:p w:rsidR="00802CD3" w:rsidRDefault="00C069A3" w:rsidP="00D77E8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grossistes distribuent 65% de leur stock aux officines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73</w:t>
            </w:r>
          </w:p>
        </w:tc>
        <w:tc>
          <w:tcPr>
            <w:tcW w:w="8705" w:type="dxa"/>
          </w:tcPr>
          <w:p w:rsidR="00802CD3" w:rsidRDefault="00C069A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officines travaillent en flux tendu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74</w:t>
            </w:r>
          </w:p>
        </w:tc>
        <w:tc>
          <w:tcPr>
            <w:tcW w:w="8705" w:type="dxa"/>
          </w:tcPr>
          <w:p w:rsidR="00802CD3" w:rsidRDefault="00C069A3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Quels sont les spécialités comportant le plus de médicaments sur le marché français ? </w:t>
            </w:r>
            <w:r w:rsidRPr="00C069A3">
              <w:rPr>
                <w:rFonts w:eastAsia="Times New Roman" w:cs="Arial"/>
                <w:szCs w:val="20"/>
              </w:rPr>
              <w:sym w:font="Wingdings" w:char="F04A"/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75</w:t>
            </w:r>
          </w:p>
        </w:tc>
        <w:tc>
          <w:tcPr>
            <w:tcW w:w="8705" w:type="dxa"/>
          </w:tcPr>
          <w:p w:rsidR="00802CD3" w:rsidRDefault="00791F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Parce qu’au fond, on est tous un peu psycho… les français sont les plus grands consommateurs de médicaments psychotropes d’Europe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76</w:t>
            </w:r>
          </w:p>
        </w:tc>
        <w:tc>
          <w:tcPr>
            <w:tcW w:w="8705" w:type="dxa"/>
          </w:tcPr>
          <w:p w:rsidR="00802CD3" w:rsidRDefault="00791F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Presque 90% du chiffre d’affaire de l’industrie pharmaceutique se fait sur le dos de seulement 15% de la population mondiale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77</w:t>
            </w:r>
          </w:p>
        </w:tc>
        <w:tc>
          <w:tcPr>
            <w:tcW w:w="8705" w:type="dxa"/>
          </w:tcPr>
          <w:p w:rsidR="00802CD3" w:rsidRDefault="00791F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Un blockbuster est un médicament rapportant au moins 1 milliard de $/an dans le monde</w:t>
            </w:r>
          </w:p>
        </w:tc>
        <w:tc>
          <w:tcPr>
            <w:tcW w:w="709" w:type="dxa"/>
          </w:tcPr>
          <w:p w:rsidR="00802CD3" w:rsidRPr="00791F9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78</w:t>
            </w:r>
          </w:p>
        </w:tc>
        <w:tc>
          <w:tcPr>
            <w:tcW w:w="8705" w:type="dxa"/>
          </w:tcPr>
          <w:p w:rsidR="00802CD3" w:rsidRDefault="00791F9F" w:rsidP="00D77E8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blockbusters concernent des maladies modérées, non compliquées et toujours remboursées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79</w:t>
            </w:r>
          </w:p>
        </w:tc>
        <w:tc>
          <w:tcPr>
            <w:tcW w:w="8705" w:type="dxa"/>
          </w:tcPr>
          <w:p w:rsidR="00802CD3" w:rsidRDefault="00791F9F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gouvernement exige que l’on prescrive en DCI pour favoriser le choix du pharmacien vers la spécialité la moins cher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80</w:t>
            </w:r>
          </w:p>
        </w:tc>
        <w:tc>
          <w:tcPr>
            <w:tcW w:w="8705" w:type="dxa"/>
          </w:tcPr>
          <w:p w:rsidR="00802CD3" w:rsidRDefault="00791F9F" w:rsidP="00791F9F">
            <w:pPr>
              <w:rPr>
                <w:rFonts w:eastAsia="Times New Roman" w:cs="Arial"/>
                <w:szCs w:val="20"/>
              </w:rPr>
            </w:pPr>
            <w:proofErr w:type="gramStart"/>
            <w:r>
              <w:rPr>
                <w:rFonts w:eastAsia="Times New Roman" w:cs="Arial"/>
                <w:szCs w:val="20"/>
              </w:rPr>
              <w:t>Les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sont une so</w:t>
            </w:r>
            <w:r w:rsidR="00837315">
              <w:rPr>
                <w:rFonts w:eastAsia="Times New Roman" w:cs="Arial"/>
                <w:szCs w:val="20"/>
              </w:rPr>
              <w:t>u</w:t>
            </w:r>
            <w:r>
              <w:rPr>
                <w:rFonts w:eastAsia="Times New Roman" w:cs="Arial"/>
                <w:szCs w:val="20"/>
              </w:rPr>
              <w:t>rce de chiffre d’affaire facile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81</w:t>
            </w:r>
          </w:p>
        </w:tc>
        <w:tc>
          <w:tcPr>
            <w:tcW w:w="8705" w:type="dxa"/>
          </w:tcPr>
          <w:p w:rsidR="00802CD3" w:rsidRDefault="003044C1" w:rsidP="00791F9F">
            <w:pPr>
              <w:rPr>
                <w:rFonts w:eastAsia="Times New Roman" w:cs="Arial"/>
                <w:szCs w:val="20"/>
              </w:rPr>
            </w:pPr>
            <w:proofErr w:type="gramStart"/>
            <w:r>
              <w:rPr>
                <w:rFonts w:eastAsia="Times New Roman" w:cs="Arial"/>
                <w:szCs w:val="20"/>
              </w:rPr>
              <w:t xml:space="preserve">Les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différent du concurrent par des propriétés minimes</w:t>
            </w:r>
            <w:proofErr w:type="gramEnd"/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82</w:t>
            </w:r>
          </w:p>
        </w:tc>
        <w:tc>
          <w:tcPr>
            <w:tcW w:w="8705" w:type="dxa"/>
          </w:tcPr>
          <w:p w:rsidR="00802CD3" w:rsidRDefault="003044C1" w:rsidP="00791F9F">
            <w:pPr>
              <w:rPr>
                <w:rFonts w:eastAsia="Times New Roman" w:cs="Arial"/>
                <w:szCs w:val="20"/>
              </w:rPr>
            </w:pPr>
            <w:proofErr w:type="spellStart"/>
            <w:r>
              <w:rPr>
                <w:rFonts w:eastAsia="Times New Roman" w:cs="Arial"/>
                <w:szCs w:val="20"/>
              </w:rPr>
              <w:t>Mopral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et </w:t>
            </w:r>
            <w:proofErr w:type="spellStart"/>
            <w:r>
              <w:rPr>
                <w:rFonts w:eastAsia="Times New Roman" w:cs="Arial"/>
                <w:szCs w:val="20"/>
              </w:rPr>
              <w:t>Inexium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sont de bons exemples de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</w:p>
        </w:tc>
        <w:tc>
          <w:tcPr>
            <w:tcW w:w="709" w:type="dxa"/>
          </w:tcPr>
          <w:p w:rsidR="00802CD3" w:rsidRPr="00F7777F" w:rsidRDefault="00802CD3" w:rsidP="003044C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83</w:t>
            </w:r>
          </w:p>
        </w:tc>
        <w:tc>
          <w:tcPr>
            <w:tcW w:w="8705" w:type="dxa"/>
          </w:tcPr>
          <w:p w:rsidR="00802CD3" w:rsidRDefault="003044C1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médicaments OTC sont à prescriptions obligatoires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84</w:t>
            </w:r>
          </w:p>
        </w:tc>
        <w:tc>
          <w:tcPr>
            <w:tcW w:w="8705" w:type="dxa"/>
          </w:tcPr>
          <w:p w:rsidR="00802CD3" w:rsidRDefault="003044C1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L’histoire du </w:t>
            </w:r>
            <w:proofErr w:type="spellStart"/>
            <w:r>
              <w:rPr>
                <w:rFonts w:eastAsia="Times New Roman" w:cs="Arial"/>
                <w:szCs w:val="20"/>
              </w:rPr>
              <w:t>Vioxx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est intéressante pour votre Culture G mais pour le concours on s’en fou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85</w:t>
            </w:r>
          </w:p>
        </w:tc>
        <w:tc>
          <w:tcPr>
            <w:tcW w:w="8705" w:type="dxa"/>
          </w:tcPr>
          <w:p w:rsidR="00802CD3" w:rsidRDefault="003044C1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J’en ai marre de faire des items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86</w:t>
            </w:r>
          </w:p>
        </w:tc>
        <w:tc>
          <w:tcPr>
            <w:tcW w:w="8705" w:type="dxa"/>
          </w:tcPr>
          <w:p w:rsidR="00802CD3" w:rsidRDefault="00E3571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Un essai clinique reflète le protocole dont il est issu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87</w:t>
            </w:r>
          </w:p>
        </w:tc>
        <w:tc>
          <w:tcPr>
            <w:tcW w:w="8705" w:type="dxa"/>
          </w:tcPr>
          <w:p w:rsidR="00802CD3" w:rsidRDefault="00E3571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suivi des patients le long de l’étude est consigné dans le protocole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88</w:t>
            </w:r>
          </w:p>
        </w:tc>
        <w:tc>
          <w:tcPr>
            <w:tcW w:w="8705" w:type="dxa"/>
          </w:tcPr>
          <w:p w:rsidR="00802CD3" w:rsidRDefault="00E3571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L’objectif est toujours unique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89</w:t>
            </w:r>
          </w:p>
        </w:tc>
        <w:tc>
          <w:tcPr>
            <w:tcW w:w="8705" w:type="dxa"/>
          </w:tcPr>
          <w:p w:rsidR="00802CD3" w:rsidRDefault="00E3571A" w:rsidP="00E3571A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cahier d’observation reflète le protocole et comprend le consentement informé et signé du patient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90</w:t>
            </w:r>
          </w:p>
        </w:tc>
        <w:tc>
          <w:tcPr>
            <w:tcW w:w="8705" w:type="dxa"/>
          </w:tcPr>
          <w:p w:rsidR="00802CD3" w:rsidRDefault="00E3571A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maladie doit être décrite avec soin pour l’inclusion des patients</w:t>
            </w:r>
          </w:p>
        </w:tc>
        <w:tc>
          <w:tcPr>
            <w:tcW w:w="709" w:type="dxa"/>
          </w:tcPr>
          <w:p w:rsidR="00802CD3" w:rsidRPr="00F7777F" w:rsidRDefault="00E3571A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8000"/>
                <w:szCs w:val="20"/>
              </w:rPr>
              <w:t xml:space="preserve"> </w:t>
            </w: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91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critère de jugement peut être composite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92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mesure du critère de jugement doit être aisée, spécifique et reproductible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93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Pour le calcul du nombre de sujet nécessaire à l’étude il faut 4 facteurs : citez les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94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« Essai contrôlé » implique « comparaison » 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95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L’effet période est le principal avantage des essais croisés 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Pr="00572B73" w:rsidRDefault="00802CD3" w:rsidP="00572B73">
            <w:pPr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96</w:t>
            </w:r>
          </w:p>
        </w:tc>
        <w:tc>
          <w:tcPr>
            <w:tcW w:w="8705" w:type="dxa"/>
          </w:tcPr>
          <w:p w:rsidR="00802CD3" w:rsidRDefault="000E35F7" w:rsidP="00572B73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randomisation est possible mais pas nécessaire pour répartir les facteurs pronostiques dans les différents groupes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97</w:t>
            </w:r>
          </w:p>
        </w:tc>
        <w:tc>
          <w:tcPr>
            <w:tcW w:w="8705" w:type="dxa"/>
          </w:tcPr>
          <w:p w:rsidR="00802CD3" w:rsidRDefault="000E35F7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Définissez ces termes qualifiants un essai : « ouvert, insu, double insu »</w:t>
            </w:r>
            <w:r w:rsidR="008B4A32">
              <w:rPr>
                <w:rFonts w:eastAsia="Times New Roman" w:cs="Arial"/>
                <w:szCs w:val="20"/>
              </w:rPr>
              <w:t> :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02CD3" w:rsidRPr="000804B8">
        <w:tc>
          <w:tcPr>
            <w:tcW w:w="551" w:type="dxa"/>
          </w:tcPr>
          <w:p w:rsidR="00802CD3" w:rsidRDefault="00802CD3" w:rsidP="00791F9F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98</w:t>
            </w:r>
          </w:p>
        </w:tc>
        <w:tc>
          <w:tcPr>
            <w:tcW w:w="8705" w:type="dxa"/>
          </w:tcPr>
          <w:p w:rsidR="00802CD3" w:rsidRDefault="008B4A32" w:rsidP="00791F9F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Pour c’est 3 termes ci-dessus, les essais doivent subir une randomisation</w:t>
            </w:r>
          </w:p>
        </w:tc>
        <w:tc>
          <w:tcPr>
            <w:tcW w:w="709" w:type="dxa"/>
          </w:tcPr>
          <w:p w:rsidR="00802CD3" w:rsidRPr="00F7777F" w:rsidRDefault="00802CD3" w:rsidP="00791F9F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02CD3" w:rsidRDefault="00802CD3" w:rsidP="00791F9F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B4A32" w:rsidRPr="000804B8">
        <w:tc>
          <w:tcPr>
            <w:tcW w:w="551" w:type="dxa"/>
          </w:tcPr>
          <w:p w:rsidR="008B4A32" w:rsidRDefault="008B4A32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99</w:t>
            </w:r>
          </w:p>
        </w:tc>
        <w:tc>
          <w:tcPr>
            <w:tcW w:w="8705" w:type="dxa"/>
          </w:tcPr>
          <w:p w:rsidR="008B4A32" w:rsidRDefault="008B4A32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Lorsque 2 </w:t>
            </w:r>
            <w:proofErr w:type="spellStart"/>
            <w:r>
              <w:rPr>
                <w:rFonts w:eastAsia="Times New Roman" w:cs="Arial"/>
                <w:szCs w:val="20"/>
              </w:rPr>
              <w:t>ttts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doivent être comparé, l’analyse des essais se fait toujours en intention de traiter</w:t>
            </w:r>
          </w:p>
        </w:tc>
        <w:tc>
          <w:tcPr>
            <w:tcW w:w="709" w:type="dxa"/>
          </w:tcPr>
          <w:p w:rsidR="008B4A32" w:rsidRPr="00F7777F" w:rsidRDefault="008B4A32" w:rsidP="00572B73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B4A32" w:rsidRDefault="008B4A32" w:rsidP="008B4A3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8B4A32" w:rsidRPr="000804B8">
        <w:tc>
          <w:tcPr>
            <w:tcW w:w="551" w:type="dxa"/>
          </w:tcPr>
          <w:p w:rsidR="008B4A32" w:rsidRDefault="008B4A32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100</w:t>
            </w:r>
          </w:p>
        </w:tc>
        <w:tc>
          <w:tcPr>
            <w:tcW w:w="8705" w:type="dxa"/>
          </w:tcPr>
          <w:p w:rsidR="008B4A32" w:rsidRDefault="008B4A32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Dans un essai en parallèles, chaque patient reçoit successivement les 2 </w:t>
            </w:r>
            <w:proofErr w:type="spellStart"/>
            <w:r>
              <w:rPr>
                <w:rFonts w:eastAsia="Times New Roman" w:cs="Arial"/>
                <w:szCs w:val="20"/>
              </w:rPr>
              <w:t>ttts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8B4A32" w:rsidRPr="00F7777F" w:rsidRDefault="008B4A32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8B4A32" w:rsidRDefault="008B4A32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101</w:t>
            </w:r>
          </w:p>
        </w:tc>
        <w:tc>
          <w:tcPr>
            <w:tcW w:w="8705" w:type="dxa"/>
          </w:tcPr>
          <w:p w:rsidR="00572B73" w:rsidRDefault="00572B73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66% des dépenses concernent seulement 9 classes médicamenteuses</w:t>
            </w:r>
            <w:r w:rsidRPr="00572B73">
              <w:rPr>
                <w:rFonts w:eastAsia="Times New Roman" w:cs="Arial"/>
                <w:color w:val="008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102</w:t>
            </w:r>
          </w:p>
        </w:tc>
        <w:tc>
          <w:tcPr>
            <w:tcW w:w="8705" w:type="dxa"/>
          </w:tcPr>
          <w:p w:rsidR="00572B73" w:rsidRDefault="00572B73" w:rsidP="00805F78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L’information médicale continue est absolument indépendante de l’industrie pharmaceutique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103</w:t>
            </w:r>
          </w:p>
        </w:tc>
        <w:tc>
          <w:tcPr>
            <w:tcW w:w="8705" w:type="dxa"/>
          </w:tcPr>
          <w:p w:rsidR="00572B73" w:rsidRDefault="00572B73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¼ des 8000 spécialités sont remboursés sur la base du SMR en France</w:t>
            </w:r>
            <w:r w:rsidRPr="00572B73">
              <w:rPr>
                <w:rFonts w:eastAsia="Times New Roman" w:cs="Arial"/>
                <w:color w:val="008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104</w:t>
            </w:r>
          </w:p>
        </w:tc>
        <w:tc>
          <w:tcPr>
            <w:tcW w:w="8705" w:type="dxa"/>
          </w:tcPr>
          <w:p w:rsidR="00572B73" w:rsidRPr="00071B57" w:rsidRDefault="00071B57" w:rsidP="00805F78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Aucun médicament </w:t>
            </w:r>
            <w:proofErr w:type="gramStart"/>
            <w:r>
              <w:rPr>
                <w:rFonts w:eastAsia="Times New Roman" w:cs="Arial"/>
                <w:szCs w:val="20"/>
              </w:rPr>
              <w:t>a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SMR insuffisant n’est remboursé en France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105</w:t>
            </w:r>
          </w:p>
        </w:tc>
        <w:tc>
          <w:tcPr>
            <w:tcW w:w="8705" w:type="dxa"/>
          </w:tcPr>
          <w:p w:rsidR="00572B73" w:rsidRDefault="00071B57" w:rsidP="00805F78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Taux de remboursement basé sur l’ASMR et prix basé sur le SMR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106</w:t>
            </w:r>
          </w:p>
        </w:tc>
        <w:tc>
          <w:tcPr>
            <w:tcW w:w="8705" w:type="dxa"/>
          </w:tcPr>
          <w:p w:rsidR="00572B73" w:rsidRDefault="00071B57" w:rsidP="00805F78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Sur le prix du mdt, l’industriel récupère 75% et l’officine 25% 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107</w:t>
            </w:r>
          </w:p>
        </w:tc>
        <w:tc>
          <w:tcPr>
            <w:tcW w:w="8705" w:type="dxa"/>
          </w:tcPr>
          <w:p w:rsidR="00572B73" w:rsidRDefault="00071B57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budget de marketing supérieur au budget de recherche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108</w:t>
            </w:r>
          </w:p>
        </w:tc>
        <w:tc>
          <w:tcPr>
            <w:tcW w:w="8705" w:type="dxa"/>
          </w:tcPr>
          <w:p w:rsidR="00572B73" w:rsidRDefault="00071B57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12% du chiffre d’affaire de l’industrie pharmaceutique est réinjecté dans la visite médicale</w:t>
            </w:r>
          </w:p>
        </w:tc>
        <w:tc>
          <w:tcPr>
            <w:tcW w:w="709" w:type="dxa"/>
          </w:tcPr>
          <w:p w:rsidR="00572B73" w:rsidRPr="00F7777F" w:rsidRDefault="00572B73" w:rsidP="008B4A3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572B73">
            <w:pPr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109</w:t>
            </w:r>
          </w:p>
        </w:tc>
        <w:tc>
          <w:tcPr>
            <w:tcW w:w="8705" w:type="dxa"/>
          </w:tcPr>
          <w:p w:rsidR="00572B73" w:rsidRDefault="00071B57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France 9 consultations sur 10 aboutissent à la rédaction d’une ordonnances, avec </w:t>
            </w:r>
            <w:proofErr w:type="gramStart"/>
            <w:r>
              <w:rPr>
                <w:rFonts w:eastAsia="Times New Roman" w:cs="Arial"/>
                <w:szCs w:val="20"/>
              </w:rPr>
              <w:t>une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moyen de 3-4 lignes par ordonnances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110</w:t>
            </w:r>
          </w:p>
        </w:tc>
        <w:tc>
          <w:tcPr>
            <w:tcW w:w="8705" w:type="dxa"/>
          </w:tcPr>
          <w:p w:rsidR="00572B73" w:rsidRDefault="00071B57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</w:t>
            </w:r>
            <w:proofErr w:type="spellStart"/>
            <w:r>
              <w:rPr>
                <w:rFonts w:eastAsia="Times New Roman" w:cs="Arial"/>
                <w:szCs w:val="20"/>
              </w:rPr>
              <w:t>sur-promotion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des médicaments peut amener à une extension d’indication ainsi qu’à une utilisation en première intention d’un mdt de seconde intention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111</w:t>
            </w:r>
          </w:p>
        </w:tc>
        <w:tc>
          <w:tcPr>
            <w:tcW w:w="8705" w:type="dxa"/>
          </w:tcPr>
          <w:p w:rsidR="00572B73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bonnes pratiques cliniques datent de 1987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112</w:t>
            </w:r>
          </w:p>
        </w:tc>
        <w:tc>
          <w:tcPr>
            <w:tcW w:w="8705" w:type="dxa"/>
          </w:tcPr>
          <w:p w:rsidR="00572B73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Il faut attendre 1988 et la loi </w:t>
            </w:r>
            <w:proofErr w:type="spellStart"/>
            <w:r>
              <w:rPr>
                <w:rFonts w:eastAsia="Times New Roman" w:cs="Arial"/>
                <w:szCs w:val="20"/>
              </w:rPr>
              <w:t>Huriet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Cs w:val="20"/>
              </w:rPr>
              <w:t>Serusclat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pour que les phases I soient autorisé</w:t>
            </w:r>
          </w:p>
        </w:tc>
        <w:tc>
          <w:tcPr>
            <w:tcW w:w="709" w:type="dxa"/>
          </w:tcPr>
          <w:p w:rsidR="00572B73" w:rsidRPr="00F7777F" w:rsidRDefault="00572B73" w:rsidP="006A2054">
            <w:pPr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113</w:t>
            </w:r>
          </w:p>
        </w:tc>
        <w:tc>
          <w:tcPr>
            <w:tcW w:w="8705" w:type="dxa"/>
          </w:tcPr>
          <w:p w:rsidR="00572B73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BPC sont unifiés en 1987 pour aboutir aux directives européennes en 2001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114</w:t>
            </w:r>
          </w:p>
        </w:tc>
        <w:tc>
          <w:tcPr>
            <w:tcW w:w="8705" w:type="dxa"/>
          </w:tcPr>
          <w:p w:rsidR="00476871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Dans l’ordre chronologique ça a fait :</w:t>
            </w:r>
          </w:p>
          <w:p w:rsidR="00572B73" w:rsidRDefault="00476871" w:rsidP="006A2054">
            <w:pPr>
              <w:rPr>
                <w:rFonts w:eastAsia="Times New Roman" w:cs="Arial"/>
                <w:szCs w:val="20"/>
              </w:rPr>
            </w:pPr>
            <w:proofErr w:type="spellStart"/>
            <w:r>
              <w:rPr>
                <w:rFonts w:eastAsia="Times New Roman" w:cs="Arial"/>
                <w:szCs w:val="20"/>
              </w:rPr>
              <w:t>BPClinique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&gt; </w:t>
            </w:r>
            <w:proofErr w:type="spellStart"/>
            <w:r>
              <w:rPr>
                <w:rFonts w:eastAsia="Times New Roman" w:cs="Arial"/>
                <w:szCs w:val="20"/>
              </w:rPr>
              <w:t>BPLaboratoire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&gt; </w:t>
            </w:r>
            <w:proofErr w:type="spellStart"/>
            <w:r>
              <w:rPr>
                <w:rFonts w:eastAsia="Times New Roman" w:cs="Arial"/>
                <w:szCs w:val="20"/>
              </w:rPr>
              <w:t>BPFabrication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115</w:t>
            </w:r>
          </w:p>
        </w:tc>
        <w:tc>
          <w:tcPr>
            <w:tcW w:w="8705" w:type="dxa"/>
          </w:tcPr>
          <w:p w:rsidR="00572B73" w:rsidRPr="00476871" w:rsidRDefault="00476871" w:rsidP="006A2054">
            <w:pPr>
              <w:rPr>
                <w:rFonts w:eastAsia="Times New Roman" w:cs="Arial"/>
                <w:color w:val="008000"/>
                <w:szCs w:val="20"/>
              </w:rPr>
            </w:pPr>
            <w:r>
              <w:rPr>
                <w:rFonts w:eastAsia="Times New Roman" w:cs="Arial"/>
                <w:szCs w:val="20"/>
              </w:rPr>
              <w:t>Le promoteur est la personne physique qui décide du début de l’étude, il choisit l’investigateur et devra faire signer le consentement de chaque patient entrant dans l’étude</w:t>
            </w:r>
            <w:r w:rsidRPr="00476871">
              <w:rPr>
                <w:rFonts w:eastAsia="Times New Roman" w:cs="Arial"/>
                <w:color w:val="008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572B73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116</w:t>
            </w:r>
          </w:p>
        </w:tc>
        <w:tc>
          <w:tcPr>
            <w:tcW w:w="8705" w:type="dxa"/>
          </w:tcPr>
          <w:p w:rsidR="00572B73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responsable de la réalisation de l’étude est toujours un médecin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572B73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117</w:t>
            </w:r>
          </w:p>
        </w:tc>
        <w:tc>
          <w:tcPr>
            <w:tcW w:w="8705" w:type="dxa"/>
          </w:tcPr>
          <w:p w:rsidR="00572B73" w:rsidRDefault="00476871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recherche biomédicale peut être interventionnelle et non interventionnelle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118</w:t>
            </w:r>
          </w:p>
        </w:tc>
        <w:tc>
          <w:tcPr>
            <w:tcW w:w="8705" w:type="dxa"/>
          </w:tcPr>
          <w:p w:rsidR="00572B73" w:rsidRDefault="007E33FE" w:rsidP="006A2054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L’avis du CPP est consultatif 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Pr="006A2054" w:rsidRDefault="00572B73" w:rsidP="006A2054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119</w:t>
            </w:r>
          </w:p>
        </w:tc>
        <w:tc>
          <w:tcPr>
            <w:tcW w:w="8705" w:type="dxa"/>
          </w:tcPr>
          <w:p w:rsidR="00572B73" w:rsidRDefault="007E33FE" w:rsidP="006A2054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L’ANSM donne une autorisation pour la mise sur le marché du mdt mais pas pour le début des essais sur l’homme 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120</w:t>
            </w:r>
          </w:p>
        </w:tc>
        <w:tc>
          <w:tcPr>
            <w:tcW w:w="8705" w:type="dxa"/>
          </w:tcPr>
          <w:p w:rsidR="00572B73" w:rsidRDefault="007E33FE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promoteur doit s’acquitter d’une taxe avant le début de l’essai</w:t>
            </w:r>
          </w:p>
        </w:tc>
        <w:tc>
          <w:tcPr>
            <w:tcW w:w="709" w:type="dxa"/>
          </w:tcPr>
          <w:p w:rsidR="00572B73" w:rsidRPr="00F7777F" w:rsidRDefault="00572B73" w:rsidP="00476871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572B73" w:rsidRPr="000804B8">
        <w:tc>
          <w:tcPr>
            <w:tcW w:w="551" w:type="dxa"/>
          </w:tcPr>
          <w:p w:rsidR="00572B73" w:rsidRDefault="00572B73" w:rsidP="008B4A32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121</w:t>
            </w:r>
          </w:p>
        </w:tc>
        <w:tc>
          <w:tcPr>
            <w:tcW w:w="8705" w:type="dxa"/>
          </w:tcPr>
          <w:p w:rsidR="00572B73" w:rsidRDefault="007E33FE" w:rsidP="008B4A32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Fatigué nous sommes, une petite pause nous devons nous accorder !</w:t>
            </w:r>
          </w:p>
        </w:tc>
        <w:tc>
          <w:tcPr>
            <w:tcW w:w="709" w:type="dxa"/>
          </w:tcPr>
          <w:p w:rsidR="00572B73" w:rsidRPr="00F7777F" w:rsidRDefault="00572B73" w:rsidP="006A2054">
            <w:pPr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572B73" w:rsidRDefault="00572B73" w:rsidP="00476871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</w:tbl>
    <w:p w:rsidR="00FB3AC3" w:rsidRPr="000804B8" w:rsidRDefault="00791F9F" w:rsidP="000804B8">
      <w:pPr>
        <w:spacing w:after="0" w:line="240" w:lineRule="auto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br w:type="textWrapping" w:clear="all"/>
      </w:r>
      <w:r w:rsidR="000804B8" w:rsidRPr="000804B8">
        <w:rPr>
          <w:rFonts w:ascii="Arial" w:eastAsia="Times New Roman" w:hAnsi="Arial" w:cs="Arial"/>
          <w:szCs w:val="20"/>
        </w:rPr>
        <w:t> </w:t>
      </w:r>
    </w:p>
    <w:p w:rsidR="00C82491" w:rsidRPr="000804B8" w:rsidRDefault="00C82491" w:rsidP="00E129D4">
      <w:pPr>
        <w:rPr>
          <w:u w:val="single"/>
        </w:rPr>
      </w:pPr>
    </w:p>
    <w:sectPr w:rsidR="00C82491" w:rsidRPr="000804B8" w:rsidSect="00EB23D6">
      <w:footerReference w:type="default" r:id="rId9"/>
      <w:pgSz w:w="11906" w:h="16838"/>
      <w:pgMar w:top="720" w:right="720" w:bottom="426" w:left="720" w:header="0" w:footer="0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871" w:rsidRDefault="00476871">
      <w:pPr>
        <w:spacing w:after="0" w:line="240" w:lineRule="auto"/>
      </w:pPr>
      <w:r>
        <w:separator/>
      </w:r>
    </w:p>
  </w:endnote>
  <w:endnote w:type="continuationSeparator" w:id="0">
    <w:p w:rsidR="00476871" w:rsidRDefault="00476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871" w:rsidRDefault="00476871" w:rsidP="00B14D11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542688">
      <w:rPr>
        <w:b/>
        <w:noProof/>
        <w:color w:val="404040" w:themeColor="text1" w:themeTint="BF"/>
      </w:rPr>
      <w:t>5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542688">
      <w:rPr>
        <w:b/>
        <w:noProof/>
        <w:color w:val="404040" w:themeColor="text1" w:themeTint="BF"/>
      </w:rPr>
      <w:t>5</w:t>
    </w:r>
    <w:r w:rsidRPr="009C3D33">
      <w:rPr>
        <w:b/>
        <w:color w:val="404040" w:themeColor="text1" w:themeTint="BF"/>
      </w:rPr>
      <w:fldChar w:fldCharType="end"/>
    </w:r>
  </w:p>
  <w:p w:rsidR="00476871" w:rsidRDefault="00476871" w:rsidP="00B14D11">
    <w:pPr>
      <w:pStyle w:val="Pieddepage"/>
      <w:jc w:val="cen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871" w:rsidRDefault="00476871">
      <w:pPr>
        <w:spacing w:after="0" w:line="240" w:lineRule="auto"/>
      </w:pPr>
      <w:r>
        <w:separator/>
      </w:r>
    </w:p>
  </w:footnote>
  <w:footnote w:type="continuationSeparator" w:id="0">
    <w:p w:rsidR="00476871" w:rsidRDefault="00476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3562669"/>
    <w:multiLevelType w:val="hybridMultilevel"/>
    <w:tmpl w:val="2DA47632"/>
    <w:lvl w:ilvl="0" w:tplc="D01665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5007D4"/>
    <w:multiLevelType w:val="hybridMultilevel"/>
    <w:tmpl w:val="126C40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434985"/>
    <w:multiLevelType w:val="hybridMultilevel"/>
    <w:tmpl w:val="64966A3A"/>
    <w:lvl w:ilvl="0" w:tplc="1AF8EE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612F4"/>
    <w:multiLevelType w:val="hybridMultilevel"/>
    <w:tmpl w:val="1C7E87A6"/>
    <w:lvl w:ilvl="0" w:tplc="6680D3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395757"/>
    <w:multiLevelType w:val="hybridMultilevel"/>
    <w:tmpl w:val="3DCC2528"/>
    <w:lvl w:ilvl="0" w:tplc="B76639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3"/>
  </w:num>
  <w:num w:numId="14">
    <w:abstractNumId w:val="14"/>
  </w:num>
  <w:num w:numId="15">
    <w:abstractNumId w:val="1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02050"/>
    <w:rsid w:val="000253BC"/>
    <w:rsid w:val="0003520D"/>
    <w:rsid w:val="000500CE"/>
    <w:rsid w:val="00065CA7"/>
    <w:rsid w:val="00071B57"/>
    <w:rsid w:val="000804B8"/>
    <w:rsid w:val="000E35F7"/>
    <w:rsid w:val="001129CC"/>
    <w:rsid w:val="001751A7"/>
    <w:rsid w:val="00186213"/>
    <w:rsid w:val="001A29AC"/>
    <w:rsid w:val="001A601D"/>
    <w:rsid w:val="001B36C4"/>
    <w:rsid w:val="001F12E9"/>
    <w:rsid w:val="001F4299"/>
    <w:rsid w:val="001F6BE3"/>
    <w:rsid w:val="002164F7"/>
    <w:rsid w:val="00253D48"/>
    <w:rsid w:val="00263D1F"/>
    <w:rsid w:val="00283BB0"/>
    <w:rsid w:val="002A591E"/>
    <w:rsid w:val="002C5048"/>
    <w:rsid w:val="002C67B0"/>
    <w:rsid w:val="002F378B"/>
    <w:rsid w:val="00303832"/>
    <w:rsid w:val="003044C1"/>
    <w:rsid w:val="00305D01"/>
    <w:rsid w:val="0030657B"/>
    <w:rsid w:val="0032714B"/>
    <w:rsid w:val="00331A08"/>
    <w:rsid w:val="003446E4"/>
    <w:rsid w:val="0036070D"/>
    <w:rsid w:val="00364152"/>
    <w:rsid w:val="003971D4"/>
    <w:rsid w:val="003A213D"/>
    <w:rsid w:val="003A3706"/>
    <w:rsid w:val="003D0A85"/>
    <w:rsid w:val="003E0609"/>
    <w:rsid w:val="0042459A"/>
    <w:rsid w:val="0045761A"/>
    <w:rsid w:val="00476871"/>
    <w:rsid w:val="004A6B9C"/>
    <w:rsid w:val="004D18FD"/>
    <w:rsid w:val="00542688"/>
    <w:rsid w:val="0055059B"/>
    <w:rsid w:val="00572B73"/>
    <w:rsid w:val="005A27E4"/>
    <w:rsid w:val="00601C59"/>
    <w:rsid w:val="00611413"/>
    <w:rsid w:val="00630843"/>
    <w:rsid w:val="00634859"/>
    <w:rsid w:val="00635E52"/>
    <w:rsid w:val="006666B1"/>
    <w:rsid w:val="00667F77"/>
    <w:rsid w:val="00683C1A"/>
    <w:rsid w:val="006A2054"/>
    <w:rsid w:val="006B133B"/>
    <w:rsid w:val="006C6317"/>
    <w:rsid w:val="00706D7F"/>
    <w:rsid w:val="00746A7D"/>
    <w:rsid w:val="007471E2"/>
    <w:rsid w:val="00766D64"/>
    <w:rsid w:val="00776722"/>
    <w:rsid w:val="007808B6"/>
    <w:rsid w:val="00791F9F"/>
    <w:rsid w:val="007A060F"/>
    <w:rsid w:val="007A7732"/>
    <w:rsid w:val="007D7DCC"/>
    <w:rsid w:val="007E33FE"/>
    <w:rsid w:val="007F3B2C"/>
    <w:rsid w:val="007F630F"/>
    <w:rsid w:val="00802CD3"/>
    <w:rsid w:val="00805F78"/>
    <w:rsid w:val="00833F62"/>
    <w:rsid w:val="00837315"/>
    <w:rsid w:val="00840A8D"/>
    <w:rsid w:val="0085071E"/>
    <w:rsid w:val="00884197"/>
    <w:rsid w:val="0088749A"/>
    <w:rsid w:val="00894DCA"/>
    <w:rsid w:val="008A393A"/>
    <w:rsid w:val="008A7D40"/>
    <w:rsid w:val="008B4A32"/>
    <w:rsid w:val="008B5875"/>
    <w:rsid w:val="008C795D"/>
    <w:rsid w:val="008E7C45"/>
    <w:rsid w:val="009014CD"/>
    <w:rsid w:val="00910D51"/>
    <w:rsid w:val="009121A4"/>
    <w:rsid w:val="009441B9"/>
    <w:rsid w:val="00963013"/>
    <w:rsid w:val="00964AB8"/>
    <w:rsid w:val="009C4282"/>
    <w:rsid w:val="009D5E4E"/>
    <w:rsid w:val="00A07785"/>
    <w:rsid w:val="00A50B26"/>
    <w:rsid w:val="00A5239F"/>
    <w:rsid w:val="00A532B8"/>
    <w:rsid w:val="00A925DA"/>
    <w:rsid w:val="00A92A2E"/>
    <w:rsid w:val="00AA088D"/>
    <w:rsid w:val="00AB5727"/>
    <w:rsid w:val="00AC0B9D"/>
    <w:rsid w:val="00AD618A"/>
    <w:rsid w:val="00B031C0"/>
    <w:rsid w:val="00B0509B"/>
    <w:rsid w:val="00B14D11"/>
    <w:rsid w:val="00B21E1A"/>
    <w:rsid w:val="00B429A5"/>
    <w:rsid w:val="00B70D5D"/>
    <w:rsid w:val="00B7423E"/>
    <w:rsid w:val="00B769D8"/>
    <w:rsid w:val="00B8524F"/>
    <w:rsid w:val="00B97A95"/>
    <w:rsid w:val="00BB3894"/>
    <w:rsid w:val="00BB6FFF"/>
    <w:rsid w:val="00BE7090"/>
    <w:rsid w:val="00BF78F3"/>
    <w:rsid w:val="00C069A3"/>
    <w:rsid w:val="00C82491"/>
    <w:rsid w:val="00CC633C"/>
    <w:rsid w:val="00CF31B8"/>
    <w:rsid w:val="00D20F8F"/>
    <w:rsid w:val="00D22E73"/>
    <w:rsid w:val="00D77E8D"/>
    <w:rsid w:val="00D907DB"/>
    <w:rsid w:val="00D937AA"/>
    <w:rsid w:val="00DA5A1D"/>
    <w:rsid w:val="00DC5197"/>
    <w:rsid w:val="00DD50D3"/>
    <w:rsid w:val="00DE0B8A"/>
    <w:rsid w:val="00DF0A99"/>
    <w:rsid w:val="00DF0AF8"/>
    <w:rsid w:val="00DF4404"/>
    <w:rsid w:val="00E108C7"/>
    <w:rsid w:val="00E129D4"/>
    <w:rsid w:val="00E3571A"/>
    <w:rsid w:val="00E40FEB"/>
    <w:rsid w:val="00E76D22"/>
    <w:rsid w:val="00E87338"/>
    <w:rsid w:val="00EB23D6"/>
    <w:rsid w:val="00EB7690"/>
    <w:rsid w:val="00EF12C5"/>
    <w:rsid w:val="00F016A3"/>
    <w:rsid w:val="00F5736A"/>
    <w:rsid w:val="00F7777F"/>
    <w:rsid w:val="00F861F7"/>
    <w:rsid w:val="00F91825"/>
    <w:rsid w:val="00FB3AC3"/>
    <w:rsid w:val="00FB6F35"/>
    <w:rsid w:val="00FE2D48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D618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D22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FB3A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1DAB72-E5BB-8A4D-B224-8720407A9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5</Pages>
  <Words>484</Words>
  <Characters>2764</Characters>
  <Application>Microsoft Macintosh Word</Application>
  <DocSecurity>0</DocSecurity>
  <Lines>23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Nicolas Maugars</cp:lastModifiedBy>
  <cp:revision>29</cp:revision>
  <dcterms:created xsi:type="dcterms:W3CDTF">2013-05-08T08:23:00Z</dcterms:created>
  <dcterms:modified xsi:type="dcterms:W3CDTF">2013-05-08T17:01:00Z</dcterms:modified>
</cp:coreProperties>
</file>