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320728" w:rsidRPr="002B7C4C" w:rsidRDefault="00DA5A1D" w:rsidP="002B7C4C">
      <w:pPr>
        <w:spacing w:after="0" w:line="240" w:lineRule="auto"/>
        <w:ind w:left="142"/>
        <w:rPr>
          <w:rFonts w:eastAsia="Times New Roman" w:cs="Calibri"/>
          <w:sz w:val="40"/>
          <w:szCs w:val="40"/>
        </w:rPr>
      </w:pPr>
      <w:r>
        <w:rPr>
          <w:rFonts w:eastAsia="Times New Roman" w:cs="Calibri"/>
          <w:b/>
          <w:i/>
          <w:noProof/>
          <w:sz w:val="40"/>
          <w:szCs w:val="40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-342900</wp:posOffset>
            </wp:positionV>
            <wp:extent cx="1124585" cy="1531620"/>
            <wp:effectExtent l="50800" t="25400" r="18415" b="17780"/>
            <wp:wrapSquare wrapText="bothSides"/>
            <wp:docPr id="1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531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0728">
        <w:rPr>
          <w:rFonts w:eastAsia="Times New Roman" w:cs="Calibri"/>
          <w:b/>
          <w:i/>
          <w:sz w:val="40"/>
          <w:szCs w:val="40"/>
        </w:rPr>
        <w:t>D</w:t>
      </w:r>
      <w:r w:rsidR="00E925CF">
        <w:rPr>
          <w:rFonts w:eastAsia="Times New Roman" w:cs="Calibri"/>
          <w:b/>
          <w:i/>
          <w:sz w:val="40"/>
          <w:szCs w:val="40"/>
        </w:rPr>
        <w:t xml:space="preserve">evoir </w:t>
      </w:r>
      <w:r w:rsidR="00320728">
        <w:rPr>
          <w:rFonts w:eastAsia="Times New Roman" w:cs="Calibri"/>
          <w:b/>
          <w:i/>
          <w:sz w:val="40"/>
          <w:szCs w:val="40"/>
        </w:rPr>
        <w:t>M</w:t>
      </w:r>
      <w:r w:rsidR="00E925CF">
        <w:rPr>
          <w:rFonts w:eastAsia="Times New Roman" w:cs="Calibri"/>
          <w:b/>
          <w:i/>
          <w:sz w:val="40"/>
          <w:szCs w:val="40"/>
        </w:rPr>
        <w:t>aison</w:t>
      </w:r>
      <w:r w:rsidR="007A7732" w:rsidRPr="00BA2869">
        <w:rPr>
          <w:rFonts w:eastAsia="Times New Roman" w:cs="Calibri"/>
          <w:b/>
          <w:i/>
          <w:color w:val="FFFFFF" w:themeColor="background1"/>
          <w:sz w:val="40"/>
          <w:szCs w:val="40"/>
        </w:rPr>
        <w:t>1</w:t>
      </w:r>
      <w:r w:rsidR="00077263" w:rsidRPr="00077263">
        <w:rPr>
          <w:rFonts w:eastAsia="Times New Roman" w:cs="Times New Roman"/>
          <w:noProof/>
          <w:lang w:eastAsia="fr-FR"/>
        </w:rPr>
        <w:pict>
          <v:rect id="Rectangle 2" o:spid="_x0000_s1026" style="position:absolute;left:0;text-align:left;margin-left:-7.9pt;margin-top:-9.55pt;width:536.55pt;height:6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" filled="f" strokecolor="#a5a5a5 [2092]" strokeweight="2pt"/>
        </w:pict>
      </w:r>
      <w:r w:rsidR="00BA2869">
        <w:rPr>
          <w:rFonts w:eastAsia="Times New Roman" w:cs="Calibri"/>
          <w:b/>
          <w:i/>
          <w:sz w:val="40"/>
          <w:szCs w:val="40"/>
        </w:rPr>
        <w:t>2</w:t>
      </w:r>
      <w:r w:rsidR="009441B9">
        <w:rPr>
          <w:rFonts w:eastAsia="Times New Roman" w:cs="Calibri"/>
          <w:b/>
          <w:i/>
          <w:sz w:val="40"/>
          <w:szCs w:val="40"/>
        </w:rPr>
        <w:t xml:space="preserve"> </w:t>
      </w:r>
      <w:r w:rsidR="0055059B" w:rsidRPr="0055059B">
        <w:rPr>
          <w:rFonts w:eastAsia="Times New Roman" w:cs="Calibri"/>
          <w:b/>
          <w:sz w:val="40"/>
          <w:szCs w:val="40"/>
        </w:rPr>
        <w:t>:</w:t>
      </w:r>
      <w:r w:rsidR="002B7C4C">
        <w:rPr>
          <w:rFonts w:eastAsia="Times New Roman" w:cs="Calibri"/>
          <w:b/>
          <w:sz w:val="40"/>
          <w:szCs w:val="40"/>
        </w:rPr>
        <w:t xml:space="preserve"> </w:t>
      </w:r>
      <w:proofErr w:type="spellStart"/>
      <w:r w:rsidR="002B7C4C" w:rsidRPr="00E925CF">
        <w:rPr>
          <w:rFonts w:eastAsia="Times New Roman" w:cs="Calibri"/>
          <w:sz w:val="40"/>
          <w:szCs w:val="40"/>
        </w:rPr>
        <w:t>Drici</w:t>
      </w:r>
      <w:proofErr w:type="spellEnd"/>
      <w:r w:rsidR="002B7C4C" w:rsidRPr="00E925CF">
        <w:rPr>
          <w:rFonts w:eastAsia="Times New Roman" w:cs="Calibri"/>
          <w:sz w:val="40"/>
          <w:szCs w:val="40"/>
        </w:rPr>
        <w:t xml:space="preserve"> </w:t>
      </w:r>
      <w:r w:rsidR="00E925CF" w:rsidRPr="00E925CF">
        <w:rPr>
          <w:rFonts w:eastAsia="Times New Roman" w:cs="Calibri"/>
          <w:sz w:val="40"/>
          <w:szCs w:val="40"/>
        </w:rPr>
        <w:t>-&gt; Cours 7 &amp; 8</w:t>
      </w:r>
      <w:r w:rsidR="00E925CF" w:rsidRPr="00E925CF">
        <w:rPr>
          <w:rFonts w:eastAsia="Times New Roman" w:cs="Calibri"/>
          <w:sz w:val="40"/>
          <w:szCs w:val="40"/>
        </w:rPr>
        <w:tab/>
      </w:r>
      <w:r w:rsidR="00E925CF">
        <w:rPr>
          <w:rFonts w:eastAsia="Times New Roman" w:cs="Calibri"/>
          <w:b/>
          <w:sz w:val="40"/>
          <w:szCs w:val="40"/>
        </w:rPr>
        <w:tab/>
        <w:t xml:space="preserve">   </w:t>
      </w:r>
      <w:r w:rsidR="0055059B" w:rsidRPr="0055059B">
        <w:rPr>
          <w:rFonts w:eastAsia="Times New Roman" w:cs="Calibri"/>
          <w:b/>
          <w:sz w:val="40"/>
          <w:szCs w:val="40"/>
        </w:rPr>
        <w:t>UE</w:t>
      </w:r>
      <w:r>
        <w:rPr>
          <w:rFonts w:eastAsia="Times New Roman" w:cs="Calibri"/>
          <w:b/>
          <w:sz w:val="40"/>
          <w:szCs w:val="40"/>
        </w:rPr>
        <w:t>6</w:t>
      </w:r>
      <w:r w:rsidR="00BA2869">
        <w:rPr>
          <w:rFonts w:eastAsia="Times New Roman" w:cs="Calibri"/>
          <w:b/>
          <w:sz w:val="40"/>
          <w:szCs w:val="40"/>
        </w:rPr>
        <w:t xml:space="preserve"> </w:t>
      </w:r>
    </w:p>
    <w:p w:rsidR="00EB23D6" w:rsidRPr="00BA2869" w:rsidRDefault="0055059B" w:rsidP="00BA2869">
      <w:pPr>
        <w:spacing w:after="0" w:line="240" w:lineRule="auto"/>
        <w:ind w:left="142"/>
        <w:rPr>
          <w:rFonts w:eastAsia="Times New Roman" w:cs="Calibri"/>
          <w:sz w:val="40"/>
          <w:szCs w:val="40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="009441B9">
        <w:rPr>
          <w:rFonts w:eastAsia="Times New Roman" w:cs="Calibri"/>
          <w:b/>
          <w:sz w:val="28"/>
          <w:szCs w:val="28"/>
        </w:rPr>
        <w:t>QCMS</w:t>
      </w:r>
      <w:r w:rsidR="00036D8B">
        <w:rPr>
          <w:rFonts w:eastAsia="Times New Roman" w:cs="Calibri"/>
          <w:b/>
          <w:sz w:val="28"/>
          <w:szCs w:val="28"/>
        </w:rPr>
        <w:t xml:space="preserve"> + Vrai/Faux </w:t>
      </w:r>
      <w:r w:rsidR="00036D8B">
        <w:rPr>
          <w:rFonts w:eastAsia="Times New Roman" w:cs="Calibri"/>
          <w:b/>
          <w:sz w:val="36"/>
          <w:szCs w:val="28"/>
        </w:rPr>
        <w:t xml:space="preserve">      </w:t>
      </w:r>
    </w:p>
    <w:p w:rsidR="00AC0B9D" w:rsidRPr="0055059B" w:rsidRDefault="00AC0B9D" w:rsidP="0055059B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:rsidR="007B4334" w:rsidRPr="009A5F7B" w:rsidRDefault="007B4334" w:rsidP="009A5F7B">
      <w:pPr>
        <w:spacing w:after="0" w:line="240" w:lineRule="auto"/>
        <w:ind w:left="142"/>
        <w:rPr>
          <w:rFonts w:eastAsia="Times New Roman" w:cs="Calibri"/>
          <w:b/>
          <w:i/>
          <w:sz w:val="24"/>
          <w:szCs w:val="28"/>
        </w:rPr>
      </w:pPr>
    </w:p>
    <w:p w:rsidR="00036D8B" w:rsidRPr="00B30E38" w:rsidRDefault="004B6B7A" w:rsidP="00036D8B">
      <w:pPr>
        <w:spacing w:after="0" w:line="240" w:lineRule="auto"/>
        <w:ind w:left="142"/>
        <w:jc w:val="center"/>
        <w:rPr>
          <w:rFonts w:eastAsia="Times New Roman" w:cs="Calibri"/>
          <w:i/>
          <w:sz w:val="28"/>
          <w:szCs w:val="28"/>
          <w:u w:val="single"/>
        </w:rPr>
      </w:pPr>
      <w:r w:rsidRPr="00B30E38">
        <w:rPr>
          <w:rFonts w:eastAsia="Times New Roman" w:cs="Calibri"/>
          <w:b/>
          <w:i/>
          <w:sz w:val="36"/>
          <w:szCs w:val="28"/>
          <w:u w:val="single"/>
        </w:rPr>
        <w:t>CORR</w:t>
      </w:r>
      <w:r w:rsidR="00036D8B" w:rsidRPr="00B30E38">
        <w:rPr>
          <w:rFonts w:eastAsia="Times New Roman" w:cs="Calibri"/>
          <w:b/>
          <w:i/>
          <w:sz w:val="36"/>
          <w:szCs w:val="28"/>
          <w:u w:val="single"/>
        </w:rPr>
        <w:t>ECTION</w:t>
      </w:r>
    </w:p>
    <w:p w:rsidR="00036D8B" w:rsidRDefault="00036D8B" w:rsidP="00630843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20728" w:rsidRPr="00626C5A" w:rsidRDefault="00320728" w:rsidP="00320728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626C5A"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</w:rPr>
        <w:t> : R</w:t>
      </w:r>
      <w:r w:rsidRPr="00626C5A">
        <w:rPr>
          <w:rFonts w:ascii="Arial" w:hAnsi="Arial" w:cs="Arial"/>
          <w:b/>
          <w:sz w:val="20"/>
          <w:szCs w:val="20"/>
        </w:rPr>
        <w:t>éponse</w:t>
      </w:r>
      <w:r>
        <w:rPr>
          <w:rFonts w:ascii="Arial" w:hAnsi="Arial" w:cs="Arial"/>
          <w:b/>
          <w:sz w:val="20"/>
          <w:szCs w:val="20"/>
        </w:rPr>
        <w:t>s</w:t>
      </w:r>
      <w:r w:rsidRPr="00626C5A">
        <w:rPr>
          <w:rFonts w:ascii="Arial" w:hAnsi="Arial" w:cs="Arial"/>
          <w:b/>
          <w:sz w:val="20"/>
          <w:szCs w:val="20"/>
        </w:rPr>
        <w:t xml:space="preserve"> A, B</w:t>
      </w:r>
      <w:r>
        <w:rPr>
          <w:rFonts w:ascii="Arial" w:hAnsi="Arial" w:cs="Arial"/>
          <w:b/>
          <w:sz w:val="20"/>
          <w:szCs w:val="20"/>
        </w:rPr>
        <w:t>, D</w:t>
      </w:r>
    </w:p>
    <w:p w:rsidR="00320728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626C5A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</w:t>
      </w:r>
    </w:p>
    <w:p w:rsidR="00320728" w:rsidRPr="00DA5FC0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DA5FC0">
        <w:rPr>
          <w:rFonts w:ascii="Arial" w:hAnsi="Arial" w:cs="Arial"/>
          <w:sz w:val="20"/>
          <w:szCs w:val="20"/>
        </w:rPr>
        <w:t xml:space="preserve">B) </w:t>
      </w:r>
      <w:r w:rsidRPr="00DA5FC0">
        <w:rPr>
          <w:rFonts w:ascii="Arial" w:hAnsi="Arial" w:cs="Arial"/>
          <w:sz w:val="20"/>
          <w:szCs w:val="20"/>
          <w:u w:val="single"/>
        </w:rPr>
        <w:t>Vrai</w:t>
      </w:r>
      <w:r w:rsidRPr="00DA5FC0">
        <w:rPr>
          <w:rFonts w:ascii="Arial" w:hAnsi="Arial" w:cs="Arial"/>
          <w:sz w:val="20"/>
          <w:szCs w:val="20"/>
        </w:rPr>
        <w:t> </w:t>
      </w:r>
    </w:p>
    <w:p w:rsidR="00320728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626C5A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Avant la phase 4 !</w:t>
      </w:r>
    </w:p>
    <w:p w:rsidR="00320728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:rsidR="00320728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456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320728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320728" w:rsidRPr="00626C5A" w:rsidRDefault="00320728" w:rsidP="00320728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>
        <w:rPr>
          <w:rFonts w:ascii="Arial" w:hAnsi="Arial" w:cs="Arial"/>
          <w:b/>
          <w:sz w:val="20"/>
          <w:szCs w:val="20"/>
        </w:rPr>
        <w:t> : R</w:t>
      </w:r>
      <w:r w:rsidRPr="00626C5A">
        <w:rPr>
          <w:rFonts w:ascii="Arial" w:hAnsi="Arial" w:cs="Arial"/>
          <w:b/>
          <w:sz w:val="20"/>
          <w:szCs w:val="20"/>
        </w:rPr>
        <w:t>éponse</w:t>
      </w:r>
      <w:r>
        <w:rPr>
          <w:rFonts w:ascii="Arial" w:hAnsi="Arial" w:cs="Arial"/>
          <w:b/>
          <w:sz w:val="20"/>
          <w:szCs w:val="20"/>
        </w:rPr>
        <w:t>s</w:t>
      </w:r>
      <w:r w:rsidRPr="00626C5A">
        <w:rPr>
          <w:rFonts w:ascii="Arial" w:hAnsi="Arial" w:cs="Arial"/>
          <w:b/>
          <w:sz w:val="20"/>
          <w:szCs w:val="20"/>
        </w:rPr>
        <w:t xml:space="preserve"> A, </w:t>
      </w:r>
      <w:r>
        <w:rPr>
          <w:rFonts w:ascii="Arial" w:hAnsi="Arial" w:cs="Arial"/>
          <w:b/>
          <w:sz w:val="20"/>
          <w:szCs w:val="20"/>
        </w:rPr>
        <w:t>C</w:t>
      </w:r>
    </w:p>
    <w:p w:rsidR="00320728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626C5A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626C5A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</w:t>
      </w:r>
    </w:p>
    <w:p w:rsidR="00320728" w:rsidRPr="00FA3F3E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 w:rsidRPr="00DA5FC0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 w:rsidRPr="00FA3F3E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Le dossier galénique ainsi que le dossier analytique défini les conditions de conservation</w:t>
      </w:r>
    </w:p>
    <w:p w:rsidR="00320728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:rsidR="00320728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</w:p>
    <w:p w:rsidR="00620CE0" w:rsidRDefault="00320728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0F4562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:rsidR="00620CE0" w:rsidRDefault="00620CE0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620CE0" w:rsidRPr="001978B5" w:rsidRDefault="00620CE0" w:rsidP="00620CE0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1978B5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>
        <w:rPr>
          <w:rFonts w:ascii="Arial" w:hAnsi="Arial" w:cs="Arial"/>
          <w:b/>
          <w:sz w:val="20"/>
          <w:szCs w:val="20"/>
        </w:rPr>
        <w:t> : Réponse AD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 : si l’industriel ne veut pas que son médicament soit remboursé, le prix est libre, pas besoin de la CT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Faux : le CCP dure 5ans après la fin du brevet (amenant à une protection maximale de 25ans)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</w:t>
      </w:r>
    </w:p>
    <w:p w:rsidR="00620CE0" w:rsidRDefault="00620CE0" w:rsidP="00320728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620CE0" w:rsidRPr="001978B5" w:rsidRDefault="00620CE0" w:rsidP="00620CE0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1978B5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>
        <w:rPr>
          <w:rFonts w:ascii="Arial" w:hAnsi="Arial" w:cs="Arial"/>
          <w:b/>
          <w:sz w:val="20"/>
          <w:szCs w:val="20"/>
        </w:rPr>
        <w:t> : Réponse AC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Faux : le PA peut être d’origine humaine ! </w:t>
      </w:r>
      <w:proofErr w:type="gramStart"/>
      <w:r>
        <w:rPr>
          <w:rFonts w:ascii="Arial" w:hAnsi="Arial" w:cs="Arial"/>
          <w:sz w:val="20"/>
          <w:szCs w:val="20"/>
        </w:rPr>
        <w:t>ex</w:t>
      </w:r>
      <w:proofErr w:type="gramEnd"/>
      <w:r>
        <w:rPr>
          <w:rFonts w:ascii="Arial" w:hAnsi="Arial" w:cs="Arial"/>
          <w:sz w:val="20"/>
          <w:szCs w:val="20"/>
        </w:rPr>
        <w:t> : facteurs de la coagulation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 : les excipients sont inertes = aucun effet thérapeutique, mais risque d’EI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620CE0" w:rsidRPr="00AA461C" w:rsidRDefault="00620CE0" w:rsidP="00620CE0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1978B5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>
        <w:rPr>
          <w:rFonts w:ascii="Arial" w:hAnsi="Arial" w:cs="Arial"/>
          <w:b/>
          <w:sz w:val="20"/>
          <w:szCs w:val="20"/>
        </w:rPr>
        <w:t> : Réponse BCD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Faux : malheureusement non </w:t>
      </w:r>
      <w:r w:rsidRPr="00991E88">
        <w:rPr>
          <w:rFonts w:ascii="Arial" w:hAnsi="Arial" w:cs="Arial"/>
          <w:sz w:val="20"/>
          <w:szCs w:val="20"/>
        </w:rPr>
        <w:sym w:font="Wingdings" w:char="F04C"/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</w:p>
    <w:p w:rsidR="00620CE0" w:rsidRPr="00AA461C" w:rsidRDefault="00620CE0" w:rsidP="00620CE0">
      <w:pPr>
        <w:pStyle w:val="Sansinterligne"/>
        <w:jc w:val="both"/>
        <w:rPr>
          <w:rFonts w:ascii="Arial" w:hAnsi="Arial" w:cs="Arial"/>
          <w:b/>
          <w:sz w:val="20"/>
          <w:szCs w:val="20"/>
        </w:rPr>
      </w:pPr>
      <w:r w:rsidRPr="001978B5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>
        <w:rPr>
          <w:rFonts w:ascii="Arial" w:hAnsi="Arial" w:cs="Arial"/>
          <w:b/>
          <w:sz w:val="20"/>
          <w:szCs w:val="20"/>
        </w:rPr>
        <w:t> : Réponse ABCD</w:t>
      </w:r>
      <w:r>
        <w:rPr>
          <w:rFonts w:ascii="Arial" w:hAnsi="Arial" w:cs="Arial"/>
          <w:b/>
          <w:sz w:val="20"/>
          <w:szCs w:val="20"/>
        </w:rPr>
        <w:tab/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Vrai</w:t>
      </w:r>
    </w:p>
    <w:p w:rsidR="00620CE0" w:rsidRDefault="00620CE0" w:rsidP="00620CE0">
      <w:pPr>
        <w:pStyle w:val="Sansinterlign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</w:t>
      </w:r>
    </w:p>
    <w:p w:rsidR="003E55B6" w:rsidRDefault="003E55B6" w:rsidP="003E55B6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3E55B6" w:rsidRDefault="003E55B6" w:rsidP="003E55B6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7</w:t>
      </w:r>
      <w:r w:rsidRPr="00AE172B">
        <w:rPr>
          <w:rFonts w:ascii="Arial" w:hAnsi="Arial" w:cs="Arial"/>
          <w:b/>
          <w:sz w:val="20"/>
          <w:szCs w:val="20"/>
          <w:u w:val="single"/>
        </w:rPr>
        <w:t> :</w:t>
      </w:r>
      <w:r w:rsidRPr="00AE172B">
        <w:rPr>
          <w:rFonts w:ascii="Arial" w:hAnsi="Arial" w:cs="Arial"/>
          <w:b/>
          <w:sz w:val="20"/>
          <w:szCs w:val="20"/>
        </w:rPr>
        <w:t xml:space="preserve"> Réponse B</w:t>
      </w:r>
    </w:p>
    <w:p w:rsidR="003E55B6" w:rsidRDefault="003E55B6" w:rsidP="003E55B6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Times New Roman" w:hAnsi="Times New Roman"/>
        </w:rPr>
      </w:pPr>
    </w:p>
    <w:p w:rsidR="003E55B6" w:rsidRDefault="003E55B6" w:rsidP="003E55B6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8</w:t>
      </w:r>
      <w:r w:rsidRPr="003E55B6">
        <w:rPr>
          <w:rFonts w:ascii="Arial" w:hAnsi="Arial" w:cs="Arial"/>
          <w:b/>
          <w:sz w:val="20"/>
          <w:szCs w:val="20"/>
          <w:u w:val="single"/>
        </w:rPr>
        <w:t> </w:t>
      </w:r>
      <w:r w:rsidRPr="003E55B6">
        <w:rPr>
          <w:rFonts w:ascii="Arial" w:hAnsi="Arial" w:cs="Arial"/>
          <w:b/>
          <w:sz w:val="20"/>
          <w:szCs w:val="20"/>
        </w:rPr>
        <w:t>: Réponses BCD</w:t>
      </w:r>
    </w:p>
    <w:p w:rsidR="003E55B6" w:rsidRDefault="003E55B6" w:rsidP="003E55B6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 w:rsidRPr="00DE388B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Faux : La France est placée au 2</w:t>
      </w:r>
      <w:r w:rsidRPr="00DE388B">
        <w:rPr>
          <w:rFonts w:ascii="Arial" w:hAnsi="Arial" w:cs="Arial"/>
          <w:sz w:val="20"/>
          <w:szCs w:val="20"/>
          <w:vertAlign w:val="superscript"/>
        </w:rPr>
        <w:t>ième</w:t>
      </w:r>
      <w:r>
        <w:rPr>
          <w:rFonts w:ascii="Arial" w:hAnsi="Arial" w:cs="Arial"/>
          <w:sz w:val="20"/>
          <w:szCs w:val="20"/>
        </w:rPr>
        <w:t xml:space="preserve"> rang après les USA</w:t>
      </w:r>
    </w:p>
    <w:p w:rsidR="003E55B6" w:rsidRDefault="003E55B6" w:rsidP="003E55B6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Vrai</w:t>
      </w:r>
    </w:p>
    <w:p w:rsidR="003E55B6" w:rsidRDefault="003E55B6" w:rsidP="003E55B6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Vrai</w:t>
      </w:r>
    </w:p>
    <w:p w:rsidR="007B4334" w:rsidRDefault="003E55B6" w:rsidP="007B4334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Vrai</w:t>
      </w:r>
    </w:p>
    <w:p w:rsidR="007B4334" w:rsidRPr="007B4334" w:rsidRDefault="007B4334" w:rsidP="007B4334">
      <w:pPr>
        <w:widowControl w:val="0"/>
        <w:autoSpaceDE w:val="0"/>
        <w:autoSpaceDN w:val="0"/>
        <w:adjustRightInd w:val="0"/>
        <w:spacing w:after="0" w:line="240" w:lineRule="auto"/>
        <w:ind w:right="-1826"/>
        <w:jc w:val="both"/>
        <w:rPr>
          <w:rFonts w:ascii="Arial" w:hAnsi="Arial" w:cs="Arial"/>
          <w:sz w:val="20"/>
          <w:szCs w:val="20"/>
        </w:rPr>
      </w:pPr>
    </w:p>
    <w:p w:rsidR="007B4334" w:rsidRDefault="007B4334" w:rsidP="007B433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9</w:t>
      </w:r>
      <w:r w:rsidRPr="003E55B6">
        <w:rPr>
          <w:rFonts w:ascii="Arial" w:hAnsi="Arial" w:cs="Arial"/>
          <w:b/>
          <w:sz w:val="20"/>
          <w:szCs w:val="20"/>
          <w:u w:val="single"/>
        </w:rPr>
        <w:t> </w:t>
      </w:r>
      <w:r w:rsidRPr="003E55B6">
        <w:rPr>
          <w:rFonts w:ascii="Arial" w:hAnsi="Arial" w:cs="Arial"/>
          <w:b/>
          <w:sz w:val="20"/>
          <w:szCs w:val="20"/>
        </w:rPr>
        <w:t>: Réponse</w:t>
      </w:r>
      <w:r>
        <w:rPr>
          <w:rFonts w:ascii="Arial" w:hAnsi="Arial" w:cs="Arial"/>
          <w:b/>
          <w:sz w:val="20"/>
          <w:szCs w:val="20"/>
        </w:rPr>
        <w:t>s ABD</w:t>
      </w:r>
    </w:p>
    <w:p w:rsidR="007B4334" w:rsidRPr="00091105" w:rsidRDefault="007B4334" w:rsidP="007B433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91105">
        <w:rPr>
          <w:rFonts w:ascii="Arial" w:eastAsia="Times New Roman" w:hAnsi="Arial" w:cs="Arial"/>
          <w:sz w:val="20"/>
          <w:szCs w:val="20"/>
        </w:rPr>
        <w:t>A) En diminuant la posologie également</w:t>
      </w:r>
    </w:p>
    <w:p w:rsidR="007B4334" w:rsidRDefault="007B4334" w:rsidP="007B433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 Non, un excipient est inerte au niveau pharmacologique, même s’il peut entraîner des effets indésirables</w:t>
      </w:r>
    </w:p>
    <w:p w:rsidR="007B4334" w:rsidRDefault="007B4334" w:rsidP="007B433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7B4334" w:rsidRDefault="007B4334" w:rsidP="007B433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10</w:t>
      </w:r>
      <w:r w:rsidRPr="003E55B6">
        <w:rPr>
          <w:rFonts w:ascii="Arial" w:hAnsi="Arial" w:cs="Arial"/>
          <w:b/>
          <w:sz w:val="20"/>
          <w:szCs w:val="20"/>
          <w:u w:val="single"/>
        </w:rPr>
        <w:t> </w:t>
      </w:r>
      <w:r w:rsidRPr="003E55B6">
        <w:rPr>
          <w:rFonts w:ascii="Arial" w:hAnsi="Arial" w:cs="Arial"/>
          <w:b/>
          <w:sz w:val="20"/>
          <w:szCs w:val="20"/>
        </w:rPr>
        <w:t>: Réponses</w:t>
      </w:r>
      <w:r>
        <w:rPr>
          <w:rFonts w:ascii="Arial" w:hAnsi="Arial" w:cs="Arial"/>
          <w:b/>
          <w:sz w:val="20"/>
          <w:szCs w:val="20"/>
        </w:rPr>
        <w:t xml:space="preserve"> BC</w:t>
      </w:r>
    </w:p>
    <w:p w:rsidR="007B4334" w:rsidRDefault="007B4334" w:rsidP="007B433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91105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La notice est un conditionnement secondaire</w:t>
      </w:r>
    </w:p>
    <w:p w:rsidR="007B4334" w:rsidRDefault="007B4334" w:rsidP="007B433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Si, il influe, déjà pour les matériels utilisés (notice, flacon</w:t>
      </w:r>
      <w:proofErr w:type="gramStart"/>
      <w:r>
        <w:rPr>
          <w:rFonts w:ascii="Arial" w:eastAsia="Times New Roman" w:hAnsi="Arial" w:cs="Arial"/>
          <w:sz w:val="20"/>
          <w:szCs w:val="20"/>
        </w:rPr>
        <w:t>, …)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et en France s’ajoute le fait qu’on délivre des quantités prédéfinies (contrairement aux Etats-Unis où on délivre exactement la dose nécessaire de traitement)</w:t>
      </w:r>
    </w:p>
    <w:p w:rsidR="007B4334" w:rsidRDefault="007B4334" w:rsidP="007B433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B4334" w:rsidRDefault="007B4334" w:rsidP="007B433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11</w:t>
      </w:r>
      <w:r w:rsidRPr="003E55B6">
        <w:rPr>
          <w:rFonts w:ascii="Arial" w:hAnsi="Arial" w:cs="Arial"/>
          <w:b/>
          <w:sz w:val="20"/>
          <w:szCs w:val="20"/>
          <w:u w:val="single"/>
        </w:rPr>
        <w:t> </w:t>
      </w:r>
      <w:r w:rsidRPr="003E55B6">
        <w:rPr>
          <w:rFonts w:ascii="Arial" w:hAnsi="Arial" w:cs="Arial"/>
          <w:b/>
          <w:sz w:val="20"/>
          <w:szCs w:val="20"/>
        </w:rPr>
        <w:t>: Réponses</w:t>
      </w:r>
      <w:r>
        <w:rPr>
          <w:rFonts w:ascii="Arial" w:hAnsi="Arial" w:cs="Arial"/>
          <w:b/>
          <w:sz w:val="20"/>
          <w:szCs w:val="20"/>
        </w:rPr>
        <w:t xml:space="preserve"> ABC</w:t>
      </w:r>
    </w:p>
    <w:p w:rsidR="009A5F7B" w:rsidRDefault="007B4334" w:rsidP="005C015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C’est le CEPS qui fixe le prix du médicament</w:t>
      </w:r>
    </w:p>
    <w:p w:rsidR="005C0150" w:rsidRDefault="005C0150" w:rsidP="005C015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7B4334" w:rsidRPr="005C0150" w:rsidRDefault="007B4334" w:rsidP="005C015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12</w:t>
      </w:r>
      <w:r w:rsidRPr="003E55B6">
        <w:rPr>
          <w:rFonts w:ascii="Arial" w:hAnsi="Arial" w:cs="Arial"/>
          <w:b/>
          <w:sz w:val="20"/>
          <w:szCs w:val="20"/>
          <w:u w:val="single"/>
        </w:rPr>
        <w:t> </w:t>
      </w:r>
      <w:r>
        <w:rPr>
          <w:rFonts w:ascii="Arial" w:hAnsi="Arial" w:cs="Arial"/>
          <w:b/>
          <w:sz w:val="20"/>
          <w:szCs w:val="20"/>
        </w:rPr>
        <w:t>: Réponse D</w:t>
      </w:r>
    </w:p>
    <w:p w:rsidR="007B4334" w:rsidRDefault="007B4334" w:rsidP="007B4334">
      <w:pPr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Environ 30% pour le SNC, 16% pour l’appareil digestif et 15% pour l’appareil cardiovasculaire </w:t>
      </w:r>
      <w:r w:rsidRPr="008C0231">
        <w:rPr>
          <w:rFonts w:ascii="Arial" w:eastAsia="Times New Roman" w:hAnsi="Arial" w:cs="Arial"/>
          <w:i/>
          <w:sz w:val="20"/>
          <w:szCs w:val="20"/>
        </w:rPr>
        <w:t>(les autres chiffres sont à titre indicatif)</w:t>
      </w:r>
    </w:p>
    <w:p w:rsidR="007B4334" w:rsidRDefault="007B4334" w:rsidP="007B433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13</w:t>
      </w:r>
      <w:r w:rsidRPr="003E55B6">
        <w:rPr>
          <w:rFonts w:ascii="Arial" w:hAnsi="Arial" w:cs="Arial"/>
          <w:b/>
          <w:sz w:val="20"/>
          <w:szCs w:val="20"/>
          <w:u w:val="single"/>
        </w:rPr>
        <w:t> </w:t>
      </w:r>
      <w:r w:rsidRPr="003E55B6">
        <w:rPr>
          <w:rFonts w:ascii="Arial" w:hAnsi="Arial" w:cs="Arial"/>
          <w:b/>
          <w:sz w:val="20"/>
          <w:szCs w:val="20"/>
        </w:rPr>
        <w:t>: Réponses</w:t>
      </w:r>
      <w:r>
        <w:rPr>
          <w:rFonts w:ascii="Arial" w:hAnsi="Arial" w:cs="Arial"/>
          <w:b/>
          <w:sz w:val="20"/>
          <w:szCs w:val="20"/>
        </w:rPr>
        <w:t xml:space="preserve"> ACD</w:t>
      </w:r>
    </w:p>
    <w:p w:rsidR="007B4334" w:rsidRDefault="007B4334" w:rsidP="007B4334">
      <w:pPr>
        <w:tabs>
          <w:tab w:val="left" w:pos="1425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 Les médecins français prescrivent souvent et prescrivent beaucoup (3 à 4 spécialités par prescription environ)</w:t>
      </w:r>
    </w:p>
    <w:p w:rsid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hAnsi="Arial" w:cs="Arial"/>
          <w:b/>
          <w:sz w:val="20"/>
          <w:szCs w:val="20"/>
        </w:rPr>
      </w:pPr>
    </w:p>
    <w:p w:rsid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14</w:t>
      </w:r>
      <w:r w:rsidRPr="003E55B6">
        <w:rPr>
          <w:rFonts w:ascii="Arial" w:hAnsi="Arial" w:cs="Arial"/>
          <w:b/>
          <w:sz w:val="20"/>
          <w:szCs w:val="20"/>
          <w:u w:val="single"/>
        </w:rPr>
        <w:t> </w:t>
      </w:r>
      <w:r w:rsidRPr="003E55B6">
        <w:rPr>
          <w:rFonts w:ascii="Arial" w:hAnsi="Arial" w:cs="Arial"/>
          <w:b/>
          <w:sz w:val="20"/>
          <w:szCs w:val="20"/>
        </w:rPr>
        <w:t>: Réponses</w:t>
      </w:r>
      <w:r>
        <w:rPr>
          <w:rFonts w:ascii="Arial" w:hAnsi="Arial" w:cs="Arial"/>
          <w:b/>
          <w:sz w:val="20"/>
          <w:szCs w:val="20"/>
        </w:rPr>
        <w:t xml:space="preserve"> BD</w:t>
      </w:r>
    </w:p>
    <w:p w:rsid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  <w:r w:rsidRPr="00841578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841578">
        <w:rPr>
          <w:rFonts w:ascii="Arial" w:eastAsia="Times New Roman" w:hAnsi="Arial" w:cs="Arial"/>
          <w:sz w:val="20"/>
          <w:szCs w:val="20"/>
        </w:rPr>
        <w:t xml:space="preserve">Prescription médicale </w:t>
      </w:r>
      <w:r w:rsidRPr="00841578">
        <w:rPr>
          <w:rFonts w:ascii="Arial" w:eastAsia="Times New Roman" w:hAnsi="Arial" w:cs="Arial"/>
          <w:sz w:val="20"/>
          <w:szCs w:val="20"/>
          <w:u w:val="single"/>
        </w:rPr>
        <w:t>facultative</w:t>
      </w:r>
      <w:r>
        <w:rPr>
          <w:rFonts w:ascii="Arial" w:eastAsia="Times New Roman" w:hAnsi="Arial" w:cs="Arial"/>
          <w:sz w:val="20"/>
          <w:szCs w:val="20"/>
        </w:rPr>
        <w:tab/>
      </w:r>
    </w:p>
    <w:p w:rsid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Il y a aussi des économies liée à la </w:t>
      </w:r>
      <w:proofErr w:type="spellStart"/>
      <w:r>
        <w:rPr>
          <w:rFonts w:ascii="Arial" w:eastAsia="Times New Roman" w:hAnsi="Arial" w:cs="Arial"/>
          <w:sz w:val="20"/>
          <w:szCs w:val="20"/>
        </w:rPr>
        <w:t>non-consultation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chez le médecin (donc pas de remboursement)</w:t>
      </w:r>
    </w:p>
    <w:p w:rsid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15</w:t>
      </w:r>
      <w:r w:rsidRPr="003E55B6">
        <w:rPr>
          <w:rFonts w:ascii="Arial" w:hAnsi="Arial" w:cs="Arial"/>
          <w:b/>
          <w:sz w:val="20"/>
          <w:szCs w:val="20"/>
          <w:u w:val="single"/>
        </w:rPr>
        <w:t> </w:t>
      </w:r>
      <w:r w:rsidRPr="003E55B6">
        <w:rPr>
          <w:rFonts w:ascii="Arial" w:hAnsi="Arial" w:cs="Arial"/>
          <w:b/>
          <w:sz w:val="20"/>
          <w:szCs w:val="20"/>
        </w:rPr>
        <w:t>: Réponse</w:t>
      </w:r>
      <w:r>
        <w:rPr>
          <w:rFonts w:ascii="Arial" w:hAnsi="Arial" w:cs="Arial"/>
          <w:b/>
          <w:sz w:val="20"/>
          <w:szCs w:val="20"/>
        </w:rPr>
        <w:t>s AD</w:t>
      </w:r>
    </w:p>
    <w:p w:rsid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Les hôpitaux se </w:t>
      </w:r>
      <w:proofErr w:type="gramStart"/>
      <w:r>
        <w:rPr>
          <w:rFonts w:ascii="Arial" w:eastAsia="Times New Roman" w:hAnsi="Arial" w:cs="Arial"/>
          <w:sz w:val="20"/>
          <w:szCs w:val="20"/>
        </w:rPr>
        <w:t>fournissent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presque à 100% auprès des fabricants</w:t>
      </w:r>
    </w:p>
    <w:p w:rsidR="005C0150" w:rsidRDefault="007B4334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C’est </w:t>
      </w:r>
      <w:r w:rsidRPr="00B7171C">
        <w:rPr>
          <w:rFonts w:ascii="Arial" w:eastAsia="Times New Roman" w:hAnsi="Arial" w:cs="Arial"/>
          <w:b/>
          <w:sz w:val="20"/>
          <w:szCs w:val="20"/>
          <w:u w:val="single"/>
        </w:rPr>
        <w:t>700</w:t>
      </w:r>
      <w:r>
        <w:rPr>
          <w:rFonts w:ascii="Arial" w:eastAsia="Times New Roman" w:hAnsi="Arial" w:cs="Arial"/>
          <w:sz w:val="20"/>
          <w:szCs w:val="20"/>
        </w:rPr>
        <w:t xml:space="preserve"> milliards de dollars</w:t>
      </w:r>
    </w:p>
    <w:p w:rsidR="005C0150" w:rsidRDefault="005C0150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5C0150" w:rsidRDefault="005C0150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5C0150" w:rsidRDefault="005C0150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5C0150" w:rsidRDefault="005C0150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5C0150" w:rsidRDefault="005C0150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5C0150" w:rsidRDefault="005C0150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5C0150" w:rsidRDefault="005C0150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5C0150" w:rsidRDefault="005C0150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7B4334" w:rsidRPr="007B4334" w:rsidRDefault="007B4334" w:rsidP="007B4334">
      <w:pPr>
        <w:tabs>
          <w:tab w:val="left" w:pos="1425"/>
          <w:tab w:val="left" w:pos="3810"/>
        </w:tabs>
        <w:spacing w:after="0"/>
        <w:rPr>
          <w:rFonts w:ascii="Arial" w:eastAsia="Times New Roman" w:hAnsi="Arial" w:cs="Arial"/>
          <w:sz w:val="20"/>
          <w:szCs w:val="20"/>
        </w:rPr>
      </w:pPr>
    </w:p>
    <w:p w:rsidR="00C66026" w:rsidRDefault="005C0150" w:rsidP="00492DC2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drawing>
          <wp:inline distT="0" distB="0" distL="0" distR="0">
            <wp:extent cx="6645910" cy="4120515"/>
            <wp:effectExtent l="25400" t="0" r="8890" b="0"/>
            <wp:docPr id="2" name="Image 1" descr="aKwR0yW_700b_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wR0yW_700b_v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2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F7B" w:rsidRDefault="009A5F7B" w:rsidP="00C6602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40"/>
          <w:szCs w:val="20"/>
          <w:u w:val="single"/>
        </w:rPr>
      </w:pPr>
    </w:p>
    <w:p w:rsidR="005C0150" w:rsidRDefault="005C0150" w:rsidP="00C6602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40"/>
          <w:szCs w:val="20"/>
          <w:u w:val="single"/>
        </w:rPr>
      </w:pPr>
    </w:p>
    <w:p w:rsidR="005C0150" w:rsidRDefault="005C0150" w:rsidP="00C6602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40"/>
          <w:szCs w:val="20"/>
          <w:u w:val="single"/>
        </w:rPr>
      </w:pPr>
    </w:p>
    <w:p w:rsidR="005C0150" w:rsidRDefault="005C0150" w:rsidP="00C6602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40"/>
          <w:szCs w:val="20"/>
          <w:u w:val="single"/>
        </w:rPr>
      </w:pPr>
    </w:p>
    <w:p w:rsidR="009049D7" w:rsidRDefault="009049D7" w:rsidP="009049D7">
      <w:pPr>
        <w:spacing w:after="0" w:line="240" w:lineRule="auto"/>
        <w:rPr>
          <w:rFonts w:ascii="Arial" w:eastAsia="Times New Roman" w:hAnsi="Arial" w:cs="Arial"/>
          <w:b/>
          <w:i/>
          <w:sz w:val="40"/>
          <w:szCs w:val="20"/>
          <w:u w:val="single"/>
        </w:rPr>
      </w:pPr>
    </w:p>
    <w:p w:rsidR="00C66026" w:rsidRDefault="00C66026" w:rsidP="009049D7">
      <w:pPr>
        <w:spacing w:after="0" w:line="240" w:lineRule="auto"/>
        <w:jc w:val="center"/>
        <w:rPr>
          <w:rFonts w:ascii="Arial" w:eastAsia="Times New Roman" w:hAnsi="Arial" w:cs="Arial"/>
          <w:sz w:val="40"/>
          <w:szCs w:val="20"/>
        </w:rPr>
      </w:pPr>
      <w:r w:rsidRPr="000804B8">
        <w:rPr>
          <w:rFonts w:ascii="Arial" w:eastAsia="Times New Roman" w:hAnsi="Arial" w:cs="Arial"/>
          <w:b/>
          <w:i/>
          <w:sz w:val="40"/>
          <w:szCs w:val="20"/>
          <w:u w:val="single"/>
        </w:rPr>
        <w:t>Vrai/Faux</w:t>
      </w:r>
    </w:p>
    <w:p w:rsidR="00C66026" w:rsidRDefault="00C66026" w:rsidP="00C66026">
      <w:pPr>
        <w:spacing w:after="0" w:line="240" w:lineRule="auto"/>
        <w:jc w:val="center"/>
        <w:rPr>
          <w:rFonts w:ascii="Arial" w:eastAsia="Times New Roman" w:hAnsi="Arial" w:cs="Arial"/>
          <w:sz w:val="40"/>
          <w:szCs w:val="20"/>
        </w:rPr>
      </w:pPr>
    </w:p>
    <w:tbl>
      <w:tblPr>
        <w:tblStyle w:val="Grille"/>
        <w:tblW w:w="0" w:type="auto"/>
        <w:tblLook w:val="00BF"/>
      </w:tblPr>
      <w:tblGrid>
        <w:gridCol w:w="551"/>
        <w:gridCol w:w="8705"/>
        <w:gridCol w:w="709"/>
        <w:gridCol w:w="717"/>
      </w:tblGrid>
      <w:tr w:rsidR="00C66026">
        <w:tc>
          <w:tcPr>
            <w:tcW w:w="463" w:type="dxa"/>
          </w:tcPr>
          <w:p w:rsidR="00C66026" w:rsidRPr="004D18FD" w:rsidRDefault="00C66026" w:rsidP="00C66026">
            <w:pPr>
              <w:rPr>
                <w:rFonts w:eastAsia="Times New Roman" w:cs="Arial"/>
                <w:b/>
                <w:szCs w:val="20"/>
              </w:rPr>
            </w:pPr>
            <w:r w:rsidRPr="004D18FD">
              <w:rPr>
                <w:rFonts w:eastAsia="Times New Roman" w:cs="Arial"/>
                <w:b/>
                <w:szCs w:val="20"/>
              </w:rPr>
              <w:t>N°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b/>
                <w:szCs w:val="20"/>
              </w:rPr>
            </w:pPr>
          </w:p>
        </w:tc>
        <w:tc>
          <w:tcPr>
            <w:tcW w:w="709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b/>
                <w:szCs w:val="20"/>
              </w:rPr>
            </w:pPr>
            <w:r w:rsidRPr="004D18FD">
              <w:rPr>
                <w:rFonts w:eastAsia="Times New Roman" w:cs="Arial"/>
                <w:b/>
                <w:szCs w:val="20"/>
              </w:rPr>
              <w:t>Vrai</w:t>
            </w:r>
          </w:p>
        </w:tc>
        <w:tc>
          <w:tcPr>
            <w:tcW w:w="717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b/>
                <w:szCs w:val="20"/>
              </w:rPr>
            </w:pPr>
            <w:r w:rsidRPr="004D18FD">
              <w:rPr>
                <w:rFonts w:eastAsia="Times New Roman" w:cs="Arial"/>
                <w:b/>
                <w:szCs w:val="20"/>
              </w:rPr>
              <w:t>Faux</w:t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Lorsque l’on donne une dose, on peut obtenir plusieurs concentrations résultantes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 xml:space="preserve">Une concentration de médicament donné donne le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même effet</w:t>
            </w:r>
            <w:r w:rsidRPr="004D18FD">
              <w:rPr>
                <w:rFonts w:eastAsia="Times New Roman" w:cs="Arial"/>
                <w:szCs w:val="20"/>
              </w:rPr>
              <w:t xml:space="preserve"> chez tous les patients</w:t>
            </w:r>
            <w:r w:rsidR="00BD58A9">
              <w:rPr>
                <w:rFonts w:eastAsia="Times New Roman" w:cs="Arial"/>
                <w:szCs w:val="20"/>
              </w:rPr>
              <w:t xml:space="preserve"> </w:t>
            </w:r>
            <w:r w:rsidR="00BD58A9" w:rsidRPr="00BD58A9">
              <w:rPr>
                <w:rFonts w:eastAsia="Times New Roman" w:cs="Arial"/>
                <w:color w:val="008000"/>
                <w:szCs w:val="20"/>
              </w:rPr>
              <w:t>(effets variables)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3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 xml:space="preserve">À partir d’un certain niveau d‘efficacité l’augmentation des doses ne fait que diminuer la tolérance au traitement 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4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 xml:space="preserve">Les associations de médicaments sont une pratique </w:t>
            </w:r>
            <w:r w:rsidRPr="00C66026">
              <w:rPr>
                <w:rFonts w:eastAsia="Times New Roman" w:cs="Arial"/>
                <w:strike/>
                <w:color w:val="FF0000"/>
                <w:szCs w:val="20"/>
              </w:rPr>
              <w:t>rare</w:t>
            </w:r>
            <w:r w:rsidRPr="00C66026">
              <w:rPr>
                <w:rFonts w:eastAsia="Times New Roman" w:cs="Arial"/>
                <w:color w:val="FF0000"/>
                <w:szCs w:val="20"/>
              </w:rPr>
              <w:t xml:space="preserve"> </w:t>
            </w:r>
            <w:r w:rsidRPr="00C66026">
              <w:rPr>
                <w:rFonts w:eastAsia="Times New Roman" w:cs="Arial"/>
                <w:color w:val="008000"/>
                <w:szCs w:val="20"/>
              </w:rPr>
              <w:t>(permet d’obtenir l’effet suffisant pour le traitement en gardant les deux médicaments dans leur intervalle thérapeutique respectif)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5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 xml:space="preserve">DCI = dénomination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courante</w:t>
            </w:r>
            <w:r w:rsidRPr="004D18FD">
              <w:rPr>
                <w:rFonts w:eastAsia="Times New Roman" w:cs="Arial"/>
                <w:szCs w:val="20"/>
              </w:rPr>
              <w:t xml:space="preserve"> internationale </w:t>
            </w:r>
            <w:r>
              <w:rPr>
                <w:rFonts w:eastAsia="Times New Roman" w:cs="Arial"/>
                <w:color w:val="008000"/>
                <w:szCs w:val="20"/>
              </w:rPr>
              <w:t>(d</w:t>
            </w:r>
            <w:r w:rsidRPr="00C66026">
              <w:rPr>
                <w:rFonts w:eastAsia="Times New Roman" w:cs="Arial"/>
                <w:color w:val="008000"/>
                <w:szCs w:val="20"/>
              </w:rPr>
              <w:t>énomination commune internationale)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6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Le terme de philanthropie caractérise le but d’une entreprise : faire de l’argent</w:t>
            </w:r>
            <w:r w:rsidR="00BD58A9">
              <w:rPr>
                <w:rFonts w:eastAsia="Times New Roman" w:cs="Arial"/>
                <w:color w:val="008000"/>
                <w:szCs w:val="20"/>
              </w:rPr>
              <w:t xml:space="preserve"> </w:t>
            </w:r>
            <w:r w:rsidRPr="00C66026">
              <w:rPr>
                <w:rFonts w:eastAsia="Times New Roman" w:cs="Arial"/>
                <w:color w:val="008000"/>
                <w:szCs w:val="20"/>
              </w:rPr>
              <w:t>(philanthropie = générosité désintéressée, l’industrie pharmaceutique n’est pas une industrie philanthropique</w:t>
            </w:r>
            <w:r w:rsidR="00BD58A9">
              <w:rPr>
                <w:rFonts w:eastAsia="Times New Roman" w:cs="Arial"/>
                <w:color w:val="008000"/>
                <w:szCs w:val="20"/>
              </w:rPr>
              <w:t xml:space="preserve">, </w:t>
            </w:r>
            <w:r w:rsidR="00BD58A9" w:rsidRPr="00BD58A9">
              <w:rPr>
                <w:rFonts w:eastAsia="Times New Roman" w:cs="Arial"/>
                <w:i/>
                <w:color w:val="008000"/>
                <w:szCs w:val="20"/>
              </w:rPr>
              <w:t>juste pour définir un peu cette notion</w:t>
            </w:r>
            <w:r w:rsidRPr="00C66026">
              <w:rPr>
                <w:rFonts w:eastAsia="Times New Roman" w:cs="Arial"/>
                <w:color w:val="008000"/>
                <w:szCs w:val="20"/>
              </w:rPr>
              <w:t>)</w:t>
            </w:r>
            <w:r>
              <w:rPr>
                <w:rFonts w:eastAsia="Times New Roman" w:cs="Arial"/>
                <w:color w:val="FF000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7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tabs>
                <w:tab w:val="left" w:pos="7255"/>
              </w:tabs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recherche exploratoire peut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seulement se faire par</w:t>
            </w:r>
            <w:r>
              <w:rPr>
                <w:rFonts w:eastAsia="Times New Roman" w:cs="Arial"/>
                <w:szCs w:val="20"/>
              </w:rPr>
              <w:t xml:space="preserve"> synthèse, et par l’aide des biotechnologies </w:t>
            </w:r>
            <w:r w:rsidRPr="00C66026">
              <w:rPr>
                <w:rFonts w:eastAsia="Times New Roman" w:cs="Arial"/>
                <w:color w:val="008000"/>
                <w:szCs w:val="20"/>
              </w:rPr>
              <w:t>(on peut également trouver des molécules en les prenant dans une chimiothèque)</w:t>
            </w:r>
            <w:r w:rsidRPr="00C66026">
              <w:rPr>
                <w:rFonts w:eastAsia="Times New Roman" w:cs="Arial"/>
                <w:color w:val="008000"/>
                <w:szCs w:val="20"/>
              </w:rPr>
              <w:tab/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8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On recherche les têtes e séries en fonction entre autre de la pharmacocinétique et des caractéristiques physico-chimiques de la molécule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9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test d’Ames permet de tester la </w:t>
            </w:r>
            <w:proofErr w:type="spellStart"/>
            <w:r>
              <w:rPr>
                <w:rFonts w:eastAsia="Times New Roman" w:cs="Arial"/>
                <w:szCs w:val="20"/>
              </w:rPr>
              <w:t>mutagénicité</w:t>
            </w:r>
            <w:proofErr w:type="spellEnd"/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10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dossier pré-clinique comprend les dossier analytique, toxicologique, galénique et pharmacologique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11</w:t>
            </w:r>
          </w:p>
        </w:tc>
        <w:tc>
          <w:tcPr>
            <w:tcW w:w="8717" w:type="dxa"/>
          </w:tcPr>
          <w:p w:rsidR="00C66026" w:rsidRPr="00706D7F" w:rsidRDefault="00C66026" w:rsidP="00C66026">
            <w:pPr>
              <w:rPr>
                <w:rFonts w:eastAsia="Times New Roman" w:cs="Arial"/>
                <w:color w:val="FF0000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dossier analytique s’intéresse au PA et à sa pharmacocinétique précoce 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12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pharmacocinétique précoce se fait sur du matériel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humain</w:t>
            </w:r>
            <w:r>
              <w:rPr>
                <w:rFonts w:eastAsia="Times New Roman" w:cs="Arial"/>
                <w:szCs w:val="20"/>
              </w:rPr>
              <w:t xml:space="preserve"> in vivo </w:t>
            </w:r>
            <w:r w:rsidRPr="00BD58A9">
              <w:rPr>
                <w:rFonts w:eastAsia="Times New Roman" w:cs="Arial"/>
                <w:color w:val="008000"/>
                <w:szCs w:val="20"/>
              </w:rPr>
              <w:t>(matériel animal, c’est les premiers tests on va pas les pratiquer sur l’homme, c’est beaucoup trop risqué !)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13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toxicité aigue se mesure en 2 semaines via des doses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réitérées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BD58A9">
              <w:rPr>
                <w:rFonts w:eastAsia="Times New Roman" w:cs="Arial"/>
                <w:color w:val="008000"/>
                <w:szCs w:val="20"/>
              </w:rPr>
              <w:t>(dose unique)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14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NOAEL est la dose maximale sans effets indésirables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15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DL 50 = dose tuant 50 % des animaux, elle sert pour la toxicité chronique </w:t>
            </w:r>
            <w:r w:rsidRPr="00BD58A9">
              <w:rPr>
                <w:rFonts w:eastAsia="Times New Roman" w:cs="Arial"/>
                <w:color w:val="008000"/>
                <w:szCs w:val="20"/>
              </w:rPr>
              <w:t>(aigue)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16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toxicité chronique est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divisé en 2</w:t>
            </w:r>
            <w:r>
              <w:rPr>
                <w:rFonts w:eastAsia="Times New Roman" w:cs="Arial"/>
                <w:szCs w:val="20"/>
              </w:rPr>
              <w:t xml:space="preserve"> : chronique et </w:t>
            </w:r>
            <w:proofErr w:type="spellStart"/>
            <w:r>
              <w:rPr>
                <w:rFonts w:eastAsia="Times New Roman" w:cs="Arial"/>
                <w:szCs w:val="20"/>
              </w:rPr>
              <w:t>subchronique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</w:t>
            </w:r>
            <w:r w:rsidRPr="00BD58A9">
              <w:rPr>
                <w:rFonts w:eastAsia="Times New Roman" w:cs="Arial"/>
                <w:color w:val="008000"/>
                <w:szCs w:val="20"/>
              </w:rPr>
              <w:t xml:space="preserve">(en 3 </w:t>
            </w:r>
            <w:proofErr w:type="spellStart"/>
            <w:r w:rsidRPr="00BD58A9">
              <w:rPr>
                <w:rFonts w:eastAsia="Times New Roman" w:cs="Arial"/>
                <w:color w:val="008000"/>
                <w:szCs w:val="20"/>
              </w:rPr>
              <w:t>subaigue</w:t>
            </w:r>
            <w:proofErr w:type="spellEnd"/>
            <w:r w:rsidRPr="00BD58A9">
              <w:rPr>
                <w:rFonts w:eastAsia="Times New Roman" w:cs="Arial"/>
                <w:color w:val="008000"/>
                <w:szCs w:val="20"/>
              </w:rPr>
              <w:t xml:space="preserve">, </w:t>
            </w:r>
            <w:proofErr w:type="spellStart"/>
            <w:r w:rsidRPr="00BD58A9">
              <w:rPr>
                <w:rFonts w:eastAsia="Times New Roman" w:cs="Arial"/>
                <w:color w:val="008000"/>
                <w:szCs w:val="20"/>
              </w:rPr>
              <w:t>subchronique</w:t>
            </w:r>
            <w:proofErr w:type="spellEnd"/>
            <w:r w:rsidRPr="00BD58A9">
              <w:rPr>
                <w:rFonts w:eastAsia="Times New Roman" w:cs="Arial"/>
                <w:color w:val="008000"/>
                <w:szCs w:val="20"/>
              </w:rPr>
              <w:t>, et chronique)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17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toxicité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 xml:space="preserve">chronique dure 1 à 3 mois, et la </w:t>
            </w:r>
            <w:proofErr w:type="spellStart"/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subchronique</w:t>
            </w:r>
            <w:proofErr w:type="spellEnd"/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 xml:space="preserve"> plus de 3 mois</w:t>
            </w:r>
            <w:r w:rsidRPr="007A060F">
              <w:rPr>
                <w:rFonts w:eastAsia="Times New Roman" w:cs="Arial"/>
                <w:color w:val="FF0000"/>
                <w:szCs w:val="20"/>
              </w:rPr>
              <w:t xml:space="preserve"> </w:t>
            </w:r>
            <w:r w:rsidRPr="00BD58A9">
              <w:rPr>
                <w:rFonts w:eastAsia="Times New Roman" w:cs="Arial"/>
                <w:color w:val="008000"/>
                <w:szCs w:val="20"/>
              </w:rPr>
              <w:t>(</w:t>
            </w:r>
            <w:proofErr w:type="spellStart"/>
            <w:r w:rsidRPr="00BD58A9">
              <w:rPr>
                <w:rFonts w:eastAsia="Times New Roman" w:cs="Arial"/>
                <w:color w:val="008000"/>
                <w:szCs w:val="20"/>
              </w:rPr>
              <w:t>subchronique</w:t>
            </w:r>
            <w:proofErr w:type="spellEnd"/>
            <w:r w:rsidRPr="00BD58A9">
              <w:rPr>
                <w:rFonts w:eastAsia="Times New Roman" w:cs="Arial"/>
                <w:color w:val="008000"/>
                <w:szCs w:val="20"/>
              </w:rPr>
              <w:t xml:space="preserve"> = 1-3 mois, chronique &gt; 3 mois)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18</w:t>
            </w:r>
          </w:p>
        </w:tc>
        <w:tc>
          <w:tcPr>
            <w:tcW w:w="8717" w:type="dxa"/>
          </w:tcPr>
          <w:p w:rsidR="00C66026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études de </w:t>
            </w:r>
            <w:proofErr w:type="spellStart"/>
            <w:r>
              <w:rPr>
                <w:rFonts w:eastAsia="Times New Roman" w:cs="Arial"/>
                <w:szCs w:val="20"/>
              </w:rPr>
              <w:t>repro-toxicité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se font en 3 segments : citez les =D</w:t>
            </w:r>
          </w:p>
          <w:p w:rsidR="00C66026" w:rsidRPr="00BD58A9" w:rsidRDefault="00C66026" w:rsidP="00C66026">
            <w:pPr>
              <w:rPr>
                <w:rFonts w:eastAsia="Times New Roman" w:cs="Arial"/>
                <w:color w:val="008000"/>
                <w:szCs w:val="20"/>
              </w:rPr>
            </w:pPr>
            <w:r w:rsidRPr="00BD58A9">
              <w:rPr>
                <w:rFonts w:eastAsia="Times New Roman" w:cs="Arial"/>
                <w:color w:val="008000"/>
                <w:szCs w:val="20"/>
              </w:rPr>
              <w:t>- fertilité et embryogénèse </w:t>
            </w:r>
          </w:p>
          <w:p w:rsidR="00C66026" w:rsidRPr="00BD58A9" w:rsidRDefault="00C66026" w:rsidP="00C66026">
            <w:pPr>
              <w:rPr>
                <w:rFonts w:eastAsia="Times New Roman" w:cs="Arial"/>
                <w:color w:val="008000"/>
                <w:szCs w:val="20"/>
              </w:rPr>
            </w:pPr>
            <w:r w:rsidRPr="00BD58A9">
              <w:rPr>
                <w:rFonts w:eastAsia="Times New Roman" w:cs="Arial"/>
                <w:color w:val="008000"/>
                <w:szCs w:val="20"/>
              </w:rPr>
              <w:t>- embry-foeto toxicité et tératogénèse</w:t>
            </w:r>
          </w:p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 w:rsidRPr="00BD58A9">
              <w:rPr>
                <w:rFonts w:eastAsia="Times New Roman" w:cs="Arial"/>
                <w:color w:val="008000"/>
                <w:szCs w:val="20"/>
              </w:rPr>
              <w:t>- péri et post-natalité</w:t>
            </w:r>
            <w:r>
              <w:rPr>
                <w:rFonts w:eastAsia="Times New Roman" w:cs="Arial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19</w:t>
            </w:r>
          </w:p>
        </w:tc>
        <w:tc>
          <w:tcPr>
            <w:tcW w:w="8717" w:type="dxa"/>
          </w:tcPr>
          <w:p w:rsidR="00C66026" w:rsidRPr="007A060F" w:rsidRDefault="00C66026" w:rsidP="00C66026">
            <w:pPr>
              <w:rPr>
                <w:rFonts w:eastAsia="Times New Roman" w:cs="Arial"/>
                <w:szCs w:val="20"/>
              </w:rPr>
            </w:pPr>
            <w:r w:rsidRPr="007A060F">
              <w:rPr>
                <w:rFonts w:eastAsia="Times New Roman" w:cs="Arial"/>
                <w:szCs w:val="20"/>
              </w:rPr>
              <w:t xml:space="preserve">Lorsque l’étude chez l’homme doit atteindre 3 mois, le médicament doit être donné au moins 3 mois chez le rongeur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et 6 mois chez le non rongeur</w:t>
            </w:r>
            <w:r w:rsidRPr="00BD58A9">
              <w:rPr>
                <w:rFonts w:eastAsia="Times New Roman" w:cs="Arial"/>
                <w:color w:val="008000"/>
                <w:szCs w:val="20"/>
              </w:rPr>
              <w:t xml:space="preserve"> (Lorsque l’étude chez l’homme doit atteindre 3 mois, le médicament doit être donné au moins 3 mois chez le rongeur et 3 mois chez le non rongeur)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20</w:t>
            </w:r>
          </w:p>
        </w:tc>
        <w:tc>
          <w:tcPr>
            <w:tcW w:w="8717" w:type="dxa"/>
          </w:tcPr>
          <w:p w:rsidR="00C66026" w:rsidRPr="00283BB0" w:rsidRDefault="00C66026" w:rsidP="00C66026">
            <w:pPr>
              <w:rPr>
                <w:rFonts w:eastAsia="Times New Roman" w:cs="Arial"/>
                <w:szCs w:val="20"/>
              </w:rPr>
            </w:pPr>
            <w:r w:rsidRPr="00283BB0">
              <w:rPr>
                <w:rFonts w:eastAsia="Times New Roman" w:cs="Arial"/>
                <w:szCs w:val="20"/>
              </w:rPr>
              <w:t>La durée d’administration aux rongeurs est égale à 6 mois quand le médicament doit être donné à l’homme au moins 3 mois lors d’une phase 3 en Europe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21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dossier galénique s’occupe de la forme pharmaceutique finale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22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C’est dans le dossier galénique que l’on s’occupe des conditions de conservations du médicaments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23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C’est dans le dossier </w:t>
            </w:r>
            <w:r w:rsidRPr="00BD58A9">
              <w:rPr>
                <w:rFonts w:eastAsia="Times New Roman" w:cs="Arial"/>
                <w:strike/>
                <w:color w:val="FF0000"/>
                <w:szCs w:val="20"/>
              </w:rPr>
              <w:t>pharmacologique</w:t>
            </w:r>
            <w:r>
              <w:rPr>
                <w:rFonts w:eastAsia="Times New Roman" w:cs="Arial"/>
                <w:szCs w:val="20"/>
              </w:rPr>
              <w:t xml:space="preserve"> que l’on anticipe la dose </w:t>
            </w:r>
            <w:r w:rsidRPr="00BD58A9">
              <w:rPr>
                <w:rFonts w:eastAsia="Times New Roman" w:cs="Arial"/>
                <w:color w:val="008000"/>
                <w:szCs w:val="20"/>
              </w:rPr>
              <w:t>(dossier galénique)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24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pharmacocinétique fait le lien entre l’animal et l’homme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66026" w:rsidRPr="000804B8">
        <w:tc>
          <w:tcPr>
            <w:tcW w:w="463" w:type="dxa"/>
          </w:tcPr>
          <w:p w:rsidR="00C66026" w:rsidRPr="004D18FD" w:rsidRDefault="00C66026" w:rsidP="00C66026">
            <w:pPr>
              <w:jc w:val="center"/>
              <w:rPr>
                <w:rFonts w:eastAsia="Times New Roman" w:cs="Arial"/>
                <w:szCs w:val="20"/>
              </w:rPr>
            </w:pPr>
            <w:r w:rsidRPr="004D18FD">
              <w:rPr>
                <w:rFonts w:eastAsia="Times New Roman" w:cs="Arial"/>
                <w:szCs w:val="20"/>
              </w:rPr>
              <w:t>25</w:t>
            </w:r>
          </w:p>
        </w:tc>
        <w:tc>
          <w:tcPr>
            <w:tcW w:w="8717" w:type="dxa"/>
          </w:tcPr>
          <w:p w:rsidR="00C66026" w:rsidRPr="004D18FD" w:rsidRDefault="00C66026" w:rsidP="00C66026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pathologie de l’animal est proche de la pathologie de l’homme</w:t>
            </w:r>
          </w:p>
        </w:tc>
        <w:tc>
          <w:tcPr>
            <w:tcW w:w="709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66026" w:rsidRPr="00F7777F" w:rsidRDefault="00C66026" w:rsidP="00C66026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26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brevet dure </w:t>
            </w:r>
            <w:r w:rsidRPr="009049D7">
              <w:rPr>
                <w:rFonts w:eastAsia="Times New Roman" w:cs="Arial"/>
                <w:strike/>
                <w:color w:val="FF0000"/>
                <w:szCs w:val="20"/>
              </w:rPr>
              <w:t>25 ans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03520D">
              <w:rPr>
                <w:rFonts w:eastAsia="Times New Roman" w:cs="Arial"/>
                <w:color w:val="008000"/>
                <w:szCs w:val="20"/>
              </w:rPr>
              <w:t>(20ans)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27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CCP (contrat complémentaire de protection) rajoute </w:t>
            </w:r>
            <w:r w:rsidRPr="009049D7">
              <w:rPr>
                <w:rFonts w:eastAsia="Times New Roman" w:cs="Arial"/>
                <w:strike/>
                <w:color w:val="FF0000"/>
                <w:szCs w:val="20"/>
              </w:rPr>
              <w:t>10 années</w:t>
            </w:r>
            <w:r>
              <w:rPr>
                <w:rFonts w:eastAsia="Times New Roman" w:cs="Arial"/>
                <w:szCs w:val="20"/>
              </w:rPr>
              <w:t xml:space="preserve"> de protection supplémentaires </w:t>
            </w:r>
            <w:r w:rsidRPr="0003520D">
              <w:rPr>
                <w:rFonts w:eastAsia="Times New Roman" w:cs="Arial"/>
                <w:color w:val="008000"/>
                <w:szCs w:val="20"/>
              </w:rPr>
              <w:t>(5 années)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28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PA peut être d’origine humaine, végétale, chimique 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29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excipients sont des composés qu’il peut être nécessaire d’ajouter au PA pour sa conservation, solubilisation et sa stabilité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30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excipients sont inertes, </w:t>
            </w:r>
            <w:r w:rsidRPr="009049D7">
              <w:rPr>
                <w:rFonts w:eastAsia="Times New Roman" w:cs="Arial"/>
                <w:strike/>
                <w:color w:val="FF0000"/>
                <w:szCs w:val="20"/>
              </w:rPr>
              <w:t>ils ne peuvent pas produire d’effet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03520D">
              <w:rPr>
                <w:rFonts w:eastAsia="Times New Roman" w:cs="Arial"/>
                <w:color w:val="008000"/>
                <w:szCs w:val="20"/>
              </w:rPr>
              <w:t>(pas d’effet thérapeutique mais possiblement des effets indésirables)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31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conditionnement primaire est directement au contact du médicament et participe à sa protection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32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conditionnement secondaire a une fonction informative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33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conditionnement </w:t>
            </w:r>
            <w:r w:rsidRPr="009049D7">
              <w:rPr>
                <w:rFonts w:eastAsia="Times New Roman" w:cs="Arial"/>
                <w:strike/>
                <w:color w:val="FF0000"/>
                <w:szCs w:val="20"/>
              </w:rPr>
              <w:t>secondaire</w:t>
            </w:r>
            <w:r>
              <w:rPr>
                <w:rFonts w:eastAsia="Times New Roman" w:cs="Arial"/>
                <w:szCs w:val="20"/>
              </w:rPr>
              <w:t xml:space="preserve"> permet parfois d’administrer le médicament </w:t>
            </w:r>
            <w:r w:rsidRPr="009049D7">
              <w:rPr>
                <w:rFonts w:eastAsia="Times New Roman" w:cs="Arial"/>
                <w:color w:val="008000"/>
                <w:szCs w:val="20"/>
              </w:rPr>
              <w:t>(primaire)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34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Tamisage, lyophilisation et </w:t>
            </w:r>
            <w:r w:rsidRPr="009049D7">
              <w:rPr>
                <w:rFonts w:eastAsia="Times New Roman" w:cs="Arial"/>
                <w:strike/>
                <w:color w:val="FF0000"/>
                <w:szCs w:val="20"/>
              </w:rPr>
              <w:t>marinage</w:t>
            </w:r>
            <w:r>
              <w:rPr>
                <w:rFonts w:eastAsia="Times New Roman" w:cs="Arial"/>
                <w:szCs w:val="20"/>
              </w:rPr>
              <w:t xml:space="preserve"> sont des exemples d’opérations pharmaceutiques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35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médecins peuvent prescrire de façon magistrale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36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préparations magistrales sont réservées aux utilisations externes des médicaments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37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analgésiques se prennent par voie </w:t>
            </w:r>
            <w:r w:rsidRPr="009049D7">
              <w:rPr>
                <w:rFonts w:eastAsia="Times New Roman" w:cs="Arial"/>
                <w:strike/>
                <w:color w:val="FF0000"/>
                <w:szCs w:val="20"/>
              </w:rPr>
              <w:t>rectale</w:t>
            </w:r>
            <w:r w:rsidRPr="00E76D22">
              <w:rPr>
                <w:rFonts w:eastAsia="Times New Roman" w:cs="Arial"/>
                <w:color w:val="008000"/>
                <w:szCs w:val="20"/>
              </w:rPr>
              <w:t xml:space="preserve"> (les fans de Scrubs se rappellent peut être de cette phrase ! C’est pas parce qu’on dit </w:t>
            </w:r>
            <w:proofErr w:type="spellStart"/>
            <w:r w:rsidRPr="00E76D22">
              <w:rPr>
                <w:rFonts w:eastAsia="Times New Roman" w:cs="Arial"/>
                <w:color w:val="008000"/>
                <w:szCs w:val="20"/>
              </w:rPr>
              <w:t>ANALgésiques</w:t>
            </w:r>
            <w:proofErr w:type="spellEnd"/>
            <w:r w:rsidRPr="00E76D22">
              <w:rPr>
                <w:rFonts w:eastAsia="Times New Roman" w:cs="Arial"/>
                <w:color w:val="008000"/>
                <w:szCs w:val="20"/>
              </w:rPr>
              <w:t xml:space="preserve"> qu’on doit se les foutre dans le c** !!</w:t>
            </w:r>
            <w:r>
              <w:rPr>
                <w:rFonts w:eastAsia="Times New Roman" w:cs="Arial"/>
                <w:color w:val="008000"/>
                <w:szCs w:val="20"/>
              </w:rPr>
              <w:t xml:space="preserve"> =&gt; item </w:t>
            </w:r>
            <w:proofErr w:type="gramStart"/>
            <w:r>
              <w:rPr>
                <w:rFonts w:eastAsia="Times New Roman" w:cs="Arial"/>
                <w:color w:val="008000"/>
                <w:szCs w:val="20"/>
              </w:rPr>
              <w:t>inutile </w:t>
            </w:r>
            <w:proofErr w:type="gramEnd"/>
            <w:r w:rsidRPr="00E76D22">
              <w:rPr>
                <w:rFonts w:eastAsia="Times New Roman" w:cs="Arial"/>
                <w:color w:val="008000"/>
                <w:szCs w:val="20"/>
              </w:rPr>
              <w:sym w:font="Wingdings" w:char="F04A"/>
            </w:r>
            <w:r w:rsidRPr="00E76D22">
              <w:rPr>
                <w:rFonts w:eastAsia="Times New Roman" w:cs="Arial"/>
                <w:color w:val="008000"/>
                <w:szCs w:val="20"/>
              </w:rPr>
              <w:t>)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38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 w:rsidRPr="009049D7">
              <w:rPr>
                <w:rFonts w:eastAsia="Times New Roman" w:cs="Arial"/>
                <w:strike/>
                <w:color w:val="FF0000"/>
                <w:szCs w:val="20"/>
              </w:rPr>
              <w:t>Le personnel ne peut pas être contrôlé</w:t>
            </w:r>
            <w:r>
              <w:rPr>
                <w:rFonts w:eastAsia="Times New Roman" w:cs="Arial"/>
                <w:szCs w:val="20"/>
              </w:rPr>
              <w:t xml:space="preserve"> dans le cadre des bonnes pratiques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39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Toutes les étapes de fabrication sont susceptibles d’être contrôlés 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049D7" w:rsidRPr="000804B8">
        <w:tc>
          <w:tcPr>
            <w:tcW w:w="463" w:type="dxa"/>
          </w:tcPr>
          <w:p w:rsidR="009049D7" w:rsidRPr="004D18FD" w:rsidRDefault="009049D7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40</w:t>
            </w:r>
          </w:p>
        </w:tc>
        <w:tc>
          <w:tcPr>
            <w:tcW w:w="8717" w:type="dxa"/>
          </w:tcPr>
          <w:p w:rsidR="009049D7" w:rsidRDefault="009049D7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L’assurance qualité du médicament repose sur l’application des bonnes pratiques</w:t>
            </w:r>
          </w:p>
        </w:tc>
        <w:tc>
          <w:tcPr>
            <w:tcW w:w="709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049D7" w:rsidRPr="00F7777F" w:rsidRDefault="009049D7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41184" w:rsidRPr="000804B8">
        <w:tc>
          <w:tcPr>
            <w:tcW w:w="463" w:type="dxa"/>
          </w:tcPr>
          <w:p w:rsidR="00241184" w:rsidRPr="004D18FD" w:rsidRDefault="00241184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41</w:t>
            </w:r>
          </w:p>
        </w:tc>
        <w:tc>
          <w:tcPr>
            <w:tcW w:w="8717" w:type="dxa"/>
          </w:tcPr>
          <w:p w:rsidR="00241184" w:rsidRDefault="00241184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France est le premier pays exportateur de médicament du </w:t>
            </w:r>
            <w:r w:rsidRPr="00241184">
              <w:rPr>
                <w:rFonts w:eastAsia="Times New Roman" w:cs="Arial"/>
                <w:strike/>
                <w:color w:val="FF0000"/>
                <w:szCs w:val="20"/>
              </w:rPr>
              <w:t>monde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634859">
              <w:rPr>
                <w:rFonts w:eastAsia="Times New Roman" w:cs="Arial"/>
                <w:color w:val="008000"/>
                <w:szCs w:val="20"/>
              </w:rPr>
              <w:t>(d’Europe)</w:t>
            </w:r>
          </w:p>
        </w:tc>
        <w:tc>
          <w:tcPr>
            <w:tcW w:w="709" w:type="dxa"/>
          </w:tcPr>
          <w:p w:rsidR="00241184" w:rsidRPr="00F7777F" w:rsidRDefault="00241184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241184" w:rsidRPr="004A18EE" w:rsidRDefault="00241184" w:rsidP="004A18EE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4A18EE" w:rsidRPr="000804B8">
        <w:tc>
          <w:tcPr>
            <w:tcW w:w="463" w:type="dxa"/>
          </w:tcPr>
          <w:p w:rsidR="004A18EE" w:rsidRPr="004D18FD" w:rsidRDefault="004A18EE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42</w:t>
            </w:r>
          </w:p>
        </w:tc>
        <w:tc>
          <w:tcPr>
            <w:tcW w:w="8717" w:type="dxa"/>
          </w:tcPr>
          <w:p w:rsidR="004A18EE" w:rsidRDefault="004A18EE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L’ANSM délivre les autorisations d’ouverture des labos</w:t>
            </w:r>
          </w:p>
        </w:tc>
        <w:tc>
          <w:tcPr>
            <w:tcW w:w="709" w:type="dxa"/>
          </w:tcPr>
          <w:p w:rsidR="004A18EE" w:rsidRPr="00F7777F" w:rsidRDefault="004A18EE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4A18EE" w:rsidRPr="00F7777F" w:rsidRDefault="004A18EE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4A18EE" w:rsidRPr="000804B8">
        <w:tc>
          <w:tcPr>
            <w:tcW w:w="463" w:type="dxa"/>
          </w:tcPr>
          <w:p w:rsidR="004A18EE" w:rsidRPr="004D18FD" w:rsidRDefault="004A18EE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43</w:t>
            </w:r>
          </w:p>
        </w:tc>
        <w:tc>
          <w:tcPr>
            <w:tcW w:w="8717" w:type="dxa"/>
          </w:tcPr>
          <w:p w:rsidR="004A18EE" w:rsidRDefault="004A18EE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L’ANSM surveille, inspecte et peut modifier l’administration des labos</w:t>
            </w:r>
          </w:p>
        </w:tc>
        <w:tc>
          <w:tcPr>
            <w:tcW w:w="709" w:type="dxa"/>
          </w:tcPr>
          <w:p w:rsidR="004A18EE" w:rsidRPr="00F7777F" w:rsidRDefault="004A18EE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4A18EE" w:rsidRPr="00F7777F" w:rsidRDefault="004A18EE" w:rsidP="0025104C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4A18EE" w:rsidRPr="000804B8">
        <w:tc>
          <w:tcPr>
            <w:tcW w:w="463" w:type="dxa"/>
          </w:tcPr>
          <w:p w:rsidR="004A18EE" w:rsidRPr="004D18FD" w:rsidRDefault="004A18EE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44</w:t>
            </w:r>
          </w:p>
        </w:tc>
        <w:tc>
          <w:tcPr>
            <w:tcW w:w="8717" w:type="dxa"/>
          </w:tcPr>
          <w:p w:rsidR="004A18EE" w:rsidRDefault="004A18EE" w:rsidP="0025104C">
            <w:pPr>
              <w:rPr>
                <w:rFonts w:eastAsia="Times New Roman" w:cs="Arial"/>
                <w:szCs w:val="20"/>
              </w:rPr>
            </w:pPr>
            <w:r w:rsidRPr="004A18EE">
              <w:rPr>
                <w:rFonts w:eastAsia="Times New Roman" w:cs="Arial"/>
                <w:strike/>
                <w:color w:val="FF0000"/>
                <w:szCs w:val="20"/>
              </w:rPr>
              <w:t>L’ANSM ne surveille pas les vaccins</w:t>
            </w:r>
            <w:r>
              <w:rPr>
                <w:rFonts w:eastAsia="Times New Roman" w:cs="Arial"/>
                <w:szCs w:val="20"/>
              </w:rPr>
              <w:t xml:space="preserve">, c’est le rôle de l’Agence de Biomédecine </w:t>
            </w:r>
          </w:p>
        </w:tc>
        <w:tc>
          <w:tcPr>
            <w:tcW w:w="709" w:type="dxa"/>
          </w:tcPr>
          <w:p w:rsidR="004A18EE" w:rsidRPr="00F7777F" w:rsidRDefault="004A18EE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4A18EE" w:rsidRPr="00F7777F" w:rsidRDefault="004A18EE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4A18EE" w:rsidRPr="000804B8">
        <w:tc>
          <w:tcPr>
            <w:tcW w:w="463" w:type="dxa"/>
          </w:tcPr>
          <w:p w:rsidR="004A18EE" w:rsidRDefault="004A18EE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45</w:t>
            </w:r>
          </w:p>
        </w:tc>
        <w:tc>
          <w:tcPr>
            <w:tcW w:w="8717" w:type="dxa"/>
          </w:tcPr>
          <w:p w:rsidR="004A18EE" w:rsidRDefault="004A18EE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vente de médicaments sur internet est autorisée mais est très encadrée</w:t>
            </w:r>
          </w:p>
        </w:tc>
        <w:tc>
          <w:tcPr>
            <w:tcW w:w="709" w:type="dxa"/>
          </w:tcPr>
          <w:p w:rsidR="004A18EE" w:rsidRPr="00F7777F" w:rsidRDefault="004A18EE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4A18EE" w:rsidRPr="00F7777F" w:rsidRDefault="004A18EE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46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L’AMM est demandé après la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phase II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253D48">
              <w:rPr>
                <w:rFonts w:eastAsia="Times New Roman" w:cs="Arial"/>
                <w:color w:val="008000"/>
                <w:szCs w:val="20"/>
              </w:rPr>
              <w:t xml:space="preserve">(phase </w:t>
            </w:r>
            <w:proofErr w:type="gramStart"/>
            <w:r w:rsidRPr="00253D48">
              <w:rPr>
                <w:rFonts w:eastAsia="Times New Roman" w:cs="Arial"/>
                <w:color w:val="008000"/>
                <w:szCs w:val="20"/>
              </w:rPr>
              <w:t>III…)</w:t>
            </w:r>
            <w:proofErr w:type="gramEnd"/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47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Une fois mis sur le marché le médicament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n’est plus étudié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253D48">
              <w:rPr>
                <w:rFonts w:eastAsia="Times New Roman" w:cs="Arial"/>
                <w:color w:val="008000"/>
                <w:szCs w:val="20"/>
              </w:rPr>
              <w:t xml:space="preserve">(il est étudié, surveillé, etc. jusqu’à ce qu’il ne soit plus à la </w:t>
            </w:r>
            <w:proofErr w:type="gramStart"/>
            <w:r w:rsidRPr="00253D48">
              <w:rPr>
                <w:rFonts w:eastAsia="Times New Roman" w:cs="Arial"/>
                <w:color w:val="008000"/>
                <w:szCs w:val="20"/>
              </w:rPr>
              <w:t>vente…)</w:t>
            </w:r>
            <w:proofErr w:type="gramEnd"/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48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 s’intéresse à la sécurité du médicament chez l’être humain</w:t>
            </w:r>
          </w:p>
        </w:tc>
        <w:tc>
          <w:tcPr>
            <w:tcW w:w="709" w:type="dxa"/>
          </w:tcPr>
          <w:p w:rsidR="00997473" w:rsidRPr="00253D48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49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II regarde l’efficacité chez l’homme malade ?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50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phase III compare </w:t>
            </w:r>
            <w:r w:rsidRPr="00997473">
              <w:rPr>
                <w:rFonts w:eastAsia="Times New Roman" w:cs="Arial"/>
                <w:color w:val="FF0000"/>
                <w:szCs w:val="20"/>
              </w:rPr>
              <w:t>toujours</w:t>
            </w:r>
            <w:r>
              <w:rPr>
                <w:rFonts w:eastAsia="Times New Roman" w:cs="Arial"/>
                <w:szCs w:val="20"/>
              </w:rPr>
              <w:t xml:space="preserve"> son efficacité et sa tolérance face au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placebo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253D48">
              <w:rPr>
                <w:rFonts w:eastAsia="Times New Roman" w:cs="Arial"/>
                <w:color w:val="008000"/>
                <w:szCs w:val="20"/>
              </w:rPr>
              <w:t>(la comparaison face au placebo est de plus en plus rare, on compare surtout à ce qui existe déjà sur le marché dans la même indication)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51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phase IV est considéré </w:t>
            </w:r>
            <w:proofErr w:type="spellStart"/>
            <w:r>
              <w:rPr>
                <w:rFonts w:eastAsia="Times New Roman" w:cs="Arial"/>
                <w:szCs w:val="20"/>
              </w:rPr>
              <w:t>post-AMM</w:t>
            </w:r>
            <w:proofErr w:type="spellEnd"/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52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phase I se fait chez le volontaire sain, elle est donc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réalisable chez eux dans toutes les pathologies</w:t>
            </w:r>
            <w:r>
              <w:rPr>
                <w:rFonts w:eastAsia="Times New Roman" w:cs="Arial"/>
                <w:szCs w:val="20"/>
              </w:rPr>
              <w:t xml:space="preserve"> </w:t>
            </w:r>
            <w:r>
              <w:rPr>
                <w:rFonts w:eastAsia="Times New Roman" w:cs="Arial"/>
                <w:color w:val="008000"/>
                <w:szCs w:val="20"/>
              </w:rPr>
              <w:t xml:space="preserve">(pas </w:t>
            </w:r>
            <w:r w:rsidRPr="00065CA7">
              <w:rPr>
                <w:rFonts w:eastAsia="Times New Roman" w:cs="Arial"/>
                <w:color w:val="008000"/>
                <w:szCs w:val="20"/>
              </w:rPr>
              <w:t>pour les anticoagulants et les anticancéreux !)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53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 comprend un petit nombre de volontaire sains (10 à 100)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54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Durant les phases I nous (les hommes) servons beaucoup plus souvent de cobaye !! 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56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Pendant la phase I on va déterminer la dose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minimale</w:t>
            </w:r>
            <w:r>
              <w:rPr>
                <w:rFonts w:eastAsia="Times New Roman" w:cs="Arial"/>
                <w:szCs w:val="20"/>
              </w:rPr>
              <w:t xml:space="preserve"> tolérée </w:t>
            </w:r>
            <w:r w:rsidRPr="00065CA7">
              <w:rPr>
                <w:rFonts w:eastAsia="Times New Roman" w:cs="Arial"/>
                <w:color w:val="008000"/>
                <w:szCs w:val="20"/>
              </w:rPr>
              <w:t>(maximale)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57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En phase I on poursuit les études de pharmacocinétiques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seulement à dose unique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065CA7">
              <w:rPr>
                <w:rFonts w:eastAsia="Times New Roman" w:cs="Arial"/>
                <w:color w:val="008000"/>
                <w:szCs w:val="20"/>
              </w:rPr>
              <w:t>(ainsi qu’à dose multiple)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58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En phase I les volontaires </w:t>
            </w:r>
            <w:proofErr w:type="gramStart"/>
            <w:r>
              <w:rPr>
                <w:rFonts w:eastAsia="Times New Roman" w:cs="Arial"/>
                <w:szCs w:val="20"/>
              </w:rPr>
              <w:t>sont</w:t>
            </w:r>
            <w:proofErr w:type="gramEnd"/>
            <w:r>
              <w:rPr>
                <w:rFonts w:eastAsia="Times New Roman" w:cs="Arial"/>
                <w:szCs w:val="20"/>
              </w:rPr>
              <w:t xml:space="preserve"> généralement indemnisés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59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II concerne plus de patients que la phase I, l’ensemble de ces patients sont malades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60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phase II est divisible en 2 parties : </w:t>
            </w:r>
          </w:p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- A =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efficacité</w:t>
            </w:r>
            <w:r>
              <w:rPr>
                <w:rFonts w:eastAsia="Times New Roman" w:cs="Arial"/>
                <w:szCs w:val="20"/>
              </w:rPr>
              <w:t xml:space="preserve"> chez le malade </w:t>
            </w:r>
            <w:r w:rsidRPr="001F4299">
              <w:rPr>
                <w:rFonts w:eastAsia="Times New Roman" w:cs="Arial"/>
                <w:color w:val="008000"/>
                <w:szCs w:val="20"/>
              </w:rPr>
              <w:t>(toxicité)</w:t>
            </w:r>
          </w:p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- B = 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toxicité</w:t>
            </w:r>
            <w:r>
              <w:rPr>
                <w:rFonts w:eastAsia="Times New Roman" w:cs="Arial"/>
                <w:szCs w:val="20"/>
              </w:rPr>
              <w:t xml:space="preserve"> chez le malade </w:t>
            </w:r>
            <w:r w:rsidRPr="001F4299">
              <w:rPr>
                <w:rFonts w:eastAsia="Times New Roman" w:cs="Arial"/>
                <w:color w:val="008000"/>
                <w:szCs w:val="20"/>
              </w:rPr>
              <w:t xml:space="preserve">(efficacité) 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61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En phase II on poursuit les études de pharmacocinétiques,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seulement sur des malades sans autres pathologies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A5239F">
              <w:rPr>
                <w:rFonts w:eastAsia="Times New Roman" w:cs="Arial"/>
                <w:color w:val="008000"/>
                <w:szCs w:val="20"/>
              </w:rPr>
              <w:t xml:space="preserve">(études devant être faite chez l’insuffisant rénal, cardiaque, </w:t>
            </w:r>
            <w:proofErr w:type="gramStart"/>
            <w:r w:rsidRPr="00A5239F">
              <w:rPr>
                <w:rFonts w:eastAsia="Times New Roman" w:cs="Arial"/>
                <w:color w:val="008000"/>
                <w:szCs w:val="20"/>
              </w:rPr>
              <w:t>respi</w:t>
            </w:r>
            <w:r>
              <w:rPr>
                <w:rFonts w:eastAsia="Times New Roman" w:cs="Arial"/>
                <w:color w:val="008000"/>
                <w:szCs w:val="20"/>
              </w:rPr>
              <w:t>ratoire</w:t>
            </w:r>
            <w:r w:rsidRPr="00A5239F">
              <w:rPr>
                <w:rFonts w:eastAsia="Times New Roman" w:cs="Arial"/>
                <w:color w:val="008000"/>
                <w:szCs w:val="20"/>
              </w:rPr>
              <w:t>…)</w:t>
            </w:r>
            <w:proofErr w:type="gramEnd"/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62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Durant la phase II on essaye d’établir des relations entre dose administrée et concentration obtenue, et entre concentration et effet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63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études de phases 3 sont de grandes études et concernent de 1000 à 5000 patients 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64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III est une phase comparative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65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En phase III la durée de traitement est longue et il existe des formes cliniques multiples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66</w:t>
            </w:r>
          </w:p>
        </w:tc>
        <w:tc>
          <w:tcPr>
            <w:tcW w:w="8717" w:type="dxa"/>
          </w:tcPr>
          <w:p w:rsidR="00997473" w:rsidRDefault="00997473" w:rsidP="0025104C">
            <w:pPr>
              <w:tabs>
                <w:tab w:val="left" w:pos="1643"/>
              </w:tabs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études de phases III sont</w:t>
            </w:r>
            <w:r w:rsidRPr="00997473">
              <w:rPr>
                <w:rFonts w:eastAsia="Times New Roman" w:cs="Arial"/>
                <w:color w:val="FF0000"/>
                <w:szCs w:val="20"/>
              </w:rPr>
              <w:t xml:space="preserve"> toujours</w:t>
            </w:r>
            <w:r>
              <w:rPr>
                <w:rFonts w:eastAsia="Times New Roman" w:cs="Arial"/>
                <w:szCs w:val="20"/>
              </w:rPr>
              <w:t xml:space="preserve"> prospective, randomisée, multicentrique et en </w:t>
            </w:r>
            <w:r w:rsidRPr="00997473">
              <w:rPr>
                <w:rFonts w:eastAsia="Times New Roman" w:cs="Arial"/>
                <w:strike/>
                <w:color w:val="FF0000"/>
                <w:szCs w:val="20"/>
              </w:rPr>
              <w:t>double insu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A5239F">
              <w:rPr>
                <w:rFonts w:eastAsia="Times New Roman" w:cs="Arial"/>
                <w:color w:val="008000"/>
                <w:szCs w:val="20"/>
              </w:rPr>
              <w:t>(pas toujours en double aveugle !)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67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Pendant la phase III on cherche de nouvelles indications </w:t>
            </w:r>
            <w:r w:rsidRPr="00802CD3">
              <w:rPr>
                <w:rFonts w:eastAsia="Times New Roman" w:cs="Arial"/>
                <w:color w:val="008000"/>
                <w:szCs w:val="20"/>
              </w:rPr>
              <w:t>(phase IV)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68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Il faut 2 à 3 études pivots pour obtenir une AMM au niveau mondial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69</w:t>
            </w:r>
          </w:p>
        </w:tc>
        <w:tc>
          <w:tcPr>
            <w:tcW w:w="8717" w:type="dxa"/>
          </w:tcPr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En phase IV on détecte les effets indésirables graves, rares et on découvre de nouvelles interactions</w:t>
            </w: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7473" w:rsidRPr="000804B8">
        <w:tc>
          <w:tcPr>
            <w:tcW w:w="463" w:type="dxa"/>
          </w:tcPr>
          <w:p w:rsidR="00997473" w:rsidRDefault="00997473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70</w:t>
            </w:r>
          </w:p>
        </w:tc>
        <w:tc>
          <w:tcPr>
            <w:tcW w:w="8717" w:type="dxa"/>
          </w:tcPr>
          <w:p w:rsidR="00C105EB" w:rsidRDefault="00997473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phase IV s’intéresse à l’innocuité du médicament dans ses conditions d’emploi</w:t>
            </w:r>
          </w:p>
          <w:p w:rsidR="00997473" w:rsidRDefault="00997473" w:rsidP="0025104C">
            <w:pPr>
              <w:rPr>
                <w:rFonts w:eastAsia="Times New Roman" w:cs="Arial"/>
                <w:szCs w:val="20"/>
              </w:rPr>
            </w:pPr>
          </w:p>
        </w:tc>
        <w:tc>
          <w:tcPr>
            <w:tcW w:w="709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7473" w:rsidRPr="00F7777F" w:rsidRDefault="00997473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71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fabricants de médicaments donne 65% aux grossistes répartiteurs, </w:t>
            </w:r>
            <w:r w:rsidRPr="00C105EB">
              <w:rPr>
                <w:rFonts w:eastAsia="Times New Roman" w:cs="Arial"/>
                <w:strike/>
                <w:color w:val="FF0000"/>
                <w:szCs w:val="20"/>
              </w:rPr>
              <w:t>15% à l’Hôpital et 20% aux pharmacies</w:t>
            </w:r>
            <w:r w:rsidRPr="002C67B0">
              <w:rPr>
                <w:rFonts w:eastAsia="Times New Roman" w:cs="Arial"/>
                <w:color w:val="008000"/>
                <w:szCs w:val="20"/>
              </w:rPr>
              <w:t xml:space="preserve"> (20% Hôpital et 15% officines)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72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grossistes distribuent </w:t>
            </w:r>
            <w:r w:rsidRPr="00C105EB">
              <w:rPr>
                <w:rFonts w:eastAsia="Times New Roman" w:cs="Arial"/>
                <w:strike/>
                <w:color w:val="FF0000"/>
                <w:szCs w:val="20"/>
              </w:rPr>
              <w:t>65</w:t>
            </w:r>
            <w:r>
              <w:rPr>
                <w:rFonts w:eastAsia="Times New Roman" w:cs="Arial"/>
                <w:szCs w:val="20"/>
              </w:rPr>
              <w:t xml:space="preserve">% de leur stock aux officines </w:t>
            </w:r>
            <w:r w:rsidRPr="00C069A3">
              <w:rPr>
                <w:rFonts w:eastAsia="Times New Roman" w:cs="Arial"/>
                <w:color w:val="008000"/>
                <w:szCs w:val="20"/>
              </w:rPr>
              <w:t>(c’est que certains ont du croire avec la ronéo mais en faite ils distribuent beaucoup plus aux officines car 65+0,5 ça ne fait pas 100%, ils distribuent donc quasiment la totalité de leurs stocks aux officines !)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73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officines travaillent en flux tendu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74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Quels sont les spécialités comportant le plus de médicaments sur le marché français ? </w:t>
            </w:r>
            <w:r w:rsidRPr="00C069A3">
              <w:rPr>
                <w:rFonts w:eastAsia="Times New Roman" w:cs="Arial"/>
                <w:szCs w:val="20"/>
              </w:rPr>
              <w:sym w:font="Wingdings" w:char="F04A"/>
            </w:r>
          </w:p>
          <w:p w:rsidR="00C105EB" w:rsidRPr="00C069A3" w:rsidRDefault="00C105EB" w:rsidP="00C105EB">
            <w:pPr>
              <w:rPr>
                <w:rFonts w:eastAsia="Times New Roman" w:cs="Arial"/>
                <w:color w:val="008000"/>
                <w:szCs w:val="20"/>
              </w:rPr>
            </w:pPr>
            <w:r w:rsidRPr="00C069A3">
              <w:rPr>
                <w:rFonts w:eastAsia="Times New Roman" w:cs="Arial"/>
                <w:color w:val="008000"/>
                <w:szCs w:val="20"/>
              </w:rPr>
              <w:t>- SNC</w:t>
            </w:r>
          </w:p>
          <w:p w:rsidR="00C105EB" w:rsidRPr="00C069A3" w:rsidRDefault="00C105EB" w:rsidP="00C105EB">
            <w:pPr>
              <w:rPr>
                <w:rFonts w:eastAsia="Times New Roman" w:cs="Arial"/>
                <w:color w:val="008000"/>
                <w:szCs w:val="20"/>
              </w:rPr>
            </w:pPr>
            <w:r w:rsidRPr="00C069A3">
              <w:rPr>
                <w:rFonts w:eastAsia="Times New Roman" w:cs="Arial"/>
                <w:color w:val="008000"/>
                <w:szCs w:val="20"/>
              </w:rPr>
              <w:t>- Cardio-vasculaire</w:t>
            </w:r>
          </w:p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 w:rsidRPr="00C069A3">
              <w:rPr>
                <w:rFonts w:eastAsia="Times New Roman" w:cs="Arial"/>
                <w:color w:val="008000"/>
                <w:szCs w:val="20"/>
              </w:rPr>
              <w:t>- Digestif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75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Parce qu’au fond, on est tous un peu psycho… les français sont les plus grands consommateurs de médicaments psychotropes d’Europe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76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Presque 90% du chiffre d’affaire de l’industrie pharmaceutique se fait sur le dos de seulement 15% de la population mondiale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77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Un blockbuster est un médicament rapportant au moins 1 milliard de $/an dans le monde</w:t>
            </w:r>
          </w:p>
        </w:tc>
        <w:tc>
          <w:tcPr>
            <w:tcW w:w="709" w:type="dxa"/>
          </w:tcPr>
          <w:p w:rsidR="00C105EB" w:rsidRPr="00791F9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78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blockbusters concernent des maladies modérées, non compliquées et </w:t>
            </w:r>
            <w:r w:rsidRPr="00C105EB">
              <w:rPr>
                <w:rFonts w:eastAsia="Times New Roman" w:cs="Arial"/>
                <w:strike/>
                <w:color w:val="FF0000"/>
                <w:szCs w:val="20"/>
              </w:rPr>
              <w:t>toujours remboursées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791F9F">
              <w:rPr>
                <w:rFonts w:eastAsia="Times New Roman" w:cs="Arial"/>
                <w:color w:val="008000"/>
                <w:szCs w:val="20"/>
              </w:rPr>
              <w:t xml:space="preserve">(il ne vous l’a pas dit texto cette année, mais je pense que c’est intéressant de savoir qu’il ne </w:t>
            </w:r>
            <w:r w:rsidR="006A3A4D">
              <w:rPr>
                <w:rFonts w:eastAsia="Times New Roman" w:cs="Arial"/>
                <w:color w:val="008000"/>
                <w:szCs w:val="20"/>
              </w:rPr>
              <w:t xml:space="preserve">le sont pas tous, </w:t>
            </w:r>
            <w:r w:rsidRPr="00791F9F">
              <w:rPr>
                <w:rFonts w:eastAsia="Times New Roman" w:cs="Arial"/>
                <w:color w:val="008000"/>
                <w:szCs w:val="20"/>
              </w:rPr>
              <w:t>viagra n’est pas remboursé et pourtant c’est un blockbuster !)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79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gouvernement exige que l’on prescrive en DCI pour favoriser le choix du pharmacien vers la spécialité la moins cher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80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proofErr w:type="gramStart"/>
            <w:r>
              <w:rPr>
                <w:rFonts w:eastAsia="Times New Roman" w:cs="Arial"/>
                <w:szCs w:val="20"/>
              </w:rPr>
              <w:t>Les</w:t>
            </w:r>
            <w:proofErr w:type="gramEnd"/>
            <w:r>
              <w:rPr>
                <w:rFonts w:eastAsia="Times New Roman" w:cs="Arial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Cs w:val="20"/>
              </w:rPr>
              <w:t>me-too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sont une source de chiffre d’affaire facile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81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proofErr w:type="gramStart"/>
            <w:r>
              <w:rPr>
                <w:rFonts w:eastAsia="Times New Roman" w:cs="Arial"/>
                <w:szCs w:val="20"/>
              </w:rPr>
              <w:t xml:space="preserve">Les </w:t>
            </w:r>
            <w:proofErr w:type="spellStart"/>
            <w:r>
              <w:rPr>
                <w:rFonts w:eastAsia="Times New Roman" w:cs="Arial"/>
                <w:szCs w:val="20"/>
              </w:rPr>
              <w:t>me-too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différent du concurrent par des propriétés minimes</w:t>
            </w:r>
            <w:proofErr w:type="gramEnd"/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82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proofErr w:type="spellStart"/>
            <w:r>
              <w:rPr>
                <w:rFonts w:eastAsia="Times New Roman" w:cs="Arial"/>
                <w:szCs w:val="20"/>
              </w:rPr>
              <w:t>Mopral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et </w:t>
            </w:r>
            <w:proofErr w:type="spellStart"/>
            <w:r>
              <w:rPr>
                <w:rFonts w:eastAsia="Times New Roman" w:cs="Arial"/>
                <w:szCs w:val="20"/>
              </w:rPr>
              <w:t>Inexium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sont de bons exemples de </w:t>
            </w:r>
            <w:proofErr w:type="spellStart"/>
            <w:r>
              <w:rPr>
                <w:rFonts w:eastAsia="Times New Roman" w:cs="Arial"/>
                <w:szCs w:val="20"/>
              </w:rPr>
              <w:t>me-too</w:t>
            </w:r>
            <w:proofErr w:type="spellEnd"/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83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Les médicaments OTC sont à prescriptions </w:t>
            </w:r>
            <w:r w:rsidRPr="00C105EB">
              <w:rPr>
                <w:rFonts w:eastAsia="Times New Roman" w:cs="Arial"/>
                <w:strike/>
                <w:color w:val="FF0000"/>
                <w:szCs w:val="20"/>
              </w:rPr>
              <w:t>obligatoires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84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L’histoire du </w:t>
            </w:r>
            <w:proofErr w:type="spellStart"/>
            <w:r>
              <w:rPr>
                <w:rFonts w:eastAsia="Times New Roman" w:cs="Arial"/>
                <w:szCs w:val="20"/>
              </w:rPr>
              <w:t>Vioxx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est intéressante pour votre Culture G mais pour le concours on s’en fou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C105EB" w:rsidRPr="000804B8">
        <w:tc>
          <w:tcPr>
            <w:tcW w:w="463" w:type="dxa"/>
          </w:tcPr>
          <w:p w:rsidR="00C105EB" w:rsidRDefault="00C105EB" w:rsidP="00C105EB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85</w:t>
            </w:r>
          </w:p>
        </w:tc>
        <w:tc>
          <w:tcPr>
            <w:tcW w:w="8717" w:type="dxa"/>
          </w:tcPr>
          <w:p w:rsidR="00C105EB" w:rsidRDefault="00C105EB" w:rsidP="00C105EB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J’en ai marre de faire des items</w:t>
            </w:r>
          </w:p>
        </w:tc>
        <w:tc>
          <w:tcPr>
            <w:tcW w:w="709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  <w:r>
              <w:rPr>
                <w:rFonts w:ascii="Arial" w:eastAsia="Times New Roman" w:hAnsi="Arial" w:cs="Arial"/>
                <w:b/>
                <w:color w:val="008000"/>
                <w:szCs w:val="20"/>
              </w:rPr>
              <w:t> !</w:t>
            </w:r>
          </w:p>
        </w:tc>
        <w:tc>
          <w:tcPr>
            <w:tcW w:w="717" w:type="dxa"/>
          </w:tcPr>
          <w:p w:rsidR="00C105EB" w:rsidRPr="00F7777F" w:rsidRDefault="00C105EB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86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Un essai clinique reflète le protocole dont il est issu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87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suivi des patients le long de l’étude est consigné dans le </w:t>
            </w:r>
            <w:r w:rsidRPr="009930F1">
              <w:rPr>
                <w:rFonts w:eastAsia="Times New Roman" w:cs="Arial"/>
                <w:strike/>
                <w:color w:val="FF0000"/>
                <w:szCs w:val="20"/>
              </w:rPr>
              <w:t>protocole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E3571A">
              <w:rPr>
                <w:rFonts w:eastAsia="Times New Roman" w:cs="Arial"/>
                <w:color w:val="008000"/>
                <w:szCs w:val="20"/>
              </w:rPr>
              <w:t>(le CRF)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88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L’objectif est toujours unique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89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cahier d’observation reflète le protocole et comprend le consentement informé et signé du patient 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90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maladie doit être décrite avec soin pour l’inclusion des patients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91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critère de jugement peut être composite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92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mesure du critère de jugement doit être aisée, spécifique et reproductible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93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Pour le calcul du nombre de sujet nécessaire à l’étude il faut 4 facteurs : citez les</w:t>
            </w:r>
          </w:p>
          <w:p w:rsidR="009930F1" w:rsidRPr="000E35F7" w:rsidRDefault="009930F1" w:rsidP="009930F1">
            <w:pPr>
              <w:rPr>
                <w:rFonts w:eastAsia="Times New Roman" w:cs="Arial"/>
                <w:color w:val="008000"/>
                <w:szCs w:val="20"/>
              </w:rPr>
            </w:pPr>
            <w:r w:rsidRPr="000E35F7">
              <w:rPr>
                <w:rFonts w:eastAsia="Times New Roman" w:cs="Arial"/>
                <w:color w:val="008000"/>
                <w:szCs w:val="20"/>
              </w:rPr>
              <w:t>- risque alpha</w:t>
            </w:r>
          </w:p>
          <w:p w:rsidR="009930F1" w:rsidRPr="000E35F7" w:rsidRDefault="009930F1" w:rsidP="009930F1">
            <w:pPr>
              <w:rPr>
                <w:rFonts w:eastAsia="Times New Roman" w:cs="Arial"/>
                <w:color w:val="008000"/>
                <w:szCs w:val="20"/>
              </w:rPr>
            </w:pPr>
            <w:r w:rsidRPr="000E35F7">
              <w:rPr>
                <w:rFonts w:eastAsia="Times New Roman" w:cs="Arial"/>
                <w:color w:val="008000"/>
                <w:szCs w:val="20"/>
              </w:rPr>
              <w:t>- risque béta</w:t>
            </w:r>
          </w:p>
          <w:p w:rsidR="009930F1" w:rsidRPr="000E35F7" w:rsidRDefault="009930F1" w:rsidP="009930F1">
            <w:pPr>
              <w:rPr>
                <w:rFonts w:eastAsia="Times New Roman" w:cs="Arial"/>
                <w:color w:val="008000"/>
                <w:szCs w:val="20"/>
              </w:rPr>
            </w:pPr>
            <w:r w:rsidRPr="000E35F7">
              <w:rPr>
                <w:rFonts w:eastAsia="Times New Roman" w:cs="Arial"/>
                <w:color w:val="008000"/>
                <w:szCs w:val="20"/>
              </w:rPr>
              <w:t>- différence à mettre en évidence</w:t>
            </w:r>
          </w:p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 w:rsidRPr="000E35F7">
              <w:rPr>
                <w:rFonts w:eastAsia="Times New Roman" w:cs="Arial"/>
                <w:color w:val="008000"/>
                <w:szCs w:val="20"/>
              </w:rPr>
              <w:t>- écart type de la mesure du critère de jugement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94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« Essai contrôlé » implique « comparaison » 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95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L’effet période est le principal </w:t>
            </w:r>
            <w:r w:rsidRPr="009930F1">
              <w:rPr>
                <w:rFonts w:eastAsia="Times New Roman" w:cs="Arial"/>
                <w:strike/>
                <w:color w:val="FF0000"/>
                <w:szCs w:val="20"/>
              </w:rPr>
              <w:t>avantage</w:t>
            </w:r>
            <w:r>
              <w:rPr>
                <w:rFonts w:eastAsia="Times New Roman" w:cs="Arial"/>
                <w:szCs w:val="20"/>
              </w:rPr>
              <w:t xml:space="preserve"> des essais croisés </w:t>
            </w:r>
            <w:r w:rsidRPr="000E35F7">
              <w:rPr>
                <w:rFonts w:eastAsia="Times New Roman" w:cs="Arial"/>
                <w:color w:val="008000"/>
                <w:szCs w:val="20"/>
              </w:rPr>
              <w:t>(inconvénient)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96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randomisation est possible mais </w:t>
            </w:r>
            <w:r w:rsidRPr="009930F1">
              <w:rPr>
                <w:rFonts w:eastAsia="Times New Roman" w:cs="Arial"/>
                <w:strike/>
                <w:color w:val="FF0000"/>
                <w:szCs w:val="20"/>
              </w:rPr>
              <w:t>pas nécessaire</w:t>
            </w:r>
            <w:r>
              <w:rPr>
                <w:rFonts w:eastAsia="Times New Roman" w:cs="Arial"/>
                <w:szCs w:val="20"/>
              </w:rPr>
              <w:t xml:space="preserve"> pour répartir les facteurs pronostiques dans les différents groupes </w:t>
            </w:r>
            <w:r w:rsidRPr="000E35F7">
              <w:rPr>
                <w:rFonts w:eastAsia="Times New Roman" w:cs="Arial"/>
                <w:color w:val="008000"/>
                <w:szCs w:val="20"/>
              </w:rPr>
              <w:t>(elle est nécessaire !! C’est le seul moyen scientifiquement valable)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97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Définissez ces termes qualifiants un essai : « ouvert, insu, double insu » :</w:t>
            </w:r>
          </w:p>
          <w:p w:rsidR="009930F1" w:rsidRPr="008B4A32" w:rsidRDefault="009930F1" w:rsidP="009930F1">
            <w:pPr>
              <w:rPr>
                <w:rFonts w:eastAsia="Times New Roman" w:cs="Arial"/>
                <w:color w:val="008000"/>
                <w:szCs w:val="20"/>
              </w:rPr>
            </w:pPr>
            <w:r w:rsidRPr="008B4A32">
              <w:rPr>
                <w:rFonts w:eastAsia="Times New Roman" w:cs="Arial"/>
                <w:color w:val="008000"/>
                <w:szCs w:val="20"/>
              </w:rPr>
              <w:t xml:space="preserve">- ouvert = patient et médecin au courant du </w:t>
            </w:r>
            <w:proofErr w:type="spellStart"/>
            <w:r w:rsidRPr="008B4A32">
              <w:rPr>
                <w:rFonts w:eastAsia="Times New Roman" w:cs="Arial"/>
                <w:color w:val="008000"/>
                <w:szCs w:val="20"/>
              </w:rPr>
              <w:t>ttt</w:t>
            </w:r>
            <w:proofErr w:type="spellEnd"/>
          </w:p>
          <w:p w:rsidR="009930F1" w:rsidRPr="008B4A32" w:rsidRDefault="009930F1" w:rsidP="009930F1">
            <w:pPr>
              <w:rPr>
                <w:rFonts w:eastAsia="Times New Roman" w:cs="Arial"/>
                <w:color w:val="008000"/>
                <w:szCs w:val="20"/>
              </w:rPr>
            </w:pPr>
            <w:r w:rsidRPr="008B4A32">
              <w:rPr>
                <w:rFonts w:eastAsia="Times New Roman" w:cs="Arial"/>
                <w:color w:val="008000"/>
                <w:szCs w:val="20"/>
              </w:rPr>
              <w:t>- insu = seul patient OU médecin est au courant</w:t>
            </w:r>
          </w:p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 w:rsidRPr="008B4A32">
              <w:rPr>
                <w:rFonts w:eastAsia="Times New Roman" w:cs="Arial"/>
                <w:color w:val="008000"/>
                <w:szCs w:val="20"/>
              </w:rPr>
              <w:t xml:space="preserve">- double insu = ni patient ni médecin sont au courant du </w:t>
            </w:r>
            <w:proofErr w:type="spellStart"/>
            <w:r w:rsidRPr="008B4A32">
              <w:rPr>
                <w:rFonts w:eastAsia="Times New Roman" w:cs="Arial"/>
                <w:color w:val="008000"/>
                <w:szCs w:val="20"/>
              </w:rPr>
              <w:t>ttt</w:t>
            </w:r>
            <w:proofErr w:type="spellEnd"/>
            <w:r w:rsidRPr="008B4A32">
              <w:rPr>
                <w:rFonts w:eastAsia="Times New Roman" w:cs="Arial"/>
                <w:color w:val="008000"/>
                <w:szCs w:val="20"/>
              </w:rPr>
              <w:t xml:space="preserve"> administré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9930F1" w:rsidRPr="000804B8">
        <w:tc>
          <w:tcPr>
            <w:tcW w:w="463" w:type="dxa"/>
          </w:tcPr>
          <w:p w:rsidR="009930F1" w:rsidRDefault="009930F1" w:rsidP="009930F1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98</w:t>
            </w:r>
          </w:p>
        </w:tc>
        <w:tc>
          <w:tcPr>
            <w:tcW w:w="8717" w:type="dxa"/>
          </w:tcPr>
          <w:p w:rsidR="009930F1" w:rsidRDefault="009930F1" w:rsidP="009930F1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Pour c’est 3 termes ci-dessus, les essais doivent subir une randomisation</w:t>
            </w:r>
          </w:p>
        </w:tc>
        <w:tc>
          <w:tcPr>
            <w:tcW w:w="709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9930F1" w:rsidRPr="00F7777F" w:rsidRDefault="009930F1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5104C" w:rsidRPr="000804B8">
        <w:tc>
          <w:tcPr>
            <w:tcW w:w="463" w:type="dxa"/>
          </w:tcPr>
          <w:p w:rsidR="0025104C" w:rsidRDefault="0025104C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99</w:t>
            </w:r>
          </w:p>
        </w:tc>
        <w:tc>
          <w:tcPr>
            <w:tcW w:w="8717" w:type="dxa"/>
          </w:tcPr>
          <w:p w:rsidR="0025104C" w:rsidRDefault="0025104C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Lorsque 2 </w:t>
            </w:r>
            <w:proofErr w:type="spellStart"/>
            <w:r>
              <w:rPr>
                <w:rFonts w:eastAsia="Times New Roman" w:cs="Arial"/>
                <w:szCs w:val="20"/>
              </w:rPr>
              <w:t>ttts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doivent être comparé, l’analyse des essais se fait toujours en intention de traiter</w:t>
            </w:r>
          </w:p>
        </w:tc>
        <w:tc>
          <w:tcPr>
            <w:tcW w:w="709" w:type="dxa"/>
          </w:tcPr>
          <w:p w:rsidR="0025104C" w:rsidRPr="00F7777F" w:rsidRDefault="0025104C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25104C" w:rsidRPr="00F7777F" w:rsidRDefault="0025104C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5104C" w:rsidRPr="000804B8">
        <w:tc>
          <w:tcPr>
            <w:tcW w:w="463" w:type="dxa"/>
          </w:tcPr>
          <w:p w:rsidR="0025104C" w:rsidRDefault="0025104C" w:rsidP="0025104C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100</w:t>
            </w:r>
          </w:p>
        </w:tc>
        <w:tc>
          <w:tcPr>
            <w:tcW w:w="8717" w:type="dxa"/>
          </w:tcPr>
          <w:p w:rsidR="0025104C" w:rsidRDefault="0025104C" w:rsidP="0025104C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Dans un essai en </w:t>
            </w:r>
            <w:r w:rsidRPr="0025104C">
              <w:rPr>
                <w:rFonts w:eastAsia="Times New Roman" w:cs="Arial"/>
                <w:strike/>
                <w:color w:val="FF0000"/>
                <w:szCs w:val="20"/>
              </w:rPr>
              <w:t>parallèles</w:t>
            </w:r>
            <w:r>
              <w:rPr>
                <w:rFonts w:eastAsia="Times New Roman" w:cs="Arial"/>
                <w:szCs w:val="20"/>
              </w:rPr>
              <w:t xml:space="preserve">, chaque patient reçoit successivement les 2 </w:t>
            </w:r>
            <w:proofErr w:type="spellStart"/>
            <w:r>
              <w:rPr>
                <w:rFonts w:eastAsia="Times New Roman" w:cs="Arial"/>
                <w:szCs w:val="20"/>
              </w:rPr>
              <w:t>ttts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</w:t>
            </w:r>
            <w:r w:rsidRPr="008B4A32">
              <w:rPr>
                <w:rFonts w:eastAsia="Times New Roman" w:cs="Arial"/>
                <w:color w:val="008000"/>
                <w:szCs w:val="20"/>
              </w:rPr>
              <w:t>(essais croisés)</w:t>
            </w:r>
          </w:p>
        </w:tc>
        <w:tc>
          <w:tcPr>
            <w:tcW w:w="709" w:type="dxa"/>
          </w:tcPr>
          <w:p w:rsidR="0025104C" w:rsidRPr="00F7777F" w:rsidRDefault="0025104C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25104C" w:rsidRPr="00F7777F" w:rsidRDefault="0025104C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101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 w:rsidRPr="006A3A4D">
              <w:rPr>
                <w:rFonts w:eastAsia="Times New Roman" w:cs="Arial"/>
                <w:strike/>
                <w:color w:val="FF0000"/>
                <w:szCs w:val="20"/>
              </w:rPr>
              <w:t>66%</w:t>
            </w:r>
            <w:r>
              <w:rPr>
                <w:rFonts w:eastAsia="Times New Roman" w:cs="Arial"/>
                <w:szCs w:val="20"/>
              </w:rPr>
              <w:t xml:space="preserve"> des dépenses concernent seulement 9 classes médicamenteuses</w:t>
            </w:r>
            <w:r w:rsidRPr="00572B73">
              <w:rPr>
                <w:rFonts w:eastAsia="Times New Roman" w:cs="Arial"/>
                <w:color w:val="008000"/>
                <w:szCs w:val="20"/>
              </w:rPr>
              <w:t xml:space="preserve"> (33%)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102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L’information médicale continue est absolument indépendante de l’industrie pharmaceutique </w:t>
            </w:r>
            <w:r w:rsidRPr="00572B73">
              <w:rPr>
                <w:rFonts w:eastAsia="Times New Roman" w:cs="Arial"/>
                <w:color w:val="008000"/>
                <w:szCs w:val="20"/>
              </w:rPr>
              <w:t>(malheureusement non)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103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 w:rsidRPr="006A3A4D">
              <w:rPr>
                <w:rFonts w:eastAsia="Times New Roman" w:cs="Arial"/>
                <w:strike/>
                <w:color w:val="FF0000"/>
                <w:szCs w:val="20"/>
              </w:rPr>
              <w:t>¼</w:t>
            </w:r>
            <w:r>
              <w:rPr>
                <w:rFonts w:eastAsia="Times New Roman" w:cs="Arial"/>
                <w:szCs w:val="20"/>
              </w:rPr>
              <w:t xml:space="preserve"> des 8000 spécialités sont remboursés sur la base du SMR en France</w:t>
            </w:r>
            <w:r w:rsidRPr="00572B73">
              <w:rPr>
                <w:rFonts w:eastAsia="Times New Roman" w:cs="Arial"/>
                <w:color w:val="008000"/>
                <w:szCs w:val="20"/>
              </w:rPr>
              <w:t xml:space="preserve"> (¾)  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104</w:t>
            </w:r>
          </w:p>
        </w:tc>
        <w:tc>
          <w:tcPr>
            <w:tcW w:w="8705" w:type="dxa"/>
          </w:tcPr>
          <w:p w:rsidR="006A3A4D" w:rsidRPr="00071B57" w:rsidRDefault="006A3A4D" w:rsidP="006A3A4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Aucun médicament a SMR insuffisant n’est remboursé en France </w:t>
            </w:r>
            <w:r w:rsidRPr="00071B57">
              <w:rPr>
                <w:rFonts w:eastAsia="Times New Roman" w:cs="Arial"/>
                <w:color w:val="008000"/>
                <w:szCs w:val="20"/>
              </w:rPr>
              <w:t>(malheureusement non</w:t>
            </w:r>
            <w:r w:rsidRPr="00071B57">
              <w:rPr>
                <w:rFonts w:eastAsia="Times New Roman" w:cs="Arial"/>
                <w:color w:val="008000"/>
                <w:szCs w:val="20"/>
                <w:vertAlign w:val="superscript"/>
              </w:rPr>
              <w:t>2</w:t>
            </w:r>
            <w:r w:rsidRPr="00071B57">
              <w:rPr>
                <w:rFonts w:eastAsia="Times New Roman" w:cs="Arial"/>
                <w:color w:val="008000"/>
                <w:szCs w:val="20"/>
              </w:rPr>
              <w:t>)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105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 w:rsidRPr="006A3A4D">
              <w:rPr>
                <w:rFonts w:eastAsia="Times New Roman" w:cs="Arial"/>
                <w:strike/>
                <w:color w:val="FF0000"/>
                <w:szCs w:val="20"/>
              </w:rPr>
              <w:t>Taux de remboursement basé sur l’ASMR et prix basé sur le SMR</w:t>
            </w:r>
            <w:r>
              <w:rPr>
                <w:rFonts w:eastAsia="Times New Roman" w:cs="Arial"/>
                <w:szCs w:val="20"/>
              </w:rPr>
              <w:t xml:space="preserve"> </w:t>
            </w:r>
            <w:r>
              <w:rPr>
                <w:rFonts w:eastAsia="Times New Roman" w:cs="Arial"/>
                <w:color w:val="008000"/>
                <w:szCs w:val="20"/>
              </w:rPr>
              <w:t>(c’est l’inverse)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106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Sur le prix du mdt</w:t>
            </w:r>
            <w:r w:rsidRPr="006A3A4D">
              <w:rPr>
                <w:rFonts w:eastAsia="Times New Roman" w:cs="Arial"/>
                <w:strike/>
                <w:color w:val="FF0000"/>
                <w:szCs w:val="20"/>
              </w:rPr>
              <w:t>, l’industriel récupère 75%</w:t>
            </w:r>
            <w:r>
              <w:rPr>
                <w:rFonts w:eastAsia="Times New Roman" w:cs="Arial"/>
                <w:szCs w:val="20"/>
              </w:rPr>
              <w:t xml:space="preserve"> et l’officine 25% </w:t>
            </w:r>
            <w:r w:rsidRPr="00071B57">
              <w:rPr>
                <w:rFonts w:eastAsia="Times New Roman" w:cs="Arial"/>
                <w:color w:val="008000"/>
                <w:szCs w:val="20"/>
              </w:rPr>
              <w:t>(industriel = 70%, officine 25%, état = 6%)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107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budget de marketing supérieur au budget de recherche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108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12% du chiffre d’affaire de l’industrie pharmaceutique est réinjecté dans la visite médicale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109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En France 9 consultations sur 10 aboutissent à la rédaction d’une ordonnances, avec </w:t>
            </w:r>
            <w:proofErr w:type="gramStart"/>
            <w:r>
              <w:rPr>
                <w:rFonts w:eastAsia="Times New Roman" w:cs="Arial"/>
                <w:szCs w:val="20"/>
              </w:rPr>
              <w:t>une</w:t>
            </w:r>
            <w:proofErr w:type="gramEnd"/>
            <w:r>
              <w:rPr>
                <w:rFonts w:eastAsia="Times New Roman" w:cs="Arial"/>
                <w:szCs w:val="20"/>
              </w:rPr>
              <w:t xml:space="preserve"> moyen de 3-4 lignes par ordonnances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6A3A4D" w:rsidRPr="000804B8">
        <w:tc>
          <w:tcPr>
            <w:tcW w:w="551" w:type="dxa"/>
          </w:tcPr>
          <w:p w:rsidR="006A3A4D" w:rsidRDefault="006A3A4D" w:rsidP="006A3A4D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110</w:t>
            </w:r>
          </w:p>
        </w:tc>
        <w:tc>
          <w:tcPr>
            <w:tcW w:w="8705" w:type="dxa"/>
          </w:tcPr>
          <w:p w:rsidR="006A3A4D" w:rsidRDefault="006A3A4D" w:rsidP="006A3A4D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La </w:t>
            </w:r>
            <w:proofErr w:type="spellStart"/>
            <w:r>
              <w:rPr>
                <w:rFonts w:eastAsia="Times New Roman" w:cs="Arial"/>
                <w:szCs w:val="20"/>
              </w:rPr>
              <w:t>sur-promotion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des médicaments peut amener à une extension d’indication ainsi qu’à une utilisation en première intention d’un mdt de seconde intention</w:t>
            </w:r>
          </w:p>
        </w:tc>
        <w:tc>
          <w:tcPr>
            <w:tcW w:w="709" w:type="dxa"/>
          </w:tcPr>
          <w:p w:rsidR="006A3A4D" w:rsidRPr="00F7777F" w:rsidRDefault="006A3A4D" w:rsidP="007531B2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6A3A4D" w:rsidRDefault="006A3A4D" w:rsidP="007531B2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111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bonnes pratiques cliniques datent de 1987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112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Il faut attendre 1988 et la loi </w:t>
            </w:r>
            <w:proofErr w:type="spellStart"/>
            <w:r>
              <w:rPr>
                <w:rFonts w:eastAsia="Times New Roman" w:cs="Arial"/>
                <w:szCs w:val="20"/>
              </w:rPr>
              <w:t>Huriet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Cs w:val="20"/>
              </w:rPr>
              <w:t>Serusclat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pour que les phases I soient autorisé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113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Les BPC sont unifiés en 1987 pour aboutir aux directives européennes en 2001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114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Dans l’ordre chronologique ça a fait :</w:t>
            </w:r>
          </w:p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proofErr w:type="spellStart"/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>BPClinique</w:t>
            </w:r>
            <w:proofErr w:type="spellEnd"/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 xml:space="preserve"> &gt; </w:t>
            </w:r>
            <w:proofErr w:type="spellStart"/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>BPLaboratoire</w:t>
            </w:r>
            <w:proofErr w:type="spellEnd"/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 xml:space="preserve"> &gt; </w:t>
            </w:r>
            <w:proofErr w:type="spellStart"/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>BPFabrication</w:t>
            </w:r>
            <w:proofErr w:type="spellEnd"/>
            <w:r>
              <w:rPr>
                <w:rFonts w:eastAsia="Times New Roman" w:cs="Arial"/>
                <w:szCs w:val="20"/>
              </w:rPr>
              <w:t xml:space="preserve"> </w:t>
            </w:r>
            <w:r w:rsidRPr="00476871">
              <w:rPr>
                <w:rFonts w:eastAsia="Times New Roman" w:cs="Arial"/>
                <w:color w:val="008000"/>
                <w:szCs w:val="20"/>
              </w:rPr>
              <w:t>(BPF &gt; BPL &gt; BPC)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115</w:t>
            </w:r>
          </w:p>
        </w:tc>
        <w:tc>
          <w:tcPr>
            <w:tcW w:w="8705" w:type="dxa"/>
          </w:tcPr>
          <w:p w:rsidR="00212C75" w:rsidRPr="00476871" w:rsidRDefault="00212C75" w:rsidP="00212C75">
            <w:pPr>
              <w:rPr>
                <w:rFonts w:eastAsia="Times New Roman" w:cs="Arial"/>
                <w:color w:val="008000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promoteur est la personne physique qui décide du début de l’étude, il choisit l’investigateur et </w:t>
            </w:r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>devra faire signer le consentement de chaque patient entrant dans l’étude</w:t>
            </w:r>
            <w:r w:rsidRPr="00476871">
              <w:rPr>
                <w:rFonts w:eastAsia="Times New Roman" w:cs="Arial"/>
                <w:color w:val="008000"/>
                <w:szCs w:val="20"/>
              </w:rPr>
              <w:t xml:space="preserve"> (c’est l’investigateur qui fait signer le consentement)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116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Le responsable de la réalisation de l’étude est </w:t>
            </w:r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>toujours</w:t>
            </w:r>
            <w:r>
              <w:rPr>
                <w:rFonts w:eastAsia="Times New Roman" w:cs="Arial"/>
                <w:szCs w:val="20"/>
              </w:rPr>
              <w:t xml:space="preserve"> un médecin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117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La recherche biomédicale peut être interventionnelle et non interventionnelle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118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L’avis du CPP est </w:t>
            </w:r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>consultatif</w:t>
            </w:r>
            <w:r>
              <w:rPr>
                <w:rFonts w:eastAsia="Times New Roman" w:cs="Arial"/>
                <w:szCs w:val="20"/>
              </w:rPr>
              <w:t xml:space="preserve"> (</w:t>
            </w:r>
            <w:r w:rsidRPr="007E33FE">
              <w:rPr>
                <w:rFonts w:eastAsia="Times New Roman" w:cs="Arial"/>
                <w:color w:val="008000"/>
                <w:szCs w:val="20"/>
              </w:rPr>
              <w:t>obligatoire)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119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 xml:space="preserve">L’ANSM donne une autorisation pour la mise sur le marché du mdt </w:t>
            </w:r>
            <w:r w:rsidRPr="00212C75">
              <w:rPr>
                <w:rFonts w:eastAsia="Times New Roman" w:cs="Arial"/>
                <w:strike/>
                <w:color w:val="FF0000"/>
                <w:szCs w:val="20"/>
              </w:rPr>
              <w:t>mais pas pour le début des essais sur l’homme</w:t>
            </w:r>
            <w:r>
              <w:rPr>
                <w:rFonts w:eastAsia="Times New Roman" w:cs="Arial"/>
                <w:szCs w:val="20"/>
              </w:rPr>
              <w:t xml:space="preserve"> </w:t>
            </w:r>
            <w:r w:rsidRPr="007E33FE">
              <w:rPr>
                <w:rFonts w:eastAsia="Times New Roman" w:cs="Arial"/>
                <w:color w:val="008000"/>
                <w:szCs w:val="20"/>
              </w:rPr>
              <w:t>(autorisation obligatoire de l’ANSM avant de débuter les essais chez l’H !)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120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Le promoteur doit s’acquitter d’une taxe avant le début de l’essai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  <w:tr w:rsidR="00212C75" w:rsidRPr="000804B8">
        <w:tc>
          <w:tcPr>
            <w:tcW w:w="551" w:type="dxa"/>
          </w:tcPr>
          <w:p w:rsidR="00212C75" w:rsidRDefault="00212C75" w:rsidP="00212C75">
            <w:pPr>
              <w:jc w:val="center"/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121</w:t>
            </w:r>
          </w:p>
        </w:tc>
        <w:tc>
          <w:tcPr>
            <w:tcW w:w="8705" w:type="dxa"/>
          </w:tcPr>
          <w:p w:rsidR="00212C75" w:rsidRDefault="00212C75" w:rsidP="00212C75">
            <w:pPr>
              <w:rPr>
                <w:rFonts w:eastAsia="Times New Roman" w:cs="Arial"/>
                <w:szCs w:val="20"/>
              </w:rPr>
            </w:pPr>
            <w:r>
              <w:rPr>
                <w:rFonts w:eastAsia="Times New Roman" w:cs="Arial"/>
                <w:szCs w:val="20"/>
              </w:rPr>
              <w:t>Fatigué nous sommes, une petite pause nous devons nous accorder !</w:t>
            </w:r>
          </w:p>
        </w:tc>
        <w:tc>
          <w:tcPr>
            <w:tcW w:w="709" w:type="dxa"/>
          </w:tcPr>
          <w:p w:rsidR="00212C75" w:rsidRPr="00F7777F" w:rsidRDefault="00212C75" w:rsidP="00212C75">
            <w:pPr>
              <w:jc w:val="center"/>
              <w:rPr>
                <w:rFonts w:ascii="Arial" w:eastAsia="Times New Roman" w:hAnsi="Arial" w:cs="Arial"/>
                <w:b/>
                <w:color w:val="008000"/>
                <w:szCs w:val="20"/>
              </w:rPr>
            </w:pPr>
            <w:r w:rsidRPr="00F7777F">
              <w:rPr>
                <w:rFonts w:ascii="Arial" w:eastAsia="Times New Roman" w:hAnsi="Arial" w:cs="Arial"/>
                <w:b/>
                <w:color w:val="008000"/>
                <w:szCs w:val="20"/>
              </w:rPr>
              <w:sym w:font="Wingdings" w:char="F0FC"/>
            </w:r>
          </w:p>
        </w:tc>
        <w:tc>
          <w:tcPr>
            <w:tcW w:w="717" w:type="dxa"/>
          </w:tcPr>
          <w:p w:rsidR="00212C75" w:rsidRDefault="00212C75" w:rsidP="00212C75">
            <w:pPr>
              <w:jc w:val="center"/>
              <w:rPr>
                <w:rFonts w:ascii="Arial" w:eastAsia="Times New Roman" w:hAnsi="Arial" w:cs="Arial"/>
                <w:color w:val="008000"/>
                <w:szCs w:val="20"/>
              </w:rPr>
            </w:pPr>
          </w:p>
        </w:tc>
      </w:tr>
    </w:tbl>
    <w:p w:rsidR="00B30E38" w:rsidRDefault="00B30E38" w:rsidP="00492DC2">
      <w:pPr>
        <w:rPr>
          <w:rFonts w:ascii="Times New Roman" w:hAnsi="Times New Roman"/>
        </w:rPr>
      </w:pPr>
    </w:p>
    <w:p w:rsidR="00B30E38" w:rsidRDefault="00B30E38" w:rsidP="00B30E3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drawing>
          <wp:inline distT="0" distB="0" distL="0" distR="0">
            <wp:extent cx="2753897" cy="5061438"/>
            <wp:effectExtent l="25400" t="0" r="0" b="0"/>
            <wp:docPr id="6" name="Image 2" descr="7062724_70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062724_700b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7091" cy="5067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491" w:rsidRPr="00DB10EA" w:rsidRDefault="00C82491" w:rsidP="00B30E38">
      <w:pPr>
        <w:jc w:val="center"/>
        <w:rPr>
          <w:rFonts w:ascii="Times New Roman" w:hAnsi="Times New Roman"/>
        </w:rPr>
      </w:pPr>
    </w:p>
    <w:sectPr w:rsidR="00C82491" w:rsidRPr="00DB10EA" w:rsidSect="002465C2">
      <w:footerReference w:type="default" r:id="rId11"/>
      <w:pgSz w:w="11906" w:h="16838"/>
      <w:pgMar w:top="720" w:right="720" w:bottom="426" w:left="720" w:header="0" w:footer="0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A4D" w:rsidRDefault="006A3A4D">
      <w:pPr>
        <w:spacing w:after="0" w:line="240" w:lineRule="auto"/>
      </w:pPr>
      <w:r>
        <w:separator/>
      </w:r>
    </w:p>
  </w:endnote>
  <w:endnote w:type="continuationSeparator" w:id="0">
    <w:p w:rsidR="006A3A4D" w:rsidRDefault="006A3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4D" w:rsidRDefault="006A3A4D" w:rsidP="00B14D11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10.09.12</w:t>
    </w:r>
    <w:r w:rsidRPr="009C3D33">
      <w:rPr>
        <w:b/>
        <w:color w:val="404040" w:themeColor="text1" w:themeTint="BF"/>
      </w:rPr>
      <w:t xml:space="preserve"> </w:t>
    </w:r>
    <w:r>
      <w:rPr>
        <w:b/>
        <w:color w:val="404040" w:themeColor="text1" w:themeTint="BF"/>
      </w:rPr>
      <w:tab/>
    </w:r>
    <w:r w:rsidRPr="009C3D33">
      <w:rPr>
        <w:b/>
        <w:color w:val="404040" w:themeColor="text1" w:themeTint="BF"/>
      </w:rPr>
      <w:t xml:space="preserve"> Le tutorat est gratuit. Toute reproduction ou vente sont interdites. </w:t>
    </w:r>
    <w:r>
      <w:rPr>
        <w:b/>
        <w:color w:val="404040" w:themeColor="text1" w:themeTint="BF"/>
      </w:rPr>
      <w:tab/>
    </w:r>
    <w:r>
      <w:rPr>
        <w:b/>
        <w:color w:val="404040" w:themeColor="text1" w:themeTint="BF"/>
      </w:rPr>
      <w:tab/>
    </w:r>
    <w:r w:rsidRPr="009C3D33">
      <w:rPr>
        <w:color w:val="404040" w:themeColor="text1" w:themeTint="BF"/>
      </w:rPr>
      <w:t xml:space="preserve">Page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PAGE</w:instrText>
    </w:r>
    <w:r w:rsidRPr="009C3D33">
      <w:rPr>
        <w:b/>
        <w:color w:val="404040" w:themeColor="text1" w:themeTint="BF"/>
      </w:rPr>
      <w:fldChar w:fldCharType="separate"/>
    </w:r>
    <w:r w:rsidR="009A5F7B">
      <w:rPr>
        <w:b/>
        <w:noProof/>
        <w:color w:val="404040" w:themeColor="text1" w:themeTint="BF"/>
      </w:rPr>
      <w:t>6</w:t>
    </w:r>
    <w:r w:rsidRPr="009C3D33">
      <w:rPr>
        <w:b/>
        <w:color w:val="404040" w:themeColor="text1" w:themeTint="BF"/>
      </w:rPr>
      <w:fldChar w:fldCharType="end"/>
    </w:r>
    <w:r w:rsidRPr="009C3D33">
      <w:rPr>
        <w:color w:val="404040" w:themeColor="text1" w:themeTint="BF"/>
      </w:rPr>
      <w:t xml:space="preserve"> sur </w:t>
    </w:r>
    <w:r w:rsidRPr="009C3D33">
      <w:rPr>
        <w:b/>
        <w:color w:val="404040" w:themeColor="text1" w:themeTint="BF"/>
      </w:rPr>
      <w:fldChar w:fldCharType="begin"/>
    </w:r>
    <w:r w:rsidRPr="009C3D33">
      <w:rPr>
        <w:b/>
        <w:color w:val="404040" w:themeColor="text1" w:themeTint="BF"/>
      </w:rPr>
      <w:instrText>NUMPAGES</w:instrText>
    </w:r>
    <w:r w:rsidRPr="009C3D33">
      <w:rPr>
        <w:b/>
        <w:color w:val="404040" w:themeColor="text1" w:themeTint="BF"/>
      </w:rPr>
      <w:fldChar w:fldCharType="separate"/>
    </w:r>
    <w:r w:rsidR="009A5F7B">
      <w:rPr>
        <w:b/>
        <w:noProof/>
        <w:color w:val="404040" w:themeColor="text1" w:themeTint="BF"/>
      </w:rPr>
      <w:t>6</w:t>
    </w:r>
    <w:r w:rsidRPr="009C3D33">
      <w:rPr>
        <w:b/>
        <w:color w:val="404040" w:themeColor="text1" w:themeTint="BF"/>
      </w:rPr>
      <w:fldChar w:fldCharType="end"/>
    </w:r>
  </w:p>
  <w:p w:rsidR="006A3A4D" w:rsidRDefault="006A3A4D" w:rsidP="00B14D11">
    <w:pPr>
      <w:pStyle w:val="Pieddepage"/>
      <w:jc w:val="cen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A4D" w:rsidRDefault="006A3A4D">
      <w:pPr>
        <w:spacing w:after="0" w:line="240" w:lineRule="auto"/>
      </w:pPr>
      <w:r>
        <w:separator/>
      </w:r>
    </w:p>
  </w:footnote>
  <w:footnote w:type="continuationSeparator" w:id="0">
    <w:p w:rsidR="006A3A4D" w:rsidRDefault="006A3A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3562669"/>
    <w:multiLevelType w:val="hybridMultilevel"/>
    <w:tmpl w:val="2DA47632"/>
    <w:lvl w:ilvl="0" w:tplc="D01665E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34985"/>
    <w:multiLevelType w:val="hybridMultilevel"/>
    <w:tmpl w:val="64966A3A"/>
    <w:lvl w:ilvl="0" w:tplc="1AF8EE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B612F4"/>
    <w:multiLevelType w:val="hybridMultilevel"/>
    <w:tmpl w:val="1C7E87A6"/>
    <w:lvl w:ilvl="0" w:tplc="6680D3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395757"/>
    <w:multiLevelType w:val="hybridMultilevel"/>
    <w:tmpl w:val="3DCC2528"/>
    <w:lvl w:ilvl="0" w:tplc="B76639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059B"/>
    <w:rsid w:val="00036D8B"/>
    <w:rsid w:val="000718AD"/>
    <w:rsid w:val="00077263"/>
    <w:rsid w:val="001751A7"/>
    <w:rsid w:val="001B3FF3"/>
    <w:rsid w:val="001F6BE3"/>
    <w:rsid w:val="00212C75"/>
    <w:rsid w:val="00214443"/>
    <w:rsid w:val="002322A3"/>
    <w:rsid w:val="00241184"/>
    <w:rsid w:val="002465C2"/>
    <w:rsid w:val="0025104C"/>
    <w:rsid w:val="002A73A0"/>
    <w:rsid w:val="002B7C4C"/>
    <w:rsid w:val="002C5048"/>
    <w:rsid w:val="002F378B"/>
    <w:rsid w:val="00320728"/>
    <w:rsid w:val="0032714B"/>
    <w:rsid w:val="0036070D"/>
    <w:rsid w:val="00364152"/>
    <w:rsid w:val="003971D4"/>
    <w:rsid w:val="003D0A85"/>
    <w:rsid w:val="003E0609"/>
    <w:rsid w:val="003E55B6"/>
    <w:rsid w:val="0041567F"/>
    <w:rsid w:val="00492DC2"/>
    <w:rsid w:val="004A18EE"/>
    <w:rsid w:val="004B6B7A"/>
    <w:rsid w:val="0055059B"/>
    <w:rsid w:val="0055288D"/>
    <w:rsid w:val="005C0150"/>
    <w:rsid w:val="005F048A"/>
    <w:rsid w:val="00601C59"/>
    <w:rsid w:val="00611413"/>
    <w:rsid w:val="00620CE0"/>
    <w:rsid w:val="00630843"/>
    <w:rsid w:val="0065543E"/>
    <w:rsid w:val="00683C1A"/>
    <w:rsid w:val="006A2C7E"/>
    <w:rsid w:val="006A3A4D"/>
    <w:rsid w:val="006B133B"/>
    <w:rsid w:val="006B35C0"/>
    <w:rsid w:val="00701826"/>
    <w:rsid w:val="00730176"/>
    <w:rsid w:val="007471E2"/>
    <w:rsid w:val="007531B2"/>
    <w:rsid w:val="0076360D"/>
    <w:rsid w:val="00766D64"/>
    <w:rsid w:val="00776722"/>
    <w:rsid w:val="007A7732"/>
    <w:rsid w:val="007B4174"/>
    <w:rsid w:val="007B4334"/>
    <w:rsid w:val="007F3B2C"/>
    <w:rsid w:val="00833F62"/>
    <w:rsid w:val="0085071E"/>
    <w:rsid w:val="008536BC"/>
    <w:rsid w:val="00884197"/>
    <w:rsid w:val="008B75ED"/>
    <w:rsid w:val="008E7C45"/>
    <w:rsid w:val="009014CD"/>
    <w:rsid w:val="009049D7"/>
    <w:rsid w:val="009121A4"/>
    <w:rsid w:val="009441B9"/>
    <w:rsid w:val="00986413"/>
    <w:rsid w:val="009930F1"/>
    <w:rsid w:val="00997473"/>
    <w:rsid w:val="009A5F7B"/>
    <w:rsid w:val="009C4282"/>
    <w:rsid w:val="00A5035D"/>
    <w:rsid w:val="00A532B8"/>
    <w:rsid w:val="00AA088D"/>
    <w:rsid w:val="00AC0B9D"/>
    <w:rsid w:val="00AD618A"/>
    <w:rsid w:val="00B133A3"/>
    <w:rsid w:val="00B14D11"/>
    <w:rsid w:val="00B21E1A"/>
    <w:rsid w:val="00B30E38"/>
    <w:rsid w:val="00B769D8"/>
    <w:rsid w:val="00B8524F"/>
    <w:rsid w:val="00BA2869"/>
    <w:rsid w:val="00BB3894"/>
    <w:rsid w:val="00BB6FFF"/>
    <w:rsid w:val="00BD58A9"/>
    <w:rsid w:val="00BE02D5"/>
    <w:rsid w:val="00BE7090"/>
    <w:rsid w:val="00BF78F3"/>
    <w:rsid w:val="00C105EB"/>
    <w:rsid w:val="00C66026"/>
    <w:rsid w:val="00C82491"/>
    <w:rsid w:val="00CF31B8"/>
    <w:rsid w:val="00D00EE0"/>
    <w:rsid w:val="00D2024F"/>
    <w:rsid w:val="00D20F8F"/>
    <w:rsid w:val="00D907DB"/>
    <w:rsid w:val="00D96505"/>
    <w:rsid w:val="00D96CA1"/>
    <w:rsid w:val="00DA5A1D"/>
    <w:rsid w:val="00DB10EA"/>
    <w:rsid w:val="00DC346C"/>
    <w:rsid w:val="00DD50D3"/>
    <w:rsid w:val="00DF4404"/>
    <w:rsid w:val="00E108C7"/>
    <w:rsid w:val="00E404B5"/>
    <w:rsid w:val="00E40FEB"/>
    <w:rsid w:val="00E87338"/>
    <w:rsid w:val="00E925CF"/>
    <w:rsid w:val="00EB23D6"/>
    <w:rsid w:val="00EB7690"/>
    <w:rsid w:val="00EF12C5"/>
    <w:rsid w:val="00F171AF"/>
    <w:rsid w:val="00F56E21"/>
    <w:rsid w:val="00F5736A"/>
    <w:rsid w:val="00F861F7"/>
    <w:rsid w:val="00F91825"/>
    <w:rsid w:val="00FB5E19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D618A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Paragraphedeliste">
    <w:name w:val="List Paragraph"/>
    <w:basedOn w:val="Normal"/>
    <w:uiPriority w:val="34"/>
    <w:qFormat/>
    <w:rsid w:val="00766D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07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07DB"/>
    <w:rPr>
      <w:rFonts w:ascii="Lucida Grande" w:hAnsi="Lucida Grande" w:cs="Lucida Grande"/>
      <w:sz w:val="18"/>
      <w:szCs w:val="18"/>
    </w:rPr>
  </w:style>
  <w:style w:type="paragraph" w:styleId="Sansinterligne">
    <w:name w:val="No Spacing"/>
    <w:uiPriority w:val="1"/>
    <w:qFormat/>
    <w:rsid w:val="007B4174"/>
    <w:pPr>
      <w:spacing w:after="0" w:line="240" w:lineRule="auto"/>
    </w:pPr>
  </w:style>
  <w:style w:type="table" w:styleId="Grille">
    <w:name w:val="Table Grid"/>
    <w:basedOn w:val="TableauNormal"/>
    <w:uiPriority w:val="59"/>
    <w:rsid w:val="00DC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5059B"/>
    <w:rPr>
      <w:rFonts w:eastAsia="Times New Roman" w:cs="Times New Roman"/>
    </w:rPr>
  </w:style>
  <w:style w:type="paragraph" w:styleId="Paragraphedeliste">
    <w:name w:val="List Paragraph"/>
    <w:basedOn w:val="Normal"/>
    <w:uiPriority w:val="34"/>
    <w:qFormat/>
    <w:rsid w:val="00766D6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907D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07D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4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3494788-10B0-FD46-874E-75848AEB7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768</Words>
  <Characters>4379</Characters>
  <Application>Microsoft Macintosh Word</Application>
  <DocSecurity>0</DocSecurity>
  <Lines>36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Nicolas Maugars</cp:lastModifiedBy>
  <cp:revision>16</cp:revision>
  <dcterms:created xsi:type="dcterms:W3CDTF">2013-05-08T08:24:00Z</dcterms:created>
  <dcterms:modified xsi:type="dcterms:W3CDTF">2013-05-08T17:03:00Z</dcterms:modified>
</cp:coreProperties>
</file>