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8C795D" w:rsidRDefault="008C795D" w:rsidP="008C795D">
      <w:pPr>
        <w:spacing w:after="0" w:line="240" w:lineRule="auto"/>
        <w:ind w:left="142"/>
        <w:rPr>
          <w:rFonts w:eastAsia="Times New Roman" w:cs="Calibri"/>
          <w:b/>
          <w:sz w:val="40"/>
          <w:szCs w:val="40"/>
        </w:rPr>
      </w:pPr>
      <w:r>
        <w:rPr>
          <w:rFonts w:eastAsia="Times New Roman" w:cs="Calibri"/>
          <w:b/>
          <w:i/>
          <w:noProof/>
          <w:sz w:val="40"/>
          <w:szCs w:val="40"/>
          <w:lang w:eastAsia="fr-FR"/>
        </w:rPr>
        <w:drawing>
          <wp:anchor distT="0" distB="0" distL="114300" distR="114300" simplePos="0" relativeHeight="251660288" behindDoc="0" locked="0" layoutInCell="1" allowOverlap="1">
            <wp:simplePos x="0" y="0"/>
            <wp:positionH relativeFrom="column">
              <wp:posOffset>5715000</wp:posOffset>
            </wp:positionH>
            <wp:positionV relativeFrom="paragraph">
              <wp:posOffset>-342900</wp:posOffset>
            </wp:positionV>
            <wp:extent cx="1124585" cy="1531620"/>
            <wp:effectExtent l="50800" t="25400" r="18415" b="17780"/>
            <wp:wrapSquare wrapText="bothSides"/>
            <wp:docPr id="2" name="Image 0" descr="Description : Description : Description : Description : Description : Description : Description : Description : LOGO-TUTO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Description : Description : Description : Description : Description : Description : Description : Description : LOGO-TUTORAT.jpg"/>
                    <pic:cNvPicPr>
                      <a:picLocks noChangeAspect="1" noChangeArrowheads="1"/>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4585" cy="1531620"/>
                    </a:xfrm>
                    <a:prstGeom prst="rect">
                      <a:avLst/>
                    </a:prstGeom>
                    <a:noFill/>
                    <a:ln w="9525">
                      <a:solidFill>
                        <a:srgbClr val="7F7F7F"/>
                      </a:solidFill>
                      <a:miter lim="800000"/>
                      <a:headEnd/>
                      <a:tailEnd/>
                    </a:ln>
                  </pic:spPr>
                </pic:pic>
              </a:graphicData>
            </a:graphic>
          </wp:anchor>
        </w:drawing>
      </w:r>
      <w:r>
        <w:rPr>
          <w:rFonts w:eastAsia="Times New Roman" w:cs="Calibri"/>
          <w:b/>
          <w:i/>
          <w:sz w:val="40"/>
          <w:szCs w:val="40"/>
        </w:rPr>
        <w:t>D</w:t>
      </w:r>
      <w:r w:rsidR="003446E4">
        <w:rPr>
          <w:rFonts w:eastAsia="Times New Roman" w:cs="Calibri"/>
          <w:b/>
          <w:i/>
          <w:sz w:val="40"/>
          <w:szCs w:val="40"/>
        </w:rPr>
        <w:t xml:space="preserve">evoir </w:t>
      </w:r>
      <w:r>
        <w:rPr>
          <w:rFonts w:eastAsia="Times New Roman" w:cs="Calibri"/>
          <w:b/>
          <w:i/>
          <w:sz w:val="40"/>
          <w:szCs w:val="40"/>
        </w:rPr>
        <w:t>M</w:t>
      </w:r>
      <w:r w:rsidR="003446E4">
        <w:rPr>
          <w:rFonts w:eastAsia="Times New Roman" w:cs="Calibri"/>
          <w:b/>
          <w:i/>
          <w:sz w:val="40"/>
          <w:szCs w:val="40"/>
        </w:rPr>
        <w:t>aison</w:t>
      </w:r>
      <w:r w:rsidRPr="00BA2869">
        <w:rPr>
          <w:rFonts w:eastAsia="Times New Roman" w:cs="Calibri"/>
          <w:b/>
          <w:i/>
          <w:color w:val="FFFFFF" w:themeColor="background1"/>
          <w:sz w:val="40"/>
          <w:szCs w:val="40"/>
        </w:rPr>
        <w:t>1</w:t>
      </w:r>
      <w:r w:rsidR="0021206E" w:rsidRPr="0021206E">
        <w:rPr>
          <w:rFonts w:eastAsia="Times New Roman" w:cs="Times New Roman"/>
          <w:noProof/>
          <w:lang w:eastAsia="fr-FR"/>
        </w:rPr>
        <w:pict>
          <v:rect id="Rectangle 2" o:spid="_x0000_s1029" style="position:absolute;left:0;text-align:left;margin-left:-7.9pt;margin-top:-9.55pt;width:536.55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" filled="f" strokecolor="#a5a5a5 [2092]" strokeweight="2pt"/>
        </w:pict>
      </w:r>
      <w:r w:rsidRPr="0055059B">
        <w:rPr>
          <w:rFonts w:eastAsia="Times New Roman" w:cs="Calibri"/>
          <w:b/>
          <w:sz w:val="40"/>
          <w:szCs w:val="40"/>
        </w:rPr>
        <w:t xml:space="preserve">: </w:t>
      </w:r>
      <w:r w:rsidR="00980E4C" w:rsidRPr="002A64D1">
        <w:rPr>
          <w:rFonts w:ascii="Bookman Old Style" w:eastAsia="Times New Roman" w:hAnsi="Bookman Old Style" w:cs="Calibri"/>
          <w:sz w:val="40"/>
          <w:szCs w:val="40"/>
        </w:rPr>
        <w:t>The Final One</w:t>
      </w:r>
      <w:r w:rsidR="0069026E">
        <w:rPr>
          <w:rFonts w:ascii="Bookman Old Style" w:eastAsia="Times New Roman" w:hAnsi="Bookman Old Style" w:cs="Calibri"/>
          <w:sz w:val="40"/>
          <w:szCs w:val="40"/>
        </w:rPr>
        <w:t>…</w:t>
      </w:r>
      <w:r w:rsidR="00980E4C" w:rsidRPr="002A64D1">
        <w:rPr>
          <w:rFonts w:ascii="Bookman Old Style" w:eastAsia="Times New Roman" w:hAnsi="Bookman Old Style" w:cs="Calibri"/>
          <w:b/>
          <w:sz w:val="40"/>
          <w:szCs w:val="40"/>
        </w:rPr>
        <w:tab/>
      </w:r>
      <w:r w:rsidR="00980E4C" w:rsidRPr="002A64D1">
        <w:rPr>
          <w:rFonts w:eastAsia="Times New Roman" w:cs="Calibri"/>
          <w:sz w:val="40"/>
          <w:szCs w:val="40"/>
        </w:rPr>
        <w:tab/>
      </w:r>
      <w:r w:rsidR="002A64D1">
        <w:rPr>
          <w:rFonts w:eastAsia="Times New Roman" w:cs="Calibri"/>
          <w:sz w:val="40"/>
          <w:szCs w:val="40"/>
        </w:rPr>
        <w:tab/>
        <w:t xml:space="preserve">   </w:t>
      </w:r>
      <w:r w:rsidRPr="0055059B">
        <w:rPr>
          <w:rFonts w:eastAsia="Times New Roman" w:cs="Calibri"/>
          <w:b/>
          <w:sz w:val="40"/>
          <w:szCs w:val="40"/>
        </w:rPr>
        <w:t>UE</w:t>
      </w:r>
      <w:r>
        <w:rPr>
          <w:rFonts w:eastAsia="Times New Roman" w:cs="Calibri"/>
          <w:b/>
          <w:sz w:val="40"/>
          <w:szCs w:val="40"/>
        </w:rPr>
        <w:t xml:space="preserve">6 </w:t>
      </w:r>
    </w:p>
    <w:p w:rsidR="0055059B" w:rsidRPr="00283BB0" w:rsidRDefault="008C795D" w:rsidP="00283BB0">
      <w:pPr>
        <w:spacing w:after="0" w:line="240" w:lineRule="auto"/>
        <w:ind w:left="142"/>
        <w:rPr>
          <w:rFonts w:eastAsia="Times New Roman" w:cs="Calibri"/>
          <w:sz w:val="40"/>
          <w:szCs w:val="40"/>
        </w:rPr>
      </w:pPr>
      <w:r w:rsidRPr="0055059B">
        <w:rPr>
          <w:rFonts w:eastAsia="Times New Roman" w:cs="Calibri"/>
          <w:sz w:val="36"/>
          <w:szCs w:val="40"/>
        </w:rPr>
        <w:t>Tutorat 2012-2013 :</w:t>
      </w:r>
      <w:r w:rsidRPr="0055059B">
        <w:rPr>
          <w:rFonts w:eastAsia="Times New Roman" w:cs="Times New Roman"/>
          <w:b/>
          <w:sz w:val="20"/>
        </w:rPr>
        <w:t xml:space="preserve"> </w:t>
      </w:r>
      <w:r>
        <w:rPr>
          <w:rFonts w:eastAsia="Times New Roman" w:cs="Calibri"/>
          <w:b/>
          <w:sz w:val="28"/>
          <w:szCs w:val="28"/>
        </w:rPr>
        <w:t xml:space="preserve">QCMS + Vrai/Faux </w:t>
      </w:r>
      <w:r>
        <w:rPr>
          <w:rFonts w:eastAsia="Times New Roman" w:cs="Calibri"/>
          <w:b/>
          <w:sz w:val="36"/>
          <w:szCs w:val="28"/>
        </w:rPr>
        <w:t xml:space="preserve">      </w:t>
      </w:r>
    </w:p>
    <w:p w:rsidR="00EB23D6" w:rsidRDefault="00EB23D6" w:rsidP="00EB23D6">
      <w:pPr>
        <w:spacing w:after="0" w:line="240" w:lineRule="auto"/>
        <w:rPr>
          <w:rFonts w:ascii="Arial" w:eastAsia="Times New Roman" w:hAnsi="Arial" w:cs="Arial"/>
          <w:b/>
          <w:sz w:val="20"/>
          <w:szCs w:val="20"/>
          <w:u w:val="single"/>
        </w:rPr>
      </w:pPr>
    </w:p>
    <w:p w:rsidR="00283BB0" w:rsidRDefault="00283BB0" w:rsidP="000253BC">
      <w:pPr>
        <w:spacing w:after="0" w:line="240" w:lineRule="auto"/>
        <w:jc w:val="center"/>
        <w:rPr>
          <w:rFonts w:ascii="Arial" w:eastAsia="Times New Roman" w:hAnsi="Arial" w:cs="Arial"/>
          <w:b/>
          <w:sz w:val="20"/>
          <w:szCs w:val="20"/>
          <w:u w:val="single"/>
        </w:rPr>
      </w:pPr>
    </w:p>
    <w:p w:rsidR="00E8724E" w:rsidRDefault="002303AA" w:rsidP="000253BC">
      <w:pPr>
        <w:spacing w:after="0" w:line="240" w:lineRule="auto"/>
        <w:jc w:val="center"/>
        <w:rPr>
          <w:rFonts w:ascii="Arial" w:eastAsia="Times New Roman" w:hAnsi="Arial" w:cs="Arial"/>
          <w:b/>
          <w:sz w:val="20"/>
          <w:szCs w:val="20"/>
          <w:u w:val="single"/>
        </w:rPr>
      </w:pPr>
      <w:r>
        <w:rPr>
          <w:rFonts w:ascii="Arial" w:eastAsia="Times New Roman" w:hAnsi="Arial" w:cs="Arial"/>
          <w:b/>
          <w:sz w:val="20"/>
          <w:szCs w:val="20"/>
          <w:u w:val="single"/>
        </w:rPr>
        <w:t>Les 17</w:t>
      </w:r>
      <w:r w:rsidR="00E8724E">
        <w:rPr>
          <w:rFonts w:ascii="Arial" w:eastAsia="Times New Roman" w:hAnsi="Arial" w:cs="Arial"/>
          <w:b/>
          <w:sz w:val="20"/>
          <w:szCs w:val="20"/>
          <w:u w:val="single"/>
        </w:rPr>
        <w:t xml:space="preserve"> DERNIERS QCMs de </w:t>
      </w:r>
      <w:r w:rsidR="00DA5A1D">
        <w:rPr>
          <w:rFonts w:ascii="Arial" w:eastAsia="Times New Roman" w:hAnsi="Arial" w:cs="Arial"/>
          <w:b/>
          <w:sz w:val="20"/>
          <w:szCs w:val="20"/>
          <w:u w:val="single"/>
        </w:rPr>
        <w:t>PHARMACOLOGIE</w:t>
      </w:r>
      <w:r w:rsidR="003A3447">
        <w:rPr>
          <w:rFonts w:ascii="Arial" w:eastAsia="Times New Roman" w:hAnsi="Arial" w:cs="Arial"/>
          <w:b/>
          <w:sz w:val="20"/>
          <w:szCs w:val="20"/>
          <w:u w:val="single"/>
        </w:rPr>
        <w:t xml:space="preserve"> </w:t>
      </w:r>
    </w:p>
    <w:p w:rsidR="00EB23D6" w:rsidRPr="002303AA" w:rsidRDefault="00E8724E" w:rsidP="002303AA">
      <w:pPr>
        <w:spacing w:after="0" w:line="240" w:lineRule="auto"/>
        <w:jc w:val="center"/>
        <w:rPr>
          <w:rFonts w:ascii="Arial" w:eastAsia="Times New Roman" w:hAnsi="Arial" w:cs="Arial"/>
          <w:b/>
          <w:i/>
          <w:sz w:val="18"/>
          <w:szCs w:val="20"/>
        </w:rPr>
      </w:pPr>
      <w:r w:rsidRPr="002303AA">
        <w:rPr>
          <w:rFonts w:ascii="Arial" w:eastAsia="Times New Roman" w:hAnsi="Arial" w:cs="Arial"/>
          <w:b/>
          <w:i/>
          <w:sz w:val="18"/>
          <w:szCs w:val="20"/>
        </w:rPr>
        <w:t>(sur l’ensemble des cours « non-DMisés »</w:t>
      </w:r>
      <w:r w:rsidR="002303AA" w:rsidRPr="002303AA">
        <w:rPr>
          <w:rFonts w:ascii="Arial" w:eastAsia="Times New Roman" w:hAnsi="Arial" w:cs="Arial"/>
          <w:b/>
          <w:i/>
          <w:sz w:val="18"/>
          <w:szCs w:val="20"/>
        </w:rPr>
        <w:t xml:space="preserve"> + un peu de Garraffo parce que vous adorez ça !</w:t>
      </w:r>
      <w:r w:rsidRPr="002303AA">
        <w:rPr>
          <w:rFonts w:ascii="Arial" w:eastAsia="Times New Roman" w:hAnsi="Arial" w:cs="Arial"/>
          <w:b/>
          <w:i/>
          <w:sz w:val="18"/>
          <w:szCs w:val="20"/>
        </w:rPr>
        <w:t>)</w:t>
      </w:r>
    </w:p>
    <w:p w:rsidR="00AC0B9D" w:rsidRPr="0055059B" w:rsidRDefault="00AC0B9D" w:rsidP="0055059B">
      <w:pPr>
        <w:spacing w:after="0" w:line="240" w:lineRule="auto"/>
        <w:jc w:val="center"/>
        <w:rPr>
          <w:rFonts w:ascii="Arial" w:eastAsia="Times New Roman" w:hAnsi="Arial" w:cs="Arial"/>
          <w:b/>
          <w:u w:val="single"/>
        </w:rPr>
      </w:pPr>
    </w:p>
    <w:p w:rsidR="003A3447" w:rsidRDefault="003A3447" w:rsidP="003A3447">
      <w:pPr>
        <w:spacing w:line="240" w:lineRule="auto"/>
        <w:contextualSpacing/>
        <w:jc w:val="both"/>
        <w:rPr>
          <w:rFonts w:ascii="Arial" w:hAnsi="Arial" w:cs="Arial"/>
          <w:b/>
          <w:sz w:val="20"/>
          <w:szCs w:val="20"/>
        </w:rPr>
      </w:pPr>
      <w:r>
        <w:rPr>
          <w:rFonts w:ascii="Arial" w:hAnsi="Arial" w:cs="Arial"/>
          <w:b/>
          <w:sz w:val="20"/>
          <w:szCs w:val="20"/>
          <w:u w:val="single"/>
        </w:rPr>
        <w:t>QCM 1</w:t>
      </w:r>
      <w:r w:rsidRPr="00D907DB">
        <w:rPr>
          <w:rFonts w:ascii="Arial" w:hAnsi="Arial" w:cs="Arial"/>
          <w:b/>
          <w:sz w:val="20"/>
          <w:szCs w:val="20"/>
          <w:u w:val="single"/>
        </w:rPr>
        <w:t> </w:t>
      </w:r>
      <w:r w:rsidRPr="00D907DB">
        <w:rPr>
          <w:rFonts w:ascii="Arial" w:hAnsi="Arial" w:cs="Arial"/>
          <w:b/>
          <w:sz w:val="20"/>
          <w:szCs w:val="20"/>
        </w:rPr>
        <w:t xml:space="preserve">: </w:t>
      </w:r>
      <w:r>
        <w:rPr>
          <w:rFonts w:ascii="Arial" w:hAnsi="Arial" w:cs="Arial"/>
          <w:b/>
          <w:sz w:val="20"/>
          <w:szCs w:val="20"/>
        </w:rPr>
        <w:t>Qui peut prescrire dans le respect de leurs compétences ?</w:t>
      </w:r>
    </w:p>
    <w:p w:rsidR="003A3447" w:rsidRDefault="003A3447" w:rsidP="003A3447">
      <w:pPr>
        <w:spacing w:line="240" w:lineRule="auto"/>
        <w:contextualSpacing/>
        <w:jc w:val="both"/>
        <w:rPr>
          <w:rFonts w:ascii="Arial" w:hAnsi="Arial" w:cs="Arial"/>
          <w:sz w:val="20"/>
          <w:szCs w:val="20"/>
        </w:rPr>
      </w:pPr>
    </w:p>
    <w:p w:rsidR="003A3447" w:rsidRPr="00D907DB" w:rsidRDefault="003A3447" w:rsidP="003A3447">
      <w:pPr>
        <w:spacing w:line="240" w:lineRule="auto"/>
        <w:contextualSpacing/>
        <w:jc w:val="both"/>
        <w:rPr>
          <w:rFonts w:ascii="Arial" w:hAnsi="Arial" w:cs="Arial"/>
          <w:sz w:val="20"/>
          <w:szCs w:val="20"/>
        </w:rPr>
      </w:pPr>
      <w:r w:rsidRPr="00D907DB">
        <w:rPr>
          <w:rFonts w:ascii="Arial" w:hAnsi="Arial" w:cs="Arial"/>
          <w:sz w:val="20"/>
          <w:szCs w:val="20"/>
        </w:rPr>
        <w:t>A)</w:t>
      </w:r>
      <w:r>
        <w:rPr>
          <w:rFonts w:ascii="Arial" w:hAnsi="Arial" w:cs="Arial"/>
          <w:sz w:val="20"/>
          <w:szCs w:val="20"/>
        </w:rPr>
        <w:t xml:space="preserve"> Les kinésithérapeutes</w:t>
      </w:r>
    </w:p>
    <w:p w:rsidR="003A3447" w:rsidRDefault="003A3447" w:rsidP="003A3447">
      <w:pPr>
        <w:contextualSpacing/>
        <w:jc w:val="both"/>
        <w:rPr>
          <w:rFonts w:ascii="Arial" w:hAnsi="Arial" w:cs="Arial"/>
          <w:sz w:val="20"/>
          <w:szCs w:val="20"/>
        </w:rPr>
      </w:pPr>
      <w:r>
        <w:rPr>
          <w:rFonts w:ascii="Arial" w:hAnsi="Arial" w:cs="Arial"/>
          <w:sz w:val="20"/>
          <w:szCs w:val="20"/>
        </w:rPr>
        <w:t>B) Les sages-femmes</w:t>
      </w:r>
    </w:p>
    <w:p w:rsidR="003A3447" w:rsidRDefault="003A3447" w:rsidP="003A3447">
      <w:pPr>
        <w:contextualSpacing/>
        <w:jc w:val="both"/>
        <w:rPr>
          <w:rFonts w:ascii="Arial" w:hAnsi="Arial" w:cs="Arial"/>
          <w:sz w:val="20"/>
          <w:szCs w:val="20"/>
        </w:rPr>
      </w:pPr>
      <w:r>
        <w:rPr>
          <w:rFonts w:ascii="Arial" w:hAnsi="Arial" w:cs="Arial"/>
          <w:sz w:val="20"/>
          <w:szCs w:val="20"/>
        </w:rPr>
        <w:t>C</w:t>
      </w:r>
      <w:r w:rsidRPr="00D907DB">
        <w:rPr>
          <w:rFonts w:ascii="Arial" w:hAnsi="Arial" w:cs="Arial"/>
          <w:sz w:val="20"/>
          <w:szCs w:val="20"/>
        </w:rPr>
        <w:t xml:space="preserve">) </w:t>
      </w:r>
      <w:r>
        <w:rPr>
          <w:rFonts w:ascii="Arial" w:hAnsi="Arial" w:cs="Arial"/>
          <w:sz w:val="20"/>
          <w:szCs w:val="20"/>
        </w:rPr>
        <w:t>Les infirmières</w:t>
      </w:r>
    </w:p>
    <w:p w:rsidR="003A3447" w:rsidRDefault="003A3447" w:rsidP="003A3447">
      <w:pPr>
        <w:contextualSpacing/>
        <w:jc w:val="both"/>
        <w:rPr>
          <w:rFonts w:ascii="Arial" w:hAnsi="Arial" w:cs="Arial"/>
          <w:sz w:val="20"/>
          <w:szCs w:val="20"/>
        </w:rPr>
      </w:pPr>
      <w:r>
        <w:rPr>
          <w:rFonts w:ascii="Arial" w:hAnsi="Arial" w:cs="Arial"/>
          <w:sz w:val="20"/>
          <w:szCs w:val="20"/>
        </w:rPr>
        <w:t>D) Les chirurgiens-dentistes</w:t>
      </w:r>
    </w:p>
    <w:p w:rsidR="003A3447" w:rsidRDefault="003A3447" w:rsidP="003A3447">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900F2D" w:rsidRDefault="00900F2D" w:rsidP="003A3447">
      <w:pPr>
        <w:spacing w:after="0" w:line="240" w:lineRule="auto"/>
        <w:jc w:val="both"/>
        <w:rPr>
          <w:u w:val="single"/>
        </w:rPr>
      </w:pPr>
    </w:p>
    <w:p w:rsidR="003A3447" w:rsidRPr="00113BB4" w:rsidRDefault="003A3447" w:rsidP="003A3447">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sidR="00900F2D">
        <w:rPr>
          <w:rFonts w:ascii="Arial" w:eastAsia="Times New Roman" w:hAnsi="Arial" w:cs="Arial"/>
          <w:b/>
          <w:sz w:val="20"/>
          <w:szCs w:val="20"/>
          <w:u w:val="single"/>
        </w:rPr>
        <w:t xml:space="preserve"> 2</w:t>
      </w:r>
      <w:r w:rsidRPr="00113BB4">
        <w:rPr>
          <w:rFonts w:ascii="Arial" w:eastAsia="Times New Roman" w:hAnsi="Arial" w:cs="Arial"/>
          <w:b/>
          <w:sz w:val="20"/>
          <w:szCs w:val="20"/>
        </w:rPr>
        <w:t> :</w:t>
      </w:r>
      <w:r>
        <w:rPr>
          <w:rFonts w:ascii="Arial" w:eastAsia="Times New Roman" w:hAnsi="Arial" w:cs="Arial"/>
          <w:b/>
          <w:sz w:val="20"/>
          <w:szCs w:val="20"/>
        </w:rPr>
        <w:t xml:space="preserve"> A propos des prescriptions de génériques </w:t>
      </w:r>
    </w:p>
    <w:p w:rsidR="003A3447" w:rsidRPr="00113BB4" w:rsidRDefault="003A3447" w:rsidP="003A3447">
      <w:pPr>
        <w:spacing w:after="0" w:line="240" w:lineRule="auto"/>
        <w:jc w:val="both"/>
        <w:rPr>
          <w:rFonts w:ascii="Arial" w:eastAsia="Times New Roman" w:hAnsi="Arial" w:cs="Arial"/>
          <w:sz w:val="20"/>
          <w:szCs w:val="20"/>
        </w:rPr>
      </w:pPr>
    </w:p>
    <w:p w:rsidR="003A3447" w:rsidRDefault="003A3447" w:rsidP="003A3447">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Le pharmacien ne pourra substituer un médicament par son générique qu’en présence la mention « substituable »</w:t>
      </w:r>
    </w:p>
    <w:p w:rsidR="003A3447" w:rsidRPr="00113BB4" w:rsidRDefault="003A3447" w:rsidP="003A3447">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Le patient ne peut s’opposer à cette substitution</w:t>
      </w:r>
    </w:p>
    <w:p w:rsidR="003A3447" w:rsidRDefault="003A3447" w:rsidP="003A3447">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Le pharmacien devra mentionner sur l’ordonnance en cas de substitution : « remplacé par »</w:t>
      </w:r>
    </w:p>
    <w:p w:rsidR="003A3447" w:rsidRPr="00113BB4" w:rsidRDefault="003A3447" w:rsidP="003A3447">
      <w:pPr>
        <w:spacing w:after="0" w:line="240" w:lineRule="auto"/>
        <w:jc w:val="both"/>
        <w:rPr>
          <w:rFonts w:ascii="Arial" w:eastAsia="Times New Roman" w:hAnsi="Arial" w:cs="Arial"/>
          <w:sz w:val="20"/>
          <w:szCs w:val="20"/>
        </w:rPr>
      </w:pPr>
      <w:r>
        <w:rPr>
          <w:rFonts w:ascii="Arial" w:eastAsia="Times New Roman" w:hAnsi="Arial" w:cs="Arial"/>
          <w:sz w:val="20"/>
          <w:szCs w:val="20"/>
        </w:rPr>
        <w:t>D) Les génériques de certains médicaments (antiépileptiques, anticoagulants) pourraient avoir des effets délétères</w:t>
      </w:r>
    </w:p>
    <w:p w:rsidR="003A3447" w:rsidRPr="00113BB4" w:rsidRDefault="003A3447" w:rsidP="003A3447">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3A3447" w:rsidRDefault="003A3447" w:rsidP="003A3447">
      <w:pPr>
        <w:spacing w:after="0" w:line="240" w:lineRule="auto"/>
        <w:jc w:val="both"/>
        <w:rPr>
          <w:rFonts w:ascii="Arial" w:eastAsia="Times New Roman" w:hAnsi="Arial" w:cs="Arial"/>
          <w:sz w:val="20"/>
          <w:szCs w:val="20"/>
        </w:rPr>
      </w:pPr>
    </w:p>
    <w:p w:rsidR="00900F2D" w:rsidRPr="00113BB4" w:rsidRDefault="00900F2D" w:rsidP="00900F2D">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3</w:t>
      </w:r>
      <w:r w:rsidRPr="00113BB4">
        <w:rPr>
          <w:rFonts w:ascii="Arial" w:eastAsia="Times New Roman" w:hAnsi="Arial" w:cs="Arial"/>
          <w:b/>
          <w:sz w:val="20"/>
          <w:szCs w:val="20"/>
        </w:rPr>
        <w:t> :</w:t>
      </w:r>
      <w:r>
        <w:rPr>
          <w:rFonts w:ascii="Arial" w:eastAsia="Times New Roman" w:hAnsi="Arial" w:cs="Arial"/>
          <w:b/>
          <w:sz w:val="20"/>
          <w:szCs w:val="20"/>
        </w:rPr>
        <w:t xml:space="preserve"> Dans quels cas la prescription sans examen clinique est-elle autorisée ?</w:t>
      </w:r>
    </w:p>
    <w:p w:rsidR="00900F2D" w:rsidRPr="00113BB4" w:rsidRDefault="00900F2D" w:rsidP="00900F2D">
      <w:pPr>
        <w:tabs>
          <w:tab w:val="left" w:pos="5760"/>
        </w:tabs>
        <w:spacing w:after="0" w:line="240" w:lineRule="auto"/>
        <w:jc w:val="both"/>
        <w:rPr>
          <w:rFonts w:ascii="Arial" w:eastAsia="Times New Roman" w:hAnsi="Arial" w:cs="Arial"/>
          <w:sz w:val="20"/>
          <w:szCs w:val="20"/>
        </w:rPr>
      </w:pPr>
      <w:r>
        <w:rPr>
          <w:rFonts w:ascii="Arial" w:eastAsia="Times New Roman" w:hAnsi="Arial" w:cs="Arial"/>
          <w:sz w:val="20"/>
          <w:szCs w:val="20"/>
        </w:rPr>
        <w:tab/>
      </w:r>
    </w:p>
    <w:p w:rsidR="00900F2D" w:rsidRDefault="00900F2D" w:rsidP="00900F2D">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Pour les médecins du SAMU</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Pour une consultation chez le médecin traitant d’un patient très bien connu</w:t>
      </w:r>
    </w:p>
    <w:p w:rsidR="00900F2D"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Pour une simple adaptation de posologie</w:t>
      </w:r>
    </w:p>
    <w:p w:rsidR="00900F2D" w:rsidRPr="00113BB4" w:rsidRDefault="00900F2D" w:rsidP="00900F2D">
      <w:pPr>
        <w:spacing w:after="0" w:line="240" w:lineRule="auto"/>
        <w:jc w:val="both"/>
        <w:rPr>
          <w:rFonts w:ascii="Arial" w:eastAsia="Times New Roman" w:hAnsi="Arial" w:cs="Arial"/>
          <w:sz w:val="20"/>
          <w:szCs w:val="20"/>
        </w:rPr>
      </w:pPr>
      <w:r>
        <w:rPr>
          <w:rFonts w:ascii="Arial" w:eastAsia="Times New Roman" w:hAnsi="Arial" w:cs="Arial"/>
          <w:sz w:val="20"/>
          <w:szCs w:val="20"/>
        </w:rPr>
        <w:t>D) Pour les patients sans antécédents médicaux notables</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900F2D" w:rsidRDefault="00900F2D" w:rsidP="00900F2D">
      <w:pPr>
        <w:tabs>
          <w:tab w:val="left" w:pos="5475"/>
        </w:tabs>
        <w:spacing w:after="0"/>
        <w:rPr>
          <w:rFonts w:ascii="Arial" w:eastAsia="Times New Roman" w:hAnsi="Arial" w:cs="Arial"/>
          <w:sz w:val="20"/>
          <w:szCs w:val="20"/>
        </w:rPr>
      </w:pPr>
    </w:p>
    <w:p w:rsidR="00900F2D" w:rsidRPr="00113BB4" w:rsidRDefault="00900F2D" w:rsidP="00900F2D">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4</w:t>
      </w:r>
      <w:r w:rsidRPr="00113BB4">
        <w:rPr>
          <w:rFonts w:ascii="Arial" w:eastAsia="Times New Roman" w:hAnsi="Arial" w:cs="Arial"/>
          <w:b/>
          <w:sz w:val="20"/>
          <w:szCs w:val="20"/>
        </w:rPr>
        <w:t> :</w:t>
      </w:r>
      <w:r>
        <w:rPr>
          <w:rFonts w:ascii="Arial" w:eastAsia="Times New Roman" w:hAnsi="Arial" w:cs="Arial"/>
          <w:b/>
          <w:sz w:val="20"/>
          <w:szCs w:val="20"/>
        </w:rPr>
        <w:t xml:space="preserve"> Quelles sont les particularités de la prescription de stupéfiants ?</w:t>
      </w:r>
    </w:p>
    <w:p w:rsidR="00900F2D" w:rsidRPr="00113BB4" w:rsidRDefault="00900F2D" w:rsidP="00900F2D">
      <w:pPr>
        <w:spacing w:after="0" w:line="240" w:lineRule="auto"/>
        <w:jc w:val="both"/>
        <w:rPr>
          <w:rFonts w:ascii="Arial" w:eastAsia="Times New Roman" w:hAnsi="Arial" w:cs="Arial"/>
          <w:sz w:val="20"/>
          <w:szCs w:val="20"/>
        </w:rPr>
      </w:pPr>
    </w:p>
    <w:p w:rsidR="00900F2D" w:rsidRDefault="00900F2D" w:rsidP="00900F2D">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Il peut exister des périodes de prescription et de délivrance plus courtes par rapport aux autres médicaments</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La rédaction de l’ordonnance devra indiquer dans un cadre en bas à droite le nombre de comprimés</w:t>
      </w:r>
    </w:p>
    <w:p w:rsidR="00900F2D"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Les ordonnances délivrant des stupéfiants ne peuvent admettre de chevauchement, sauf précision</w:t>
      </w:r>
    </w:p>
    <w:p w:rsidR="00900F2D" w:rsidRPr="00113BB4" w:rsidRDefault="00900F2D" w:rsidP="00900F2D">
      <w:pPr>
        <w:spacing w:after="0" w:line="240" w:lineRule="auto"/>
        <w:jc w:val="both"/>
        <w:rPr>
          <w:rFonts w:ascii="Arial" w:eastAsia="Times New Roman" w:hAnsi="Arial" w:cs="Arial"/>
          <w:sz w:val="20"/>
          <w:szCs w:val="20"/>
        </w:rPr>
      </w:pPr>
      <w:r>
        <w:rPr>
          <w:rFonts w:ascii="Arial" w:eastAsia="Times New Roman" w:hAnsi="Arial" w:cs="Arial"/>
          <w:sz w:val="20"/>
          <w:szCs w:val="20"/>
        </w:rPr>
        <w:t>D) Ces règles de précaution servent à éviter le détournement de ces médicaments à des fins de toxicomanie</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900F2D" w:rsidRDefault="00900F2D" w:rsidP="00900F2D">
      <w:pPr>
        <w:tabs>
          <w:tab w:val="left" w:pos="5475"/>
        </w:tabs>
        <w:spacing w:after="0"/>
        <w:rPr>
          <w:rFonts w:ascii="Arial" w:eastAsia="Times New Roman" w:hAnsi="Arial" w:cs="Arial"/>
          <w:sz w:val="20"/>
          <w:szCs w:val="20"/>
        </w:rPr>
      </w:pPr>
    </w:p>
    <w:p w:rsidR="00900F2D" w:rsidRPr="00113BB4" w:rsidRDefault="00900F2D" w:rsidP="00900F2D">
      <w:pPr>
        <w:spacing w:after="0" w:line="240" w:lineRule="auto"/>
        <w:jc w:val="both"/>
        <w:rPr>
          <w:rFonts w:ascii="Arial" w:eastAsia="Times New Roman" w:hAnsi="Arial" w:cs="Arial"/>
          <w:b/>
          <w:sz w:val="20"/>
          <w:szCs w:val="20"/>
        </w:rPr>
      </w:pPr>
      <w:r w:rsidRPr="00B60F98">
        <w:rPr>
          <w:rFonts w:ascii="Arial" w:eastAsia="Times New Roman" w:hAnsi="Arial" w:cs="Arial"/>
          <w:sz w:val="20"/>
          <w:szCs w:val="20"/>
        </w:rPr>
        <w:t xml:space="preserve"> </w:t>
      </w: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5</w:t>
      </w:r>
      <w:r w:rsidRPr="00113BB4">
        <w:rPr>
          <w:rFonts w:ascii="Arial" w:eastAsia="Times New Roman" w:hAnsi="Arial" w:cs="Arial"/>
          <w:b/>
          <w:sz w:val="20"/>
          <w:szCs w:val="20"/>
        </w:rPr>
        <w:t> :</w:t>
      </w:r>
      <w:r>
        <w:rPr>
          <w:rFonts w:ascii="Arial" w:eastAsia="Times New Roman" w:hAnsi="Arial" w:cs="Arial"/>
          <w:b/>
          <w:sz w:val="20"/>
          <w:szCs w:val="20"/>
        </w:rPr>
        <w:t xml:space="preserve"> Un agriculteur de 68 ans, vivant seul semblant souffrir de troubles cognitifs, vient sur conseil de son généraliste pour avoir un traitement préventif des événements thromboemboliques. Le traitement référent est l’antiagrégant plaquettaire Plavix ® (Clopidorgel), mais ce médicament nécessite une surveillance importante, notamment par prise de sang régulière (numération de la formule sanguine).</w:t>
      </w:r>
    </w:p>
    <w:p w:rsidR="00900F2D" w:rsidRPr="00113BB4" w:rsidRDefault="00900F2D" w:rsidP="00900F2D">
      <w:pPr>
        <w:tabs>
          <w:tab w:val="left" w:pos="5760"/>
        </w:tabs>
        <w:spacing w:after="0" w:line="240" w:lineRule="auto"/>
        <w:jc w:val="both"/>
        <w:rPr>
          <w:rFonts w:ascii="Arial" w:eastAsia="Times New Roman" w:hAnsi="Arial" w:cs="Arial"/>
          <w:sz w:val="20"/>
          <w:szCs w:val="20"/>
        </w:rPr>
      </w:pPr>
      <w:r>
        <w:rPr>
          <w:rFonts w:ascii="Arial" w:eastAsia="Times New Roman" w:hAnsi="Arial" w:cs="Arial"/>
          <w:sz w:val="20"/>
          <w:szCs w:val="20"/>
        </w:rPr>
        <w:tab/>
      </w:r>
    </w:p>
    <w:p w:rsidR="00900F2D" w:rsidRDefault="00900F2D" w:rsidP="00900F2D">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Les conditions socio-économiques du patient n’auront pas d’influence sur le traitement que vous lui administrerez</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Avant toute prescription, il faudra être certain que le patient ait compris les enjeux, le mode d’administration et la surveillance du traitement</w:t>
      </w:r>
    </w:p>
    <w:p w:rsidR="00900F2D"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L’administration d’un traitement médicamenteux sera de toute façon indispensable</w:t>
      </w:r>
    </w:p>
    <w:p w:rsidR="00900F2D" w:rsidRPr="00113BB4" w:rsidRDefault="00900F2D" w:rsidP="00900F2D">
      <w:pPr>
        <w:spacing w:after="0" w:line="240" w:lineRule="auto"/>
        <w:jc w:val="both"/>
        <w:rPr>
          <w:rFonts w:ascii="Arial" w:eastAsia="Times New Roman" w:hAnsi="Arial" w:cs="Arial"/>
          <w:sz w:val="20"/>
          <w:szCs w:val="20"/>
        </w:rPr>
      </w:pPr>
      <w:r>
        <w:rPr>
          <w:rFonts w:ascii="Arial" w:eastAsia="Times New Roman" w:hAnsi="Arial" w:cs="Arial"/>
          <w:sz w:val="20"/>
          <w:szCs w:val="20"/>
        </w:rPr>
        <w:t>D) Comme le Plavix est le médicament référent de cette indication, il sera forcément le plus adapté à votre patient</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900F2D" w:rsidRDefault="00900F2D" w:rsidP="00900F2D">
      <w:pPr>
        <w:tabs>
          <w:tab w:val="left" w:pos="5475"/>
        </w:tabs>
        <w:spacing w:after="0"/>
        <w:rPr>
          <w:rFonts w:ascii="Arial" w:eastAsia="Times New Roman" w:hAnsi="Arial" w:cs="Arial"/>
          <w:sz w:val="20"/>
          <w:szCs w:val="20"/>
        </w:rPr>
      </w:pPr>
    </w:p>
    <w:p w:rsidR="00900F2D" w:rsidRPr="00113BB4" w:rsidRDefault="00900F2D" w:rsidP="00900F2D">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6</w:t>
      </w:r>
      <w:r w:rsidRPr="00113BB4">
        <w:rPr>
          <w:rFonts w:ascii="Arial" w:eastAsia="Times New Roman" w:hAnsi="Arial" w:cs="Arial"/>
          <w:b/>
          <w:sz w:val="20"/>
          <w:szCs w:val="20"/>
        </w:rPr>
        <w:t> :</w:t>
      </w:r>
      <w:r>
        <w:rPr>
          <w:rFonts w:ascii="Arial" w:eastAsia="Times New Roman" w:hAnsi="Arial" w:cs="Arial"/>
          <w:b/>
          <w:sz w:val="20"/>
          <w:szCs w:val="20"/>
        </w:rPr>
        <w:t xml:space="preserve"> Le bévacizumab (Avastin ®) est un antinéoplasique utilisé dans certains cancers gastriques, mais il peut également être utilisé hors AMM dans la dégénérescence maculaire liée à l’âge (DMLA) pour des raisons économiques. C’est un médicament de liste I, à usage hospitalier et à prescription réservée aux spécialistes, disposant pour son indication dans le cancer colorectal d’une SMR importante et d’une ASMR de niveau II.</w:t>
      </w:r>
    </w:p>
    <w:p w:rsidR="00900F2D" w:rsidRPr="00113BB4" w:rsidRDefault="00900F2D" w:rsidP="00900F2D">
      <w:pPr>
        <w:tabs>
          <w:tab w:val="left" w:pos="5760"/>
        </w:tabs>
        <w:spacing w:after="0" w:line="240" w:lineRule="auto"/>
        <w:jc w:val="both"/>
        <w:rPr>
          <w:rFonts w:ascii="Arial" w:eastAsia="Times New Roman" w:hAnsi="Arial" w:cs="Arial"/>
          <w:sz w:val="20"/>
          <w:szCs w:val="20"/>
        </w:rPr>
      </w:pPr>
      <w:r>
        <w:rPr>
          <w:rFonts w:ascii="Arial" w:eastAsia="Times New Roman" w:hAnsi="Arial" w:cs="Arial"/>
          <w:sz w:val="20"/>
          <w:szCs w:val="20"/>
        </w:rPr>
        <w:tab/>
      </w:r>
    </w:p>
    <w:p w:rsidR="00900F2D" w:rsidRDefault="00900F2D" w:rsidP="00900F2D">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Dans son utilisation dans la DMLA, ce médicament disposera d’un remboursement à 100% au vu de son SMR.</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Comme cette utilisation hors AMM est connue, le médecin aura seulement besoin de noter dans le dossier médical du patient pour pouvoir prescrire l’Avastin ® dans le cadre d’une DMLA.</w:t>
      </w:r>
    </w:p>
    <w:p w:rsidR="00900F2D"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Ce médicament pourra être prescrit en cabinet chez un praticien libéral</w:t>
      </w:r>
    </w:p>
    <w:p w:rsidR="00900F2D" w:rsidRPr="00113BB4" w:rsidRDefault="00900F2D" w:rsidP="00900F2D">
      <w:pPr>
        <w:spacing w:after="0" w:line="240" w:lineRule="auto"/>
        <w:jc w:val="both"/>
        <w:rPr>
          <w:rFonts w:ascii="Arial" w:eastAsia="Times New Roman" w:hAnsi="Arial" w:cs="Arial"/>
          <w:sz w:val="20"/>
          <w:szCs w:val="20"/>
        </w:rPr>
      </w:pPr>
      <w:r>
        <w:rPr>
          <w:rFonts w:ascii="Arial" w:eastAsia="Times New Roman" w:hAnsi="Arial" w:cs="Arial"/>
          <w:sz w:val="20"/>
          <w:szCs w:val="20"/>
        </w:rPr>
        <w:t>D) Ce médicament étant utilisé pour son action antinéoplasique dans le cadre de chimiothérapie, et donc non directement au contact avec le patient, ne nécessite pas de lui fournir des informations sur ce traitement</w:t>
      </w:r>
    </w:p>
    <w:p w:rsidR="00900F2D" w:rsidRPr="00113BB4" w:rsidRDefault="00900F2D" w:rsidP="00900F2D">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2303AA" w:rsidRDefault="002303AA" w:rsidP="008A0A93">
      <w:pPr>
        <w:spacing w:line="240" w:lineRule="auto"/>
        <w:contextualSpacing/>
        <w:jc w:val="both"/>
        <w:rPr>
          <w:rFonts w:ascii="Arial" w:eastAsia="Times New Roman" w:hAnsi="Arial" w:cs="Arial"/>
          <w:sz w:val="20"/>
          <w:szCs w:val="20"/>
        </w:rPr>
      </w:pPr>
    </w:p>
    <w:p w:rsidR="008A0A93" w:rsidRDefault="00A05243" w:rsidP="008A0A93">
      <w:pPr>
        <w:spacing w:line="240" w:lineRule="auto"/>
        <w:contextualSpacing/>
        <w:jc w:val="both"/>
        <w:rPr>
          <w:rFonts w:ascii="Arial" w:hAnsi="Arial" w:cs="Arial"/>
          <w:b/>
          <w:sz w:val="20"/>
          <w:szCs w:val="20"/>
        </w:rPr>
      </w:pPr>
      <w:r>
        <w:rPr>
          <w:rFonts w:ascii="Arial" w:hAnsi="Arial" w:cs="Arial"/>
          <w:b/>
          <w:sz w:val="20"/>
          <w:szCs w:val="20"/>
          <w:u w:val="single"/>
        </w:rPr>
        <w:t>QCM 7</w:t>
      </w:r>
      <w:r w:rsidR="008A0A93" w:rsidRPr="001751A7">
        <w:rPr>
          <w:rFonts w:ascii="Arial" w:hAnsi="Arial" w:cs="Arial"/>
          <w:b/>
          <w:sz w:val="20"/>
          <w:szCs w:val="20"/>
          <w:u w:val="single"/>
        </w:rPr>
        <w:t> </w:t>
      </w:r>
      <w:r w:rsidR="008A0A93" w:rsidRPr="001751A7">
        <w:rPr>
          <w:rFonts w:ascii="Arial" w:hAnsi="Arial" w:cs="Arial"/>
          <w:b/>
          <w:sz w:val="20"/>
          <w:szCs w:val="20"/>
        </w:rPr>
        <w:t xml:space="preserve">: </w:t>
      </w:r>
      <w:r w:rsidR="008A0A93">
        <w:rPr>
          <w:rFonts w:ascii="Arial" w:hAnsi="Arial" w:cs="Arial"/>
          <w:b/>
          <w:sz w:val="20"/>
          <w:szCs w:val="20"/>
        </w:rPr>
        <w:t xml:space="preserve">Les récepteurs enzymes : </w:t>
      </w:r>
    </w:p>
    <w:p w:rsidR="008A0A93" w:rsidRDefault="008A0A93" w:rsidP="008A0A93">
      <w:pPr>
        <w:spacing w:line="240" w:lineRule="auto"/>
        <w:contextualSpacing/>
        <w:jc w:val="both"/>
        <w:rPr>
          <w:rFonts w:ascii="Arial" w:hAnsi="Arial" w:cs="Arial"/>
          <w:sz w:val="20"/>
          <w:szCs w:val="20"/>
        </w:rPr>
      </w:pP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t>A) Ils sont tous monomériques à une traversée transmembranaires</w:t>
      </w: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t>B) L’activation du récepteur Tyrosine kinase entraine la dimérisation</w:t>
      </w: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t>C) Les récepteurs à activité Guanyl-cyclase diminue l’élimination du Na dans les urines</w:t>
      </w: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t>D) Ce sont des récepteurs métabotropiques</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 correcte.</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p>
    <w:p w:rsidR="008A0A93" w:rsidRPr="00BB6FFF" w:rsidRDefault="008A0A93" w:rsidP="008A0A93">
      <w:pPr>
        <w:spacing w:line="240" w:lineRule="auto"/>
        <w:contextualSpacing/>
        <w:jc w:val="both"/>
        <w:rPr>
          <w:rFonts w:ascii="Arial" w:hAnsi="Arial" w:cs="Arial"/>
          <w:sz w:val="20"/>
          <w:szCs w:val="20"/>
        </w:rPr>
      </w:pPr>
      <w:r w:rsidRPr="0085071E">
        <w:rPr>
          <w:rFonts w:ascii="Arial" w:hAnsi="Arial" w:cs="Arial"/>
          <w:b/>
          <w:sz w:val="20"/>
          <w:szCs w:val="20"/>
          <w:u w:val="single"/>
        </w:rPr>
        <w:t xml:space="preserve">QCM </w:t>
      </w:r>
      <w:r w:rsidR="00A05243">
        <w:rPr>
          <w:rFonts w:ascii="Arial" w:hAnsi="Arial" w:cs="Arial"/>
          <w:b/>
          <w:sz w:val="20"/>
          <w:szCs w:val="20"/>
          <w:u w:val="single"/>
        </w:rPr>
        <w:t>8</w:t>
      </w:r>
      <w:r w:rsidRPr="0085071E">
        <w:rPr>
          <w:rFonts w:ascii="Arial" w:hAnsi="Arial" w:cs="Arial"/>
          <w:b/>
          <w:sz w:val="20"/>
          <w:szCs w:val="20"/>
        </w:rPr>
        <w:t xml:space="preserve"> : </w:t>
      </w:r>
      <w:r>
        <w:rPr>
          <w:rFonts w:ascii="Arial" w:hAnsi="Arial" w:cs="Arial"/>
          <w:b/>
          <w:sz w:val="20"/>
          <w:szCs w:val="20"/>
        </w:rPr>
        <w:t>Les récepteurs canaux,</w:t>
      </w: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br/>
        <w:t>A) Le récepteur nicotinique à l’acetyl choline est excitateur</w:t>
      </w:r>
    </w:p>
    <w:p w:rsidR="008A0A93" w:rsidRPr="00AC4C7F" w:rsidRDefault="008A0A93" w:rsidP="008A0A93">
      <w:pPr>
        <w:spacing w:line="240" w:lineRule="auto"/>
        <w:contextualSpacing/>
        <w:jc w:val="both"/>
        <w:rPr>
          <w:rFonts w:ascii="Arial" w:hAnsi="Arial" w:cs="Arial"/>
          <w:sz w:val="20"/>
          <w:szCs w:val="20"/>
        </w:rPr>
      </w:pPr>
      <w:r>
        <w:rPr>
          <w:rFonts w:ascii="Arial" w:hAnsi="Arial" w:cs="Arial"/>
          <w:sz w:val="20"/>
          <w:szCs w:val="20"/>
        </w:rPr>
        <w:t>B) La fixation du glutamate sur son récepteur entraine la sortie de Na</w:t>
      </w:r>
      <w:r>
        <w:rPr>
          <w:rFonts w:ascii="Arial" w:hAnsi="Arial" w:cs="Arial"/>
          <w:sz w:val="20"/>
          <w:szCs w:val="20"/>
          <w:vertAlign w:val="superscript"/>
        </w:rPr>
        <w:t xml:space="preserve">+ </w:t>
      </w:r>
      <w:r>
        <w:rPr>
          <w:rFonts w:ascii="Arial" w:hAnsi="Arial" w:cs="Arial"/>
          <w:sz w:val="20"/>
          <w:szCs w:val="20"/>
        </w:rPr>
        <w:t>et l’entrée de K</w:t>
      </w:r>
      <w:r>
        <w:rPr>
          <w:rFonts w:ascii="Arial" w:hAnsi="Arial" w:cs="Arial"/>
          <w:sz w:val="20"/>
          <w:szCs w:val="20"/>
          <w:vertAlign w:val="superscript"/>
        </w:rPr>
        <w:t xml:space="preserve">+ </w:t>
      </w:r>
      <w:r>
        <w:rPr>
          <w:rFonts w:ascii="Arial" w:hAnsi="Arial" w:cs="Arial"/>
          <w:sz w:val="20"/>
          <w:szCs w:val="20"/>
        </w:rPr>
        <w:t>de la cellule</w:t>
      </w:r>
    </w:p>
    <w:p w:rsidR="008A0A93" w:rsidRPr="006176D5" w:rsidRDefault="008A0A93" w:rsidP="008A0A93">
      <w:pPr>
        <w:spacing w:line="240" w:lineRule="auto"/>
        <w:contextualSpacing/>
        <w:jc w:val="both"/>
        <w:rPr>
          <w:rFonts w:ascii="Arial" w:hAnsi="Arial" w:cs="Arial"/>
          <w:sz w:val="20"/>
          <w:szCs w:val="20"/>
        </w:rPr>
      </w:pPr>
      <w:r>
        <w:rPr>
          <w:rFonts w:ascii="Arial" w:hAnsi="Arial" w:cs="Arial"/>
          <w:sz w:val="20"/>
          <w:szCs w:val="20"/>
        </w:rPr>
        <w:t>C) Le récepteur à la sérotonine laisse rentrer le Na</w:t>
      </w:r>
      <w:r>
        <w:rPr>
          <w:rFonts w:ascii="Arial" w:hAnsi="Arial" w:cs="Arial"/>
          <w:sz w:val="20"/>
          <w:szCs w:val="20"/>
          <w:vertAlign w:val="superscript"/>
        </w:rPr>
        <w:t xml:space="preserve">+ </w:t>
      </w:r>
      <w:r>
        <w:rPr>
          <w:rFonts w:ascii="Arial" w:hAnsi="Arial" w:cs="Arial"/>
          <w:sz w:val="20"/>
          <w:szCs w:val="20"/>
        </w:rPr>
        <w:t xml:space="preserve">dans la cellule ce qui entraine une inhibition </w:t>
      </w:r>
    </w:p>
    <w:p w:rsidR="008A0A93" w:rsidRDefault="008A0A93" w:rsidP="008A0A93">
      <w:pPr>
        <w:spacing w:line="240" w:lineRule="auto"/>
        <w:contextualSpacing/>
        <w:jc w:val="both"/>
        <w:rPr>
          <w:rFonts w:ascii="Arial" w:hAnsi="Arial" w:cs="Arial"/>
          <w:sz w:val="20"/>
          <w:szCs w:val="20"/>
        </w:rPr>
      </w:pPr>
      <w:r>
        <w:rPr>
          <w:rFonts w:ascii="Arial" w:hAnsi="Arial" w:cs="Arial"/>
          <w:sz w:val="20"/>
          <w:szCs w:val="20"/>
        </w:rPr>
        <w:t>D) Le récepteur au GABA est le principal excitateur du SNC</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p>
    <w:p w:rsidR="008A0A93" w:rsidRDefault="008A0A93" w:rsidP="008A0A93">
      <w:pPr>
        <w:widowControl w:val="0"/>
        <w:autoSpaceDE w:val="0"/>
        <w:autoSpaceDN w:val="0"/>
        <w:adjustRightInd w:val="0"/>
        <w:spacing w:after="0" w:line="240" w:lineRule="auto"/>
        <w:ind w:left="720" w:right="-1826" w:hanging="720"/>
        <w:jc w:val="both"/>
        <w:rPr>
          <w:rFonts w:ascii="Arial" w:hAnsi="Arial" w:cs="Arial"/>
          <w:b/>
          <w:bCs/>
          <w:sz w:val="20"/>
          <w:szCs w:val="20"/>
        </w:rPr>
      </w:pPr>
      <w:r>
        <w:rPr>
          <w:rFonts w:ascii="Arial" w:hAnsi="Arial" w:cs="Arial"/>
          <w:b/>
          <w:bCs/>
          <w:sz w:val="20"/>
          <w:szCs w:val="20"/>
          <w:u w:val="single"/>
        </w:rPr>
        <w:t xml:space="preserve">QCM </w:t>
      </w:r>
      <w:r w:rsidR="00A05243">
        <w:rPr>
          <w:rFonts w:ascii="Arial" w:hAnsi="Arial" w:cs="Arial"/>
          <w:b/>
          <w:bCs/>
          <w:sz w:val="20"/>
          <w:szCs w:val="20"/>
          <w:u w:val="single"/>
        </w:rPr>
        <w:t>9</w:t>
      </w:r>
      <w:r>
        <w:rPr>
          <w:rFonts w:ascii="Arial" w:hAnsi="Arial" w:cs="Arial"/>
          <w:b/>
          <w:bCs/>
          <w:sz w:val="20"/>
          <w:szCs w:val="20"/>
        </w:rPr>
        <w:t> : Concernant les récepteurs couplés aux protéines G</w:t>
      </w:r>
    </w:p>
    <w:p w:rsidR="008A0A93" w:rsidRDefault="008A0A93" w:rsidP="008A0A93">
      <w:pPr>
        <w:widowControl w:val="0"/>
        <w:autoSpaceDE w:val="0"/>
        <w:autoSpaceDN w:val="0"/>
        <w:adjustRightInd w:val="0"/>
        <w:spacing w:after="0" w:line="240" w:lineRule="auto"/>
        <w:ind w:left="720" w:right="-1826" w:hanging="720"/>
        <w:jc w:val="both"/>
        <w:rPr>
          <w:rFonts w:ascii="Arial" w:hAnsi="Arial" w:cs="Arial"/>
          <w:sz w:val="20"/>
          <w:szCs w:val="20"/>
        </w:rPr>
      </w:pPr>
      <w:r>
        <w:rPr>
          <w:rFonts w:ascii="Arial" w:hAnsi="Arial" w:cs="Arial"/>
          <w:sz w:val="20"/>
          <w:szCs w:val="20"/>
        </w:rPr>
        <w:t xml:space="preserve"> </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A) Ils sont ciblés par des catécholamines, des purines, des prostaglandines et par certaines hormones</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B) L’effecteur est soit une enzyme, soit un canal ionique (différent des canaux ioniques inclus dans les récepteurs canaux)</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C) L’effecteur active directement les protéines kinases responsables de la réponse cellulaire</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D) Il existe seulement un seul type de protéine G</w:t>
      </w:r>
    </w:p>
    <w:p w:rsidR="008A0A93" w:rsidRDefault="008A0A93" w:rsidP="008A0A93">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A05243" w:rsidRDefault="00A05243" w:rsidP="00A05243">
      <w:pPr>
        <w:tabs>
          <w:tab w:val="left" w:pos="5475"/>
        </w:tabs>
        <w:spacing w:after="0"/>
        <w:rPr>
          <w:rFonts w:ascii="Arial" w:eastAsia="Times New Roman" w:hAnsi="Arial" w:cs="Arial"/>
          <w:sz w:val="20"/>
          <w:szCs w:val="20"/>
        </w:rPr>
      </w:pPr>
    </w:p>
    <w:p w:rsidR="00A05243" w:rsidRPr="00113BB4" w:rsidRDefault="00A05243" w:rsidP="00A05243">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10</w:t>
      </w:r>
      <w:r w:rsidRPr="00113BB4">
        <w:rPr>
          <w:rFonts w:ascii="Arial" w:eastAsia="Times New Roman" w:hAnsi="Arial" w:cs="Arial"/>
          <w:b/>
          <w:sz w:val="20"/>
          <w:szCs w:val="20"/>
        </w:rPr>
        <w:t> :</w:t>
      </w:r>
      <w:r>
        <w:rPr>
          <w:rFonts w:ascii="Arial" w:eastAsia="Times New Roman" w:hAnsi="Arial" w:cs="Arial"/>
          <w:b/>
          <w:sz w:val="20"/>
          <w:szCs w:val="20"/>
        </w:rPr>
        <w:t xml:space="preserve"> A propos des cibles d’action des médicaments</w:t>
      </w:r>
    </w:p>
    <w:p w:rsidR="00A05243" w:rsidRPr="00113BB4" w:rsidRDefault="00A05243" w:rsidP="00A05243">
      <w:pPr>
        <w:tabs>
          <w:tab w:val="left" w:pos="5760"/>
        </w:tabs>
        <w:spacing w:after="0" w:line="240" w:lineRule="auto"/>
        <w:jc w:val="both"/>
        <w:rPr>
          <w:rFonts w:ascii="Arial" w:eastAsia="Times New Roman" w:hAnsi="Arial" w:cs="Arial"/>
          <w:sz w:val="20"/>
          <w:szCs w:val="20"/>
        </w:rPr>
      </w:pPr>
      <w:r>
        <w:rPr>
          <w:rFonts w:ascii="Arial" w:eastAsia="Times New Roman" w:hAnsi="Arial" w:cs="Arial"/>
          <w:sz w:val="20"/>
          <w:szCs w:val="20"/>
        </w:rPr>
        <w:tab/>
      </w:r>
    </w:p>
    <w:p w:rsidR="00A05243" w:rsidRDefault="00A05243" w:rsidP="00A05243">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Les récepteurs canaux entraînent toujours comme réponse une dépolarisation de la cellule</w:t>
      </w:r>
    </w:p>
    <w:p w:rsidR="00A05243" w:rsidRPr="00113BB4"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Les récepteurs enzymes à activité guanyl-cyclase entraînent une transformation de l’ATP en AMP cyclique à l’origine de la réponse pharmacologique</w:t>
      </w:r>
    </w:p>
    <w:p w:rsidR="00A05243"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Les récepteurs membranaires sont les plus représentés</w:t>
      </w:r>
    </w:p>
    <w:p w:rsidR="00A05243" w:rsidRPr="00113BB4" w:rsidRDefault="00A05243" w:rsidP="00A05243">
      <w:pPr>
        <w:spacing w:after="0" w:line="240" w:lineRule="auto"/>
        <w:jc w:val="both"/>
        <w:rPr>
          <w:rFonts w:ascii="Arial" w:eastAsia="Times New Roman" w:hAnsi="Arial" w:cs="Arial"/>
          <w:sz w:val="20"/>
          <w:szCs w:val="20"/>
        </w:rPr>
      </w:pPr>
      <w:r>
        <w:rPr>
          <w:rFonts w:ascii="Arial" w:eastAsia="Times New Roman" w:hAnsi="Arial" w:cs="Arial"/>
          <w:sz w:val="20"/>
          <w:szCs w:val="20"/>
        </w:rPr>
        <w:t>D) Les récepteurs transmembranaires sont tous polymériques</w:t>
      </w:r>
    </w:p>
    <w:p w:rsidR="00A05243" w:rsidRPr="00113BB4"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A05243" w:rsidRDefault="00A05243" w:rsidP="00A05243">
      <w:pPr>
        <w:spacing w:after="0" w:line="240" w:lineRule="auto"/>
        <w:jc w:val="both"/>
        <w:rPr>
          <w:u w:val="single"/>
        </w:rPr>
      </w:pPr>
    </w:p>
    <w:p w:rsidR="00A05243" w:rsidRPr="00113BB4" w:rsidRDefault="00A05243" w:rsidP="00A05243">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11</w:t>
      </w:r>
      <w:r w:rsidRPr="00113BB4">
        <w:rPr>
          <w:rFonts w:ascii="Arial" w:eastAsia="Times New Roman" w:hAnsi="Arial" w:cs="Arial"/>
          <w:b/>
          <w:sz w:val="20"/>
          <w:szCs w:val="20"/>
        </w:rPr>
        <w:t> :</w:t>
      </w:r>
      <w:r>
        <w:rPr>
          <w:rFonts w:ascii="Arial" w:eastAsia="Times New Roman" w:hAnsi="Arial" w:cs="Arial"/>
          <w:b/>
          <w:sz w:val="20"/>
          <w:szCs w:val="20"/>
        </w:rPr>
        <w:t xml:space="preserve"> Parmi les classes médicamenteuses suivantes, lesquelles agissent sur les canaux ioniques ? </w:t>
      </w:r>
    </w:p>
    <w:p w:rsidR="00A05243" w:rsidRPr="00113BB4" w:rsidRDefault="00A05243" w:rsidP="00A05243">
      <w:pPr>
        <w:tabs>
          <w:tab w:val="left" w:pos="5760"/>
        </w:tabs>
        <w:spacing w:after="0" w:line="240" w:lineRule="auto"/>
        <w:jc w:val="both"/>
        <w:rPr>
          <w:rFonts w:ascii="Arial" w:eastAsia="Times New Roman" w:hAnsi="Arial" w:cs="Arial"/>
          <w:sz w:val="20"/>
          <w:szCs w:val="20"/>
        </w:rPr>
      </w:pPr>
      <w:r>
        <w:rPr>
          <w:rFonts w:ascii="Arial" w:eastAsia="Times New Roman" w:hAnsi="Arial" w:cs="Arial"/>
          <w:sz w:val="20"/>
          <w:szCs w:val="20"/>
        </w:rPr>
        <w:tab/>
      </w:r>
    </w:p>
    <w:p w:rsidR="00A05243" w:rsidRDefault="00A05243" w:rsidP="00A05243">
      <w:pPr>
        <w:tabs>
          <w:tab w:val="right" w:pos="9072"/>
        </w:tabs>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A) </w:t>
      </w:r>
      <w:r>
        <w:rPr>
          <w:rFonts w:ascii="Arial" w:eastAsia="Times New Roman" w:hAnsi="Arial" w:cs="Arial"/>
          <w:sz w:val="20"/>
          <w:szCs w:val="20"/>
        </w:rPr>
        <w:t>Les anti-arythmiques</w:t>
      </w:r>
    </w:p>
    <w:p w:rsidR="00A05243" w:rsidRPr="00113BB4"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B) </w:t>
      </w:r>
      <w:r>
        <w:rPr>
          <w:rFonts w:ascii="Arial" w:eastAsia="Times New Roman" w:hAnsi="Arial" w:cs="Arial"/>
          <w:sz w:val="20"/>
          <w:szCs w:val="20"/>
        </w:rPr>
        <w:t>Les diurétiques</w:t>
      </w:r>
    </w:p>
    <w:p w:rsidR="00A05243"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 xml:space="preserve">C) </w:t>
      </w:r>
      <w:r>
        <w:rPr>
          <w:rFonts w:ascii="Arial" w:eastAsia="Times New Roman" w:hAnsi="Arial" w:cs="Arial"/>
          <w:sz w:val="20"/>
          <w:szCs w:val="20"/>
        </w:rPr>
        <w:t>Les glucocorticoïdes</w:t>
      </w:r>
    </w:p>
    <w:p w:rsidR="00A05243" w:rsidRPr="00113BB4" w:rsidRDefault="00A05243" w:rsidP="00A05243">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Les sulfonylurées hypoglycémiants </w:t>
      </w:r>
    </w:p>
    <w:p w:rsidR="002303AA" w:rsidRDefault="00A05243" w:rsidP="00A05243">
      <w:pPr>
        <w:spacing w:after="0" w:line="240" w:lineRule="auto"/>
        <w:jc w:val="both"/>
        <w:rPr>
          <w:rFonts w:ascii="Arial" w:eastAsia="Times New Roman" w:hAnsi="Arial" w:cs="Arial"/>
          <w:sz w:val="20"/>
          <w:szCs w:val="20"/>
        </w:rPr>
      </w:pPr>
      <w:r w:rsidRPr="00113BB4">
        <w:rPr>
          <w:rFonts w:ascii="Arial" w:eastAsia="Times New Roman" w:hAnsi="Arial" w:cs="Arial"/>
          <w:sz w:val="20"/>
          <w:szCs w:val="20"/>
        </w:rPr>
        <w:t>E) Aucune de ces réponses n’est correcte</w:t>
      </w:r>
    </w:p>
    <w:p w:rsidR="002303AA" w:rsidRDefault="002303AA" w:rsidP="00A05243">
      <w:pPr>
        <w:spacing w:after="0" w:line="240" w:lineRule="auto"/>
        <w:jc w:val="both"/>
        <w:rPr>
          <w:rFonts w:ascii="Arial" w:eastAsia="Times New Roman" w:hAnsi="Arial" w:cs="Arial"/>
          <w:sz w:val="20"/>
          <w:szCs w:val="20"/>
        </w:rPr>
      </w:pPr>
    </w:p>
    <w:p w:rsidR="002303AA" w:rsidRDefault="002303AA" w:rsidP="002303AA">
      <w:pPr>
        <w:widowControl w:val="0"/>
        <w:autoSpaceDE w:val="0"/>
        <w:autoSpaceDN w:val="0"/>
        <w:adjustRightInd w:val="0"/>
        <w:spacing w:after="0" w:line="240" w:lineRule="auto"/>
        <w:ind w:right="-1826"/>
        <w:jc w:val="both"/>
        <w:rPr>
          <w:rFonts w:ascii="Arial" w:hAnsi="Arial" w:cs="Arial"/>
          <w:b/>
          <w:bCs/>
          <w:sz w:val="20"/>
          <w:szCs w:val="20"/>
        </w:rPr>
      </w:pPr>
      <w:r w:rsidRPr="00766D64">
        <w:rPr>
          <w:rFonts w:ascii="Arial" w:hAnsi="Arial" w:cs="Arial"/>
          <w:b/>
          <w:bCs/>
          <w:sz w:val="20"/>
          <w:szCs w:val="20"/>
          <w:u w:val="single"/>
        </w:rPr>
        <w:t>QCM 1</w:t>
      </w:r>
      <w:r>
        <w:rPr>
          <w:rFonts w:ascii="Arial" w:hAnsi="Arial" w:cs="Arial"/>
          <w:b/>
          <w:bCs/>
          <w:sz w:val="20"/>
          <w:szCs w:val="20"/>
          <w:u w:val="single"/>
        </w:rPr>
        <w:t>2</w:t>
      </w:r>
      <w:r>
        <w:rPr>
          <w:rFonts w:ascii="Arial" w:hAnsi="Arial" w:cs="Arial"/>
          <w:b/>
          <w:bCs/>
          <w:sz w:val="20"/>
          <w:szCs w:val="20"/>
        </w:rPr>
        <w:t> : Concernant les modalités de découvertes de molécules actives sur une cible</w:t>
      </w:r>
    </w:p>
    <w:p w:rsidR="002303AA" w:rsidRDefault="002303AA" w:rsidP="002303AA">
      <w:pPr>
        <w:widowControl w:val="0"/>
        <w:autoSpaceDE w:val="0"/>
        <w:autoSpaceDN w:val="0"/>
        <w:adjustRightInd w:val="0"/>
        <w:spacing w:after="0" w:line="240" w:lineRule="auto"/>
        <w:ind w:right="-1826"/>
        <w:jc w:val="both"/>
        <w:rPr>
          <w:rFonts w:ascii="Arial" w:hAnsi="Arial" w:cs="Arial"/>
          <w:b/>
          <w:bCs/>
          <w:sz w:val="20"/>
          <w:szCs w:val="20"/>
        </w:rPr>
      </w:pPr>
    </w:p>
    <w:p w:rsidR="002303AA" w:rsidRDefault="002303AA" w:rsidP="002303AA">
      <w:pPr>
        <w:widowControl w:val="0"/>
        <w:autoSpaceDE w:val="0"/>
        <w:autoSpaceDN w:val="0"/>
        <w:adjustRightInd w:val="0"/>
        <w:spacing w:after="0" w:line="240" w:lineRule="auto"/>
        <w:ind w:right="-1826"/>
        <w:jc w:val="both"/>
        <w:rPr>
          <w:rFonts w:ascii="Arial" w:hAnsi="Arial" w:cs="Arial"/>
          <w:bCs/>
          <w:sz w:val="20"/>
          <w:szCs w:val="20"/>
        </w:rPr>
      </w:pPr>
      <w:r w:rsidRPr="00766D64">
        <w:rPr>
          <w:rFonts w:ascii="Arial" w:hAnsi="Arial" w:cs="Arial"/>
          <w:bCs/>
          <w:sz w:val="20"/>
          <w:szCs w:val="20"/>
        </w:rPr>
        <w:t>A)</w:t>
      </w:r>
      <w:r>
        <w:rPr>
          <w:rFonts w:ascii="Arial" w:hAnsi="Arial" w:cs="Arial"/>
          <w:bCs/>
          <w:sz w:val="20"/>
          <w:szCs w:val="20"/>
        </w:rPr>
        <w:t xml:space="preserve"> L’indication pour l’hyperglycémie des sulfamides hypoglycémiants a été découverte à partir d’effets indésirables de ce médicament pour une autre indication</w:t>
      </w:r>
    </w:p>
    <w:p w:rsidR="002303AA" w:rsidRPr="008F4340" w:rsidRDefault="002303AA" w:rsidP="002303AA">
      <w:pPr>
        <w:widowControl w:val="0"/>
        <w:autoSpaceDE w:val="0"/>
        <w:autoSpaceDN w:val="0"/>
        <w:adjustRightInd w:val="0"/>
        <w:spacing w:after="0" w:line="240" w:lineRule="auto"/>
        <w:ind w:right="-1826"/>
        <w:jc w:val="both"/>
        <w:rPr>
          <w:rFonts w:ascii="Arial" w:hAnsi="Arial" w:cs="Arial"/>
          <w:bCs/>
          <w:sz w:val="20"/>
          <w:szCs w:val="20"/>
        </w:rPr>
      </w:pPr>
      <w:r w:rsidRPr="00766D64">
        <w:rPr>
          <w:rFonts w:ascii="Arial" w:hAnsi="Arial" w:cs="Arial"/>
          <w:sz w:val="20"/>
          <w:szCs w:val="20"/>
        </w:rPr>
        <w:t xml:space="preserve">B) </w:t>
      </w:r>
      <w:r>
        <w:rPr>
          <w:rFonts w:ascii="Arial" w:hAnsi="Arial" w:cs="Arial"/>
          <w:sz w:val="20"/>
          <w:szCs w:val="20"/>
        </w:rPr>
        <w:t>La découverte d’une molécule active à partir de la connaissance d’une cible moléculaire est le plus fréquent</w:t>
      </w:r>
    </w:p>
    <w:p w:rsidR="002303AA" w:rsidRPr="007471E2" w:rsidRDefault="002303AA" w:rsidP="002303AA">
      <w:pPr>
        <w:spacing w:line="240" w:lineRule="auto"/>
        <w:contextualSpacing/>
        <w:jc w:val="both"/>
        <w:rPr>
          <w:rFonts w:ascii="Arial" w:hAnsi="Arial" w:cs="Arial"/>
          <w:sz w:val="20"/>
          <w:szCs w:val="20"/>
        </w:rPr>
      </w:pPr>
      <w:r>
        <w:rPr>
          <w:rFonts w:ascii="Arial" w:hAnsi="Arial" w:cs="Arial"/>
          <w:sz w:val="20"/>
          <w:szCs w:val="20"/>
        </w:rPr>
        <w:t>C) En cancérologie, on va fréquemment rechercher la cible moléculaire via le décryptage du génome de la cellule cancéreuse</w:t>
      </w:r>
    </w:p>
    <w:p w:rsidR="002303AA" w:rsidRDefault="002303AA" w:rsidP="002303AA">
      <w:pPr>
        <w:spacing w:line="240" w:lineRule="auto"/>
        <w:contextualSpacing/>
        <w:jc w:val="both"/>
        <w:rPr>
          <w:rFonts w:ascii="Arial" w:hAnsi="Arial" w:cs="Arial"/>
          <w:sz w:val="20"/>
          <w:szCs w:val="20"/>
        </w:rPr>
      </w:pPr>
      <w:r>
        <w:rPr>
          <w:rFonts w:ascii="Arial" w:hAnsi="Arial" w:cs="Arial"/>
          <w:sz w:val="20"/>
          <w:szCs w:val="20"/>
        </w:rPr>
        <w:t>D) La découverte d’une molécule déjà existante permet d’optimiser les caractéristiques pharmacocinétiques et pharmacothérapeutiques</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2303AA" w:rsidRDefault="002303AA" w:rsidP="00A05243">
      <w:pPr>
        <w:spacing w:after="0" w:line="240" w:lineRule="auto"/>
        <w:jc w:val="both"/>
        <w:rPr>
          <w:rFonts w:ascii="Arial" w:eastAsia="Times New Roman" w:hAnsi="Arial" w:cs="Arial"/>
          <w:sz w:val="20"/>
          <w:szCs w:val="20"/>
        </w:rPr>
      </w:pPr>
    </w:p>
    <w:p w:rsidR="002303AA" w:rsidRPr="00AA088D" w:rsidRDefault="002303AA" w:rsidP="002303AA">
      <w:pPr>
        <w:spacing w:line="240" w:lineRule="auto"/>
        <w:contextualSpacing/>
        <w:jc w:val="both"/>
        <w:rPr>
          <w:rFonts w:ascii="Arial" w:hAnsi="Arial" w:cs="Arial"/>
          <w:b/>
          <w:sz w:val="20"/>
          <w:szCs w:val="20"/>
        </w:rPr>
      </w:pPr>
      <w:r w:rsidRPr="00AA088D">
        <w:rPr>
          <w:rFonts w:ascii="Arial" w:hAnsi="Arial" w:cs="Arial"/>
          <w:b/>
          <w:sz w:val="20"/>
          <w:szCs w:val="20"/>
          <w:u w:val="single"/>
        </w:rPr>
        <w:t xml:space="preserve">QCM </w:t>
      </w:r>
      <w:r>
        <w:rPr>
          <w:rFonts w:ascii="Arial" w:hAnsi="Arial" w:cs="Arial"/>
          <w:b/>
          <w:sz w:val="20"/>
          <w:szCs w:val="20"/>
          <w:u w:val="single"/>
        </w:rPr>
        <w:t>13</w:t>
      </w:r>
      <w:r w:rsidRPr="00AA088D">
        <w:rPr>
          <w:rFonts w:ascii="Arial" w:hAnsi="Arial" w:cs="Arial"/>
          <w:b/>
          <w:sz w:val="20"/>
          <w:szCs w:val="20"/>
        </w:rPr>
        <w:t xml:space="preserve"> : </w:t>
      </w:r>
      <w:r>
        <w:rPr>
          <w:rFonts w:ascii="Arial" w:hAnsi="Arial" w:cs="Arial"/>
          <w:b/>
          <w:sz w:val="20"/>
          <w:szCs w:val="20"/>
        </w:rPr>
        <w:t>À propos de l’ANSM</w:t>
      </w:r>
    </w:p>
    <w:p w:rsidR="002303AA" w:rsidRDefault="002303AA" w:rsidP="002303AA">
      <w:pPr>
        <w:spacing w:line="240" w:lineRule="auto"/>
        <w:contextualSpacing/>
        <w:jc w:val="both"/>
        <w:rPr>
          <w:rFonts w:ascii="Arial" w:hAnsi="Arial" w:cs="Arial"/>
          <w:sz w:val="20"/>
          <w:szCs w:val="20"/>
        </w:rPr>
      </w:pPr>
      <w:r>
        <w:rPr>
          <w:rFonts w:ascii="Arial" w:hAnsi="Arial" w:cs="Arial"/>
          <w:sz w:val="20"/>
          <w:szCs w:val="20"/>
        </w:rPr>
        <w:br/>
        <w:t>A) Elle contrôle la publicité sur les médicaments et produits de santé</w:t>
      </w:r>
    </w:p>
    <w:p w:rsidR="002303AA" w:rsidRDefault="002303AA" w:rsidP="002303AA">
      <w:pPr>
        <w:spacing w:line="240" w:lineRule="auto"/>
        <w:contextualSpacing/>
        <w:jc w:val="both"/>
        <w:rPr>
          <w:rFonts w:ascii="Arial" w:hAnsi="Arial" w:cs="Arial"/>
          <w:sz w:val="20"/>
          <w:szCs w:val="20"/>
        </w:rPr>
      </w:pPr>
      <w:r>
        <w:rPr>
          <w:rFonts w:ascii="Arial" w:hAnsi="Arial" w:cs="Arial"/>
          <w:sz w:val="20"/>
          <w:szCs w:val="20"/>
        </w:rPr>
        <w:t>B) Elle fait évoluer la relation soignants/soignés</w:t>
      </w:r>
    </w:p>
    <w:p w:rsidR="002303AA" w:rsidRPr="0058087B" w:rsidRDefault="002303AA" w:rsidP="002303AA">
      <w:pPr>
        <w:spacing w:line="240" w:lineRule="auto"/>
        <w:contextualSpacing/>
        <w:jc w:val="both"/>
        <w:rPr>
          <w:rFonts w:ascii="Arial" w:hAnsi="Arial" w:cs="Arial"/>
          <w:b/>
          <w:bCs/>
          <w:i/>
          <w:iCs/>
          <w:sz w:val="20"/>
          <w:szCs w:val="20"/>
        </w:rPr>
      </w:pPr>
      <w:r>
        <w:rPr>
          <w:rFonts w:ascii="Arial" w:hAnsi="Arial" w:cs="Arial"/>
          <w:sz w:val="20"/>
          <w:szCs w:val="20"/>
        </w:rPr>
        <w:t xml:space="preserve">C) Elle </w:t>
      </w:r>
      <w:r w:rsidRPr="0058087B">
        <w:rPr>
          <w:rFonts w:ascii="Arial" w:hAnsi="Arial" w:cs="Arial"/>
          <w:sz w:val="20"/>
          <w:szCs w:val="20"/>
        </w:rPr>
        <w:t xml:space="preserve">développe </w:t>
      </w:r>
      <w:r w:rsidRPr="0058087B">
        <w:rPr>
          <w:rFonts w:ascii="Arial" w:hAnsi="Arial" w:cs="Arial"/>
          <w:bCs/>
          <w:iCs/>
          <w:sz w:val="20"/>
          <w:szCs w:val="20"/>
        </w:rPr>
        <w:t>la coordination entre acteurs du système de santé</w:t>
      </w:r>
    </w:p>
    <w:p w:rsidR="002303AA" w:rsidRDefault="002303AA" w:rsidP="002303AA">
      <w:pPr>
        <w:spacing w:line="240" w:lineRule="auto"/>
        <w:contextualSpacing/>
        <w:jc w:val="both"/>
        <w:rPr>
          <w:rFonts w:ascii="Arial" w:hAnsi="Arial" w:cs="Arial"/>
          <w:sz w:val="20"/>
          <w:szCs w:val="20"/>
        </w:rPr>
      </w:pPr>
      <w:r>
        <w:rPr>
          <w:rFonts w:ascii="Arial" w:hAnsi="Arial" w:cs="Arial"/>
          <w:sz w:val="20"/>
          <w:szCs w:val="20"/>
        </w:rPr>
        <w:t>D) Elle a été créée en 1998</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2303AA" w:rsidRPr="00766D64" w:rsidRDefault="002303AA" w:rsidP="002303AA">
      <w:pPr>
        <w:spacing w:line="240" w:lineRule="auto"/>
        <w:contextualSpacing/>
        <w:jc w:val="both"/>
        <w:rPr>
          <w:rFonts w:ascii="Arial" w:hAnsi="Arial" w:cs="Arial"/>
          <w:sz w:val="20"/>
          <w:szCs w:val="20"/>
        </w:rPr>
      </w:pPr>
    </w:p>
    <w:p w:rsidR="002303AA" w:rsidRDefault="002303AA" w:rsidP="002303AA">
      <w:pPr>
        <w:widowControl w:val="0"/>
        <w:autoSpaceDE w:val="0"/>
        <w:autoSpaceDN w:val="0"/>
        <w:adjustRightInd w:val="0"/>
        <w:spacing w:after="0" w:line="240" w:lineRule="auto"/>
        <w:ind w:right="-1826"/>
        <w:jc w:val="both"/>
        <w:rPr>
          <w:rFonts w:ascii="Arial" w:hAnsi="Arial" w:cs="Arial"/>
          <w:b/>
          <w:bCs/>
          <w:sz w:val="20"/>
          <w:szCs w:val="20"/>
        </w:rPr>
      </w:pPr>
      <w:r>
        <w:rPr>
          <w:rFonts w:ascii="Arial" w:hAnsi="Arial" w:cs="Arial"/>
          <w:b/>
          <w:bCs/>
          <w:sz w:val="20"/>
          <w:szCs w:val="20"/>
          <w:u w:val="single"/>
        </w:rPr>
        <w:t>QCM 14</w:t>
      </w:r>
      <w:r>
        <w:rPr>
          <w:rFonts w:ascii="Arial" w:hAnsi="Arial" w:cs="Arial"/>
          <w:b/>
          <w:bCs/>
          <w:sz w:val="20"/>
          <w:szCs w:val="20"/>
        </w:rPr>
        <w:t> : Concernant les procédures de demande d’AMM</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A) Le CHMP (Commitee for Human Medicinal Products) accorde ou non l’AMM lors d’une procédure centralisée</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B) La procédure centralisée est obligatoire pour les médicaments issus de biotechnologie et les médicaments anti-cancéreux</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C) La procédure décentralisée de demande d’AMM est une procédure nationale</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D) Les ATU peuvent résulter d’un procédure nationale ou communautaire</w:t>
      </w:r>
    </w:p>
    <w:p w:rsidR="002A64D1"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2303AA" w:rsidRP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sidRPr="00AA088D">
        <w:rPr>
          <w:rFonts w:ascii="Arial" w:hAnsi="Arial" w:cs="Arial"/>
          <w:b/>
          <w:sz w:val="20"/>
          <w:szCs w:val="20"/>
          <w:u w:val="single"/>
        </w:rPr>
        <w:t xml:space="preserve">QCM </w:t>
      </w:r>
      <w:r>
        <w:rPr>
          <w:rFonts w:ascii="Arial" w:hAnsi="Arial" w:cs="Arial"/>
          <w:b/>
          <w:sz w:val="20"/>
          <w:szCs w:val="20"/>
          <w:u w:val="single"/>
        </w:rPr>
        <w:t>15</w:t>
      </w:r>
      <w:r w:rsidRPr="00AA088D">
        <w:rPr>
          <w:rFonts w:ascii="Arial" w:hAnsi="Arial" w:cs="Arial"/>
          <w:b/>
          <w:sz w:val="20"/>
          <w:szCs w:val="20"/>
        </w:rPr>
        <w:t xml:space="preserve"> : </w:t>
      </w:r>
      <w:r>
        <w:rPr>
          <w:rFonts w:ascii="Arial" w:hAnsi="Arial" w:cs="Arial"/>
          <w:b/>
          <w:bCs/>
          <w:sz w:val="20"/>
          <w:szCs w:val="20"/>
        </w:rPr>
        <w:t>Concernant la signalisation obligatoire des Effets Indésirables (EI) graves et inattendus</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p>
    <w:p w:rsidR="002303AA" w:rsidRPr="003D0A85" w:rsidRDefault="002303AA" w:rsidP="002303AA">
      <w:pPr>
        <w:widowControl w:val="0"/>
        <w:autoSpaceDE w:val="0"/>
        <w:autoSpaceDN w:val="0"/>
        <w:adjustRightInd w:val="0"/>
        <w:spacing w:after="0" w:line="240" w:lineRule="auto"/>
        <w:ind w:right="-1826"/>
        <w:jc w:val="both"/>
        <w:rPr>
          <w:rFonts w:ascii="Arial" w:hAnsi="Arial" w:cs="Arial"/>
          <w:sz w:val="20"/>
          <w:szCs w:val="20"/>
        </w:rPr>
      </w:pPr>
      <w:r w:rsidRPr="003D0A85">
        <w:rPr>
          <w:rFonts w:ascii="Arial" w:hAnsi="Arial" w:cs="Arial"/>
          <w:sz w:val="20"/>
          <w:szCs w:val="20"/>
        </w:rPr>
        <w:t xml:space="preserve">A) </w:t>
      </w:r>
      <w:r>
        <w:rPr>
          <w:rFonts w:ascii="Arial" w:hAnsi="Arial" w:cs="Arial"/>
          <w:sz w:val="20"/>
          <w:szCs w:val="20"/>
        </w:rPr>
        <w:t>Cette obligation date de 1995</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B) L’industrie pharmaceutique doit déclarer les EI graves et inattendus au Centre Régional de Pharmacovigilance</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C) L’industrie pharmaceutique doit faire des rapports périodiques post-AMM à l’ANSM durant toute la vie du médicament</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(jusqu’à son arrêt de commercialisation)</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D) L’ANSM envoie les déclarations des EI graves et inattendus  uniquement à l’EMA</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E) Aucune de ces réponses n’est correcte.</w:t>
      </w:r>
    </w:p>
    <w:p w:rsidR="002303AA" w:rsidRDefault="002303AA" w:rsidP="002303AA">
      <w:pPr>
        <w:widowControl w:val="0"/>
        <w:autoSpaceDE w:val="0"/>
        <w:autoSpaceDN w:val="0"/>
        <w:adjustRightInd w:val="0"/>
        <w:spacing w:after="0" w:line="240" w:lineRule="auto"/>
        <w:ind w:right="-1826"/>
        <w:jc w:val="both"/>
        <w:rPr>
          <w:rFonts w:ascii="Arial" w:hAnsi="Arial" w:cs="Arial"/>
          <w:sz w:val="20"/>
          <w:szCs w:val="20"/>
        </w:rPr>
      </w:pPr>
    </w:p>
    <w:p w:rsidR="002303AA" w:rsidRPr="00615B92" w:rsidRDefault="002303AA" w:rsidP="002303AA">
      <w:pPr>
        <w:spacing w:line="240" w:lineRule="auto"/>
        <w:contextualSpacing/>
        <w:jc w:val="both"/>
        <w:rPr>
          <w:rFonts w:ascii="Arial" w:hAnsi="Arial" w:cs="Arial"/>
          <w:b/>
          <w:sz w:val="20"/>
          <w:szCs w:val="20"/>
        </w:rPr>
      </w:pPr>
      <w:r>
        <w:rPr>
          <w:rFonts w:ascii="Arial" w:hAnsi="Arial" w:cs="Arial"/>
          <w:b/>
          <w:sz w:val="20"/>
          <w:szCs w:val="20"/>
          <w:u w:val="single"/>
        </w:rPr>
        <w:t>QCM 16</w:t>
      </w:r>
      <w:r w:rsidRPr="00615B92">
        <w:rPr>
          <w:rFonts w:ascii="Arial" w:hAnsi="Arial" w:cs="Arial"/>
          <w:b/>
          <w:sz w:val="20"/>
          <w:szCs w:val="20"/>
          <w:u w:val="single"/>
        </w:rPr>
        <w:t xml:space="preserve"> : </w:t>
      </w:r>
      <w:r>
        <w:rPr>
          <w:rFonts w:ascii="Arial" w:hAnsi="Arial" w:cs="Arial"/>
          <w:b/>
          <w:sz w:val="20"/>
          <w:szCs w:val="20"/>
        </w:rPr>
        <w:t>Quels sont les sites spécialisés de l’organisme ?</w:t>
      </w:r>
    </w:p>
    <w:p w:rsidR="002303AA" w:rsidRPr="00615B92" w:rsidRDefault="002303AA" w:rsidP="002303AA">
      <w:pPr>
        <w:spacing w:line="240" w:lineRule="auto"/>
        <w:contextualSpacing/>
        <w:jc w:val="both"/>
        <w:rPr>
          <w:rFonts w:ascii="Arial" w:hAnsi="Arial" w:cs="Arial"/>
          <w:sz w:val="20"/>
          <w:szCs w:val="20"/>
        </w:rPr>
      </w:pPr>
    </w:p>
    <w:p w:rsidR="002303AA" w:rsidRPr="00615B92" w:rsidRDefault="002303AA" w:rsidP="002303AA">
      <w:pPr>
        <w:spacing w:line="240" w:lineRule="auto"/>
        <w:contextualSpacing/>
        <w:jc w:val="both"/>
        <w:rPr>
          <w:rFonts w:ascii="Arial" w:hAnsi="Arial" w:cs="Arial"/>
          <w:sz w:val="20"/>
          <w:szCs w:val="20"/>
        </w:rPr>
      </w:pPr>
      <w:r w:rsidRPr="00615B92">
        <w:rPr>
          <w:rFonts w:ascii="Arial" w:hAnsi="Arial" w:cs="Arial"/>
          <w:sz w:val="20"/>
          <w:szCs w:val="20"/>
        </w:rPr>
        <w:t xml:space="preserve">A) </w:t>
      </w:r>
      <w:r>
        <w:rPr>
          <w:rFonts w:ascii="Arial" w:hAnsi="Arial" w:cs="Arial"/>
          <w:sz w:val="20"/>
          <w:szCs w:val="20"/>
        </w:rPr>
        <w:t>La moelle épinière</w:t>
      </w:r>
    </w:p>
    <w:p w:rsidR="002303AA" w:rsidRPr="00615B92" w:rsidRDefault="002303AA" w:rsidP="002303AA">
      <w:pPr>
        <w:contextualSpacing/>
        <w:jc w:val="both"/>
        <w:rPr>
          <w:rFonts w:ascii="Arial" w:hAnsi="Arial" w:cs="Arial"/>
          <w:sz w:val="20"/>
          <w:szCs w:val="20"/>
        </w:rPr>
      </w:pPr>
      <w:r w:rsidRPr="00615B92">
        <w:rPr>
          <w:rFonts w:ascii="Arial" w:hAnsi="Arial" w:cs="Arial"/>
          <w:sz w:val="20"/>
          <w:szCs w:val="20"/>
        </w:rPr>
        <w:t xml:space="preserve">B) </w:t>
      </w:r>
      <w:r>
        <w:rPr>
          <w:rFonts w:ascii="Arial" w:hAnsi="Arial" w:cs="Arial"/>
          <w:sz w:val="20"/>
          <w:szCs w:val="20"/>
        </w:rPr>
        <w:t>L’intestin</w:t>
      </w:r>
    </w:p>
    <w:p w:rsidR="002303AA" w:rsidRDefault="002303AA" w:rsidP="002303AA">
      <w:pPr>
        <w:contextualSpacing/>
        <w:jc w:val="both"/>
        <w:rPr>
          <w:rFonts w:ascii="Arial" w:hAnsi="Arial" w:cs="Arial"/>
          <w:sz w:val="20"/>
          <w:szCs w:val="20"/>
        </w:rPr>
      </w:pPr>
      <w:r w:rsidRPr="00615B92">
        <w:rPr>
          <w:rFonts w:ascii="Arial" w:hAnsi="Arial" w:cs="Arial"/>
          <w:sz w:val="20"/>
          <w:szCs w:val="20"/>
        </w:rPr>
        <w:t xml:space="preserve">C) </w:t>
      </w:r>
      <w:r>
        <w:rPr>
          <w:rFonts w:ascii="Arial" w:hAnsi="Arial" w:cs="Arial"/>
          <w:sz w:val="20"/>
          <w:szCs w:val="20"/>
        </w:rPr>
        <w:t>L’œil</w:t>
      </w:r>
    </w:p>
    <w:p w:rsidR="002303AA" w:rsidRPr="00615B92" w:rsidRDefault="002303AA" w:rsidP="002303AA">
      <w:pPr>
        <w:contextualSpacing/>
        <w:jc w:val="both"/>
        <w:rPr>
          <w:rFonts w:ascii="Arial" w:hAnsi="Arial" w:cs="Arial"/>
          <w:sz w:val="20"/>
          <w:szCs w:val="20"/>
        </w:rPr>
      </w:pPr>
      <w:r w:rsidRPr="00615B92">
        <w:rPr>
          <w:rFonts w:ascii="Arial" w:hAnsi="Arial" w:cs="Arial"/>
          <w:sz w:val="20"/>
          <w:szCs w:val="20"/>
        </w:rPr>
        <w:t xml:space="preserve">D) </w:t>
      </w:r>
      <w:r>
        <w:rPr>
          <w:rFonts w:ascii="Arial" w:hAnsi="Arial" w:cs="Arial"/>
          <w:sz w:val="20"/>
          <w:szCs w:val="20"/>
        </w:rPr>
        <w:t>La prostate</w:t>
      </w:r>
    </w:p>
    <w:p w:rsidR="002303AA" w:rsidRDefault="002303AA" w:rsidP="002303AA">
      <w:pPr>
        <w:widowControl w:val="0"/>
        <w:tabs>
          <w:tab w:val="left" w:pos="4228"/>
        </w:tabs>
        <w:autoSpaceDE w:val="0"/>
        <w:autoSpaceDN w:val="0"/>
        <w:adjustRightInd w:val="0"/>
        <w:spacing w:after="0" w:line="240" w:lineRule="auto"/>
        <w:ind w:right="-1826"/>
        <w:jc w:val="both"/>
        <w:rPr>
          <w:rFonts w:ascii="Arial" w:hAnsi="Arial" w:cs="Arial"/>
          <w:sz w:val="20"/>
          <w:szCs w:val="20"/>
        </w:rPr>
      </w:pPr>
      <w:r w:rsidRPr="00615B92">
        <w:rPr>
          <w:rFonts w:ascii="Arial" w:hAnsi="Arial" w:cs="Arial"/>
          <w:sz w:val="20"/>
          <w:szCs w:val="20"/>
        </w:rPr>
        <w:t>E) Aucune de ces réponses n’est correcte.</w:t>
      </w:r>
      <w:r>
        <w:rPr>
          <w:rFonts w:ascii="Arial" w:hAnsi="Arial" w:cs="Arial"/>
          <w:sz w:val="20"/>
          <w:szCs w:val="20"/>
        </w:rPr>
        <w:tab/>
      </w:r>
    </w:p>
    <w:p w:rsidR="002303AA" w:rsidRDefault="002303AA" w:rsidP="002303AA">
      <w:pPr>
        <w:widowControl w:val="0"/>
        <w:tabs>
          <w:tab w:val="left" w:pos="4228"/>
        </w:tabs>
        <w:autoSpaceDE w:val="0"/>
        <w:autoSpaceDN w:val="0"/>
        <w:adjustRightInd w:val="0"/>
        <w:spacing w:after="0" w:line="240" w:lineRule="auto"/>
        <w:ind w:right="-1826"/>
        <w:jc w:val="both"/>
        <w:rPr>
          <w:rFonts w:ascii="Arial" w:hAnsi="Arial" w:cs="Arial"/>
          <w:sz w:val="20"/>
          <w:szCs w:val="20"/>
        </w:rPr>
      </w:pPr>
    </w:p>
    <w:p w:rsidR="002303AA" w:rsidRDefault="002303AA" w:rsidP="002303AA">
      <w:pPr>
        <w:widowControl w:val="0"/>
        <w:autoSpaceDE w:val="0"/>
        <w:autoSpaceDN w:val="0"/>
        <w:adjustRightInd w:val="0"/>
        <w:spacing w:after="0" w:line="240" w:lineRule="auto"/>
        <w:ind w:left="720" w:hanging="720"/>
        <w:jc w:val="both"/>
        <w:rPr>
          <w:rFonts w:ascii="Arial" w:hAnsi="Arial" w:cs="Arial"/>
          <w:b/>
          <w:bCs/>
          <w:sz w:val="20"/>
          <w:szCs w:val="20"/>
        </w:rPr>
      </w:pPr>
      <w:r>
        <w:rPr>
          <w:rFonts w:ascii="Arial" w:hAnsi="Arial" w:cs="Arial"/>
          <w:b/>
          <w:bCs/>
          <w:sz w:val="20"/>
          <w:szCs w:val="20"/>
          <w:u w:val="single"/>
        </w:rPr>
        <w:t>QCM 17 </w:t>
      </w:r>
      <w:r>
        <w:rPr>
          <w:rFonts w:ascii="Arial" w:hAnsi="Arial" w:cs="Arial"/>
          <w:b/>
          <w:bCs/>
          <w:sz w:val="20"/>
          <w:szCs w:val="20"/>
        </w:rPr>
        <w:t xml:space="preserve">: Le temps de demi-vie (t1/2) est </w:t>
      </w:r>
    </w:p>
    <w:p w:rsidR="002303AA" w:rsidRDefault="002303AA" w:rsidP="002303AA">
      <w:pPr>
        <w:widowControl w:val="0"/>
        <w:autoSpaceDE w:val="0"/>
        <w:autoSpaceDN w:val="0"/>
        <w:adjustRightInd w:val="0"/>
        <w:spacing w:after="0" w:line="240" w:lineRule="auto"/>
        <w:ind w:left="720" w:hanging="720"/>
        <w:jc w:val="both"/>
        <w:rPr>
          <w:rFonts w:ascii="Arial" w:hAnsi="Arial" w:cs="Arial"/>
          <w:b/>
          <w:bCs/>
          <w:sz w:val="20"/>
          <w:szCs w:val="20"/>
        </w:rPr>
      </w:pPr>
    </w:p>
    <w:p w:rsidR="002303AA" w:rsidRDefault="002303AA" w:rsidP="002303AA">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 Proportionnel à la constante d’élimination</w:t>
      </w:r>
    </w:p>
    <w:p w:rsidR="002303AA" w:rsidRDefault="002303AA" w:rsidP="002303AA">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B) Proportionnel au volume de distribution</w:t>
      </w:r>
    </w:p>
    <w:p w:rsidR="002303AA" w:rsidRDefault="002303AA" w:rsidP="002303AA">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C) Inversement proportionnel à la clairance </w:t>
      </w:r>
    </w:p>
    <w:p w:rsidR="002303AA" w:rsidRDefault="002303AA" w:rsidP="002303AA">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D) Proportionnel à  la concentration sanguine du médicament dans l’organisme</w:t>
      </w:r>
    </w:p>
    <w:p w:rsidR="002303AA" w:rsidRDefault="002303AA" w:rsidP="002303AA">
      <w:pPr>
        <w:spacing w:after="0" w:line="240" w:lineRule="auto"/>
        <w:jc w:val="both"/>
        <w:rPr>
          <w:rFonts w:ascii="Arial" w:hAnsi="Arial" w:cs="Arial"/>
          <w:sz w:val="20"/>
          <w:szCs w:val="20"/>
        </w:rPr>
      </w:pPr>
      <w:r>
        <w:rPr>
          <w:rFonts w:ascii="Arial" w:hAnsi="Arial" w:cs="Arial"/>
          <w:sz w:val="20"/>
          <w:szCs w:val="20"/>
        </w:rPr>
        <w:t>E) Aucune de ces réponses n’est exacte.</w:t>
      </w:r>
    </w:p>
    <w:p w:rsidR="004B267D" w:rsidRDefault="004B267D" w:rsidP="002303AA">
      <w:pPr>
        <w:widowControl w:val="0"/>
        <w:autoSpaceDE w:val="0"/>
        <w:autoSpaceDN w:val="0"/>
        <w:adjustRightInd w:val="0"/>
        <w:spacing w:after="0" w:line="240" w:lineRule="auto"/>
        <w:ind w:right="-1826"/>
        <w:jc w:val="both"/>
        <w:rPr>
          <w:rFonts w:ascii="Arial" w:hAnsi="Arial" w:cs="Arial"/>
          <w:sz w:val="20"/>
          <w:szCs w:val="20"/>
        </w:rPr>
      </w:pPr>
    </w:p>
    <w:p w:rsidR="004B267D" w:rsidRDefault="004B267D" w:rsidP="002303AA">
      <w:pPr>
        <w:widowControl w:val="0"/>
        <w:autoSpaceDE w:val="0"/>
        <w:autoSpaceDN w:val="0"/>
        <w:adjustRightInd w:val="0"/>
        <w:spacing w:after="0" w:line="240" w:lineRule="auto"/>
        <w:ind w:right="-1826"/>
        <w:jc w:val="both"/>
        <w:rPr>
          <w:rFonts w:ascii="Arial" w:hAnsi="Arial" w:cs="Arial"/>
          <w:sz w:val="20"/>
          <w:szCs w:val="20"/>
        </w:rPr>
      </w:pPr>
    </w:p>
    <w:p w:rsidR="004B267D" w:rsidRDefault="004B267D" w:rsidP="002303AA">
      <w:pPr>
        <w:widowControl w:val="0"/>
        <w:autoSpaceDE w:val="0"/>
        <w:autoSpaceDN w:val="0"/>
        <w:adjustRightInd w:val="0"/>
        <w:spacing w:after="0" w:line="240" w:lineRule="auto"/>
        <w:ind w:right="-1826"/>
        <w:jc w:val="both"/>
        <w:rPr>
          <w:rFonts w:ascii="Arial" w:hAnsi="Arial" w:cs="Arial"/>
          <w:sz w:val="20"/>
          <w:szCs w:val="20"/>
        </w:rPr>
      </w:pPr>
    </w:p>
    <w:p w:rsidR="004B267D" w:rsidRPr="004B267D" w:rsidRDefault="004B267D" w:rsidP="002303AA">
      <w:pPr>
        <w:widowControl w:val="0"/>
        <w:autoSpaceDE w:val="0"/>
        <w:autoSpaceDN w:val="0"/>
        <w:adjustRightInd w:val="0"/>
        <w:spacing w:after="0" w:line="240" w:lineRule="auto"/>
        <w:ind w:right="-1826"/>
        <w:jc w:val="both"/>
        <w:rPr>
          <w:rFonts w:ascii="Times New Roman" w:hAnsi="Times New Roman" w:cs="Arial"/>
          <w:i/>
          <w:szCs w:val="20"/>
        </w:rPr>
      </w:pPr>
      <w:r>
        <w:rPr>
          <w:rFonts w:ascii="Times New Roman" w:hAnsi="Times New Roman" w:cs="Arial"/>
          <w:i/>
          <w:szCs w:val="20"/>
        </w:rPr>
        <w:t xml:space="preserve">    </w:t>
      </w:r>
      <w:r w:rsidRPr="004B267D">
        <w:rPr>
          <w:rFonts w:ascii="Times New Roman" w:hAnsi="Times New Roman" w:cs="Arial"/>
          <w:i/>
          <w:szCs w:val="20"/>
        </w:rPr>
        <w:t>C’est presque émouvant de faire ce dernier copier/coller de qcm, et terminer sur un 17… juste parfait !</w:t>
      </w:r>
    </w:p>
    <w:p w:rsidR="004B267D" w:rsidRPr="004B267D" w:rsidRDefault="004B267D" w:rsidP="002303AA">
      <w:pPr>
        <w:widowControl w:val="0"/>
        <w:autoSpaceDE w:val="0"/>
        <w:autoSpaceDN w:val="0"/>
        <w:adjustRightInd w:val="0"/>
        <w:spacing w:after="0" w:line="240" w:lineRule="auto"/>
        <w:ind w:right="-1826"/>
        <w:jc w:val="both"/>
        <w:rPr>
          <w:rFonts w:ascii="Times New Roman" w:hAnsi="Times New Roman" w:cs="Arial"/>
          <w:i/>
          <w:szCs w:val="20"/>
        </w:rPr>
      </w:pPr>
      <w:r w:rsidRPr="004B267D">
        <w:rPr>
          <w:rFonts w:ascii="Times New Roman" w:hAnsi="Times New Roman" w:cs="Arial"/>
          <w:i/>
          <w:szCs w:val="20"/>
        </w:rPr>
        <w:t>Bref je v</w:t>
      </w:r>
      <w:r>
        <w:rPr>
          <w:rFonts w:ascii="Times New Roman" w:hAnsi="Times New Roman" w:cs="Arial"/>
          <w:i/>
          <w:szCs w:val="20"/>
        </w:rPr>
        <w:t xml:space="preserve">oulais vous dire de </w:t>
      </w:r>
      <w:r w:rsidRPr="004B267D">
        <w:rPr>
          <w:rFonts w:ascii="Times New Roman" w:hAnsi="Times New Roman" w:cs="Arial"/>
          <w:b/>
          <w:i/>
          <w:szCs w:val="20"/>
        </w:rPr>
        <w:t>continuer à bosser</w:t>
      </w:r>
      <w:r w:rsidRPr="004B267D">
        <w:rPr>
          <w:rFonts w:ascii="Times New Roman" w:hAnsi="Times New Roman" w:cs="Arial"/>
          <w:i/>
          <w:szCs w:val="20"/>
        </w:rPr>
        <w:t xml:space="preserve"> comme des forcenés jusqu’au bout, seul le travail payera. </w:t>
      </w:r>
    </w:p>
    <w:p w:rsidR="004B267D" w:rsidRDefault="004B267D" w:rsidP="004B267D">
      <w:pPr>
        <w:widowControl w:val="0"/>
        <w:autoSpaceDE w:val="0"/>
        <w:autoSpaceDN w:val="0"/>
        <w:adjustRightInd w:val="0"/>
        <w:spacing w:after="0" w:line="240" w:lineRule="auto"/>
        <w:ind w:right="-24"/>
        <w:jc w:val="both"/>
        <w:rPr>
          <w:rFonts w:ascii="Times New Roman" w:hAnsi="Times New Roman" w:cs="Arial"/>
          <w:i/>
          <w:szCs w:val="20"/>
        </w:rPr>
      </w:pPr>
      <w:r w:rsidRPr="004B267D">
        <w:rPr>
          <w:rFonts w:ascii="Times New Roman" w:hAnsi="Times New Roman" w:cs="Arial"/>
          <w:i/>
          <w:szCs w:val="20"/>
        </w:rPr>
        <w:t xml:space="preserve">N’ayez pas de regret, </w:t>
      </w:r>
      <w:r w:rsidRPr="004B267D">
        <w:rPr>
          <w:rFonts w:ascii="Times New Roman" w:hAnsi="Times New Roman" w:cs="Arial"/>
          <w:b/>
          <w:i/>
          <w:szCs w:val="20"/>
        </w:rPr>
        <w:t>donnez vous à 200%</w:t>
      </w:r>
      <w:r w:rsidRPr="004B267D">
        <w:rPr>
          <w:rFonts w:ascii="Times New Roman" w:hAnsi="Times New Roman" w:cs="Arial"/>
          <w:i/>
          <w:szCs w:val="20"/>
        </w:rPr>
        <w:t xml:space="preserve"> jusqu’à 10min </w:t>
      </w:r>
      <w:r w:rsidRPr="002A64D1">
        <w:rPr>
          <w:rFonts w:ascii="Times New Roman" w:hAnsi="Times New Roman" w:cs="Arial"/>
          <w:i/>
          <w:szCs w:val="20"/>
          <w:u w:val="single"/>
        </w:rPr>
        <w:t>après</w:t>
      </w:r>
      <w:r w:rsidRPr="004B267D">
        <w:rPr>
          <w:rFonts w:ascii="Times New Roman" w:hAnsi="Times New Roman" w:cs="Arial"/>
          <w:i/>
          <w:szCs w:val="20"/>
        </w:rPr>
        <w:t xml:space="preserve"> la dernière é</w:t>
      </w:r>
      <w:r>
        <w:rPr>
          <w:rFonts w:ascii="Times New Roman" w:hAnsi="Times New Roman" w:cs="Arial"/>
          <w:i/>
          <w:szCs w:val="20"/>
        </w:rPr>
        <w:t>preuve !</w:t>
      </w:r>
    </w:p>
    <w:p w:rsidR="004B267D" w:rsidRDefault="002A64D1" w:rsidP="004B267D">
      <w:pPr>
        <w:widowControl w:val="0"/>
        <w:autoSpaceDE w:val="0"/>
        <w:autoSpaceDN w:val="0"/>
        <w:adjustRightInd w:val="0"/>
        <w:spacing w:after="0" w:line="240" w:lineRule="auto"/>
        <w:ind w:right="-24"/>
        <w:jc w:val="both"/>
        <w:rPr>
          <w:rFonts w:ascii="Times New Roman" w:hAnsi="Times New Roman" w:cs="Arial"/>
          <w:i/>
          <w:sz w:val="16"/>
          <w:szCs w:val="20"/>
        </w:rPr>
      </w:pPr>
      <w:r>
        <w:rPr>
          <w:rFonts w:ascii="Times New Roman" w:hAnsi="Times New Roman" w:cs="Arial"/>
          <w:i/>
          <w:szCs w:val="20"/>
        </w:rPr>
        <w:t>Cet été</w:t>
      </w:r>
      <w:r w:rsidR="004B267D" w:rsidRPr="004B267D">
        <w:rPr>
          <w:rFonts w:ascii="Times New Roman" w:hAnsi="Times New Roman" w:cs="Arial"/>
          <w:i/>
          <w:szCs w:val="20"/>
        </w:rPr>
        <w:t xml:space="preserve"> vous pourrez souffler et profiter de vos 3 mois de vacances bien mérité</w:t>
      </w:r>
      <w:r w:rsidR="004B267D">
        <w:rPr>
          <w:rFonts w:ascii="Times New Roman" w:hAnsi="Times New Roman" w:cs="Arial"/>
          <w:i/>
          <w:szCs w:val="20"/>
        </w:rPr>
        <w:t>s pour</w:t>
      </w:r>
      <w:r w:rsidR="004B267D" w:rsidRPr="004B267D">
        <w:rPr>
          <w:rFonts w:ascii="Times New Roman" w:hAnsi="Times New Roman" w:cs="Arial"/>
          <w:i/>
          <w:szCs w:val="20"/>
        </w:rPr>
        <w:t xml:space="preserve"> commencer</w:t>
      </w:r>
      <w:r w:rsidR="004B267D">
        <w:rPr>
          <w:rFonts w:ascii="Times New Roman" w:hAnsi="Times New Roman" w:cs="Arial"/>
          <w:i/>
          <w:szCs w:val="20"/>
        </w:rPr>
        <w:t xml:space="preserve"> comme il se doit </w:t>
      </w:r>
      <w:r w:rsidR="004B267D" w:rsidRPr="004B267D">
        <w:rPr>
          <w:rFonts w:ascii="Times New Roman" w:hAnsi="Times New Roman" w:cs="Arial"/>
          <w:i/>
          <w:szCs w:val="20"/>
        </w:rPr>
        <w:t xml:space="preserve"> votre P2 avec le stage infirmier</w:t>
      </w:r>
      <w:r w:rsidR="004B267D" w:rsidRPr="004B267D">
        <w:rPr>
          <w:rFonts w:ascii="Times New Roman" w:hAnsi="Times New Roman" w:cs="Arial"/>
          <w:i/>
          <w:sz w:val="16"/>
          <w:szCs w:val="20"/>
        </w:rPr>
        <w:t xml:space="preserve"> (je vous conseille la Neurochir d’ailleurs :D)</w:t>
      </w:r>
    </w:p>
    <w:p w:rsidR="004B267D" w:rsidRDefault="004B267D" w:rsidP="004B267D">
      <w:pPr>
        <w:widowControl w:val="0"/>
        <w:autoSpaceDE w:val="0"/>
        <w:autoSpaceDN w:val="0"/>
        <w:adjustRightInd w:val="0"/>
        <w:spacing w:after="0" w:line="240" w:lineRule="auto"/>
        <w:ind w:right="-24"/>
        <w:jc w:val="both"/>
        <w:rPr>
          <w:rFonts w:ascii="Times New Roman" w:hAnsi="Times New Roman" w:cs="Arial"/>
          <w:i/>
          <w:sz w:val="16"/>
          <w:szCs w:val="20"/>
        </w:rPr>
      </w:pPr>
    </w:p>
    <w:p w:rsidR="004B267D" w:rsidRDefault="004B267D" w:rsidP="004B267D">
      <w:pPr>
        <w:widowControl w:val="0"/>
        <w:autoSpaceDE w:val="0"/>
        <w:autoSpaceDN w:val="0"/>
        <w:adjustRightInd w:val="0"/>
        <w:spacing w:after="0" w:line="240" w:lineRule="auto"/>
        <w:ind w:right="-24"/>
        <w:jc w:val="both"/>
        <w:rPr>
          <w:rFonts w:ascii="Times New Roman" w:hAnsi="Times New Roman" w:cs="Arial"/>
          <w:i/>
          <w:sz w:val="16"/>
          <w:szCs w:val="20"/>
        </w:rPr>
      </w:pPr>
      <w:r w:rsidRPr="004B267D">
        <w:rPr>
          <w:rFonts w:ascii="Times New Roman" w:hAnsi="Times New Roman" w:cs="Arial"/>
          <w:b/>
          <w:i/>
          <w:szCs w:val="20"/>
        </w:rPr>
        <w:t>Bon courage</w:t>
      </w:r>
      <w:r w:rsidRPr="004B267D">
        <w:rPr>
          <w:rFonts w:ascii="Times New Roman" w:hAnsi="Times New Roman" w:cs="Arial"/>
          <w:i/>
          <w:szCs w:val="20"/>
        </w:rPr>
        <w:t xml:space="preserve"> à tout ceux qui me lise</w:t>
      </w:r>
      <w:r>
        <w:rPr>
          <w:rFonts w:ascii="Times New Roman" w:hAnsi="Times New Roman" w:cs="Arial"/>
          <w:i/>
          <w:szCs w:val="20"/>
        </w:rPr>
        <w:t xml:space="preserve"> !! </w:t>
      </w:r>
      <w:r w:rsidRPr="004B267D">
        <w:rPr>
          <w:rFonts w:ascii="Times New Roman" w:hAnsi="Times New Roman" w:cs="Arial"/>
          <w:i/>
          <w:sz w:val="16"/>
          <w:szCs w:val="20"/>
        </w:rPr>
        <w:t>(il faut bien sélectionner un peu ^^)</w:t>
      </w:r>
    </w:p>
    <w:p w:rsidR="004B267D" w:rsidRDefault="004B267D" w:rsidP="004B267D">
      <w:pPr>
        <w:widowControl w:val="0"/>
        <w:autoSpaceDE w:val="0"/>
        <w:autoSpaceDN w:val="0"/>
        <w:adjustRightInd w:val="0"/>
        <w:spacing w:after="0" w:line="240" w:lineRule="auto"/>
        <w:ind w:right="-24"/>
        <w:jc w:val="both"/>
        <w:rPr>
          <w:rFonts w:ascii="Times New Roman" w:hAnsi="Times New Roman" w:cs="Arial"/>
          <w:i/>
          <w:sz w:val="16"/>
          <w:szCs w:val="20"/>
        </w:rPr>
      </w:pPr>
    </w:p>
    <w:p w:rsidR="004B267D" w:rsidRDefault="004B267D" w:rsidP="004B267D">
      <w:pPr>
        <w:widowControl w:val="0"/>
        <w:autoSpaceDE w:val="0"/>
        <w:autoSpaceDN w:val="0"/>
        <w:adjustRightInd w:val="0"/>
        <w:spacing w:after="0" w:line="240" w:lineRule="auto"/>
        <w:ind w:right="-24"/>
        <w:jc w:val="both"/>
        <w:rPr>
          <w:rFonts w:ascii="Times New Roman" w:hAnsi="Times New Roman" w:cs="Arial"/>
          <w:i/>
          <w:sz w:val="16"/>
          <w:szCs w:val="20"/>
        </w:rPr>
      </w:pPr>
    </w:p>
    <w:p w:rsidR="004B267D" w:rsidRPr="00D4129F" w:rsidRDefault="004B267D" w:rsidP="004B267D">
      <w:pPr>
        <w:widowControl w:val="0"/>
        <w:autoSpaceDE w:val="0"/>
        <w:autoSpaceDN w:val="0"/>
        <w:adjustRightInd w:val="0"/>
        <w:spacing w:after="0" w:line="240" w:lineRule="auto"/>
        <w:ind w:right="-24"/>
        <w:jc w:val="both"/>
        <w:rPr>
          <w:rFonts w:ascii="Times New Roman" w:hAnsi="Times New Roman" w:cs="Arial"/>
          <w:b/>
          <w:sz w:val="25"/>
          <w:szCs w:val="20"/>
        </w:rPr>
      </w:pPr>
      <w:r w:rsidRPr="00D4129F">
        <w:rPr>
          <w:rFonts w:ascii="Times New Roman" w:hAnsi="Times New Roman" w:cs="Arial"/>
          <w:b/>
          <w:sz w:val="25"/>
          <w:szCs w:val="20"/>
        </w:rPr>
        <w:t>ET pour votre concours du 27</w:t>
      </w:r>
      <w:r w:rsidR="002A64D1" w:rsidRPr="00D4129F">
        <w:rPr>
          <w:rFonts w:ascii="Times New Roman" w:hAnsi="Times New Roman" w:cs="Arial"/>
          <w:b/>
          <w:sz w:val="25"/>
          <w:szCs w:val="20"/>
        </w:rPr>
        <w:t xml:space="preserve"> mai</w:t>
      </w:r>
      <w:r w:rsidRPr="00D4129F">
        <w:rPr>
          <w:rFonts w:ascii="Times New Roman" w:hAnsi="Times New Roman" w:cs="Arial"/>
          <w:b/>
          <w:sz w:val="25"/>
          <w:szCs w:val="20"/>
        </w:rPr>
        <w:t>…. une dernière phrase d’encouragement réaliste :</w:t>
      </w:r>
    </w:p>
    <w:p w:rsidR="004B267D" w:rsidRDefault="004B267D" w:rsidP="004B267D">
      <w:pPr>
        <w:widowControl w:val="0"/>
        <w:autoSpaceDE w:val="0"/>
        <w:autoSpaceDN w:val="0"/>
        <w:adjustRightInd w:val="0"/>
        <w:spacing w:after="0" w:line="240" w:lineRule="auto"/>
        <w:ind w:right="-24"/>
        <w:jc w:val="center"/>
        <w:rPr>
          <w:rFonts w:ascii="Times New Roman" w:hAnsi="Times New Roman" w:cs="Arial"/>
          <w:b/>
          <w:szCs w:val="20"/>
        </w:rPr>
      </w:pPr>
      <w:r>
        <w:rPr>
          <w:rFonts w:ascii="Times New Roman" w:hAnsi="Times New Roman" w:cs="Arial"/>
          <w:b/>
          <w:noProof/>
          <w:szCs w:val="20"/>
          <w:lang w:eastAsia="fr-FR"/>
        </w:rPr>
        <w:drawing>
          <wp:inline distT="0" distB="0" distL="0" distR="0">
            <wp:extent cx="5338858" cy="4223238"/>
            <wp:effectExtent l="25400" t="0" r="0" b="0"/>
            <wp:docPr id="1" name="Image 0" descr="Rape-Ewok-PREPARE-YOUR-A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e-Ewok-PREPARE-YOUR-ANUS.jpg"/>
                    <pic:cNvPicPr/>
                  </pic:nvPicPr>
                  <pic:blipFill>
                    <a:blip r:embed="rId9"/>
                    <a:stretch>
                      <a:fillRect/>
                    </a:stretch>
                  </pic:blipFill>
                  <pic:spPr>
                    <a:xfrm>
                      <a:off x="0" y="0"/>
                      <a:ext cx="5344172" cy="4227441"/>
                    </a:xfrm>
                    <a:prstGeom prst="rect">
                      <a:avLst/>
                    </a:prstGeom>
                  </pic:spPr>
                </pic:pic>
              </a:graphicData>
            </a:graphic>
          </wp:inline>
        </w:drawing>
      </w:r>
    </w:p>
    <w:p w:rsidR="004B267D" w:rsidRDefault="004B267D" w:rsidP="004B267D">
      <w:pPr>
        <w:widowControl w:val="0"/>
        <w:autoSpaceDE w:val="0"/>
        <w:autoSpaceDN w:val="0"/>
        <w:adjustRightInd w:val="0"/>
        <w:spacing w:after="0" w:line="240" w:lineRule="auto"/>
        <w:ind w:right="-24"/>
        <w:jc w:val="center"/>
        <w:rPr>
          <w:rFonts w:ascii="Times New Roman" w:hAnsi="Times New Roman" w:cs="Arial"/>
          <w:b/>
          <w:szCs w:val="20"/>
        </w:rPr>
      </w:pPr>
    </w:p>
    <w:p w:rsidR="00F674DC" w:rsidRDefault="003C7820" w:rsidP="003C7820">
      <w:pPr>
        <w:jc w:val="center"/>
        <w:rPr>
          <w:b/>
          <w:i/>
          <w:sz w:val="40"/>
          <w:u w:val="single"/>
        </w:rPr>
      </w:pPr>
      <w:r>
        <w:rPr>
          <w:b/>
          <w:i/>
          <w:sz w:val="40"/>
          <w:u w:val="single"/>
        </w:rPr>
        <w:t>Vrai/Faux</w:t>
      </w:r>
    </w:p>
    <w:p w:rsidR="004B267D" w:rsidRPr="003C7820" w:rsidRDefault="003C7820" w:rsidP="004B267D">
      <w:pPr>
        <w:jc w:val="center"/>
        <w:rPr>
          <w:b/>
          <w:sz w:val="16"/>
        </w:rPr>
      </w:pPr>
      <w:r w:rsidRPr="003C7820">
        <w:rPr>
          <w:b/>
          <w:sz w:val="16"/>
        </w:rPr>
        <w:t>PISANO-STRUCTURE-IATROGÉNÈSE</w:t>
      </w:r>
    </w:p>
    <w:tbl>
      <w:tblPr>
        <w:tblStyle w:val="Grille"/>
        <w:tblpPr w:leftFromText="141" w:rightFromText="141" w:vertAnchor="text" w:horzAnchor="page" w:tblpX="649" w:tblpY="134"/>
        <w:tblW w:w="0" w:type="auto"/>
        <w:tblLook w:val="00BF"/>
      </w:tblPr>
      <w:tblGrid>
        <w:gridCol w:w="551"/>
        <w:gridCol w:w="8363"/>
        <w:gridCol w:w="892"/>
        <w:gridCol w:w="859"/>
      </w:tblGrid>
      <w:tr w:rsidR="004B267D">
        <w:trPr>
          <w:trHeight w:val="410"/>
        </w:trPr>
        <w:tc>
          <w:tcPr>
            <w:tcW w:w="551" w:type="dxa"/>
          </w:tcPr>
          <w:p w:rsidR="004B267D" w:rsidRPr="00A92A2E" w:rsidRDefault="004B267D" w:rsidP="00A92A2E">
            <w:pPr>
              <w:jc w:val="center"/>
              <w:rPr>
                <w:b/>
              </w:rPr>
            </w:pPr>
            <w:r>
              <w:rPr>
                <w:b/>
              </w:rPr>
              <w:t>N°</w:t>
            </w:r>
          </w:p>
        </w:tc>
        <w:tc>
          <w:tcPr>
            <w:tcW w:w="8363" w:type="dxa"/>
          </w:tcPr>
          <w:p w:rsidR="004B267D" w:rsidRPr="00840A8D" w:rsidRDefault="004B267D" w:rsidP="007808B6">
            <w:pPr>
              <w:tabs>
                <w:tab w:val="left" w:pos="3342"/>
              </w:tabs>
              <w:jc w:val="center"/>
              <w:rPr>
                <w:b/>
                <w:color w:val="7F7F7F" w:themeColor="text1" w:themeTint="80"/>
                <w:sz w:val="24"/>
              </w:rPr>
            </w:pPr>
            <w:r>
              <w:rPr>
                <w:b/>
                <w:i/>
                <w:color w:val="7F7F7F" w:themeColor="text1" w:themeTint="80"/>
                <w:sz w:val="24"/>
              </w:rPr>
              <w:t>« Good things come to those who go out and fucking earn it ! »</w:t>
            </w:r>
          </w:p>
        </w:tc>
        <w:tc>
          <w:tcPr>
            <w:tcW w:w="892" w:type="dxa"/>
          </w:tcPr>
          <w:p w:rsidR="004B267D" w:rsidRPr="007808B6" w:rsidRDefault="004B267D" w:rsidP="00840A8D">
            <w:pPr>
              <w:jc w:val="center"/>
              <w:rPr>
                <w:b/>
                <w:sz w:val="24"/>
              </w:rPr>
            </w:pPr>
            <w:r w:rsidRPr="007808B6">
              <w:rPr>
                <w:b/>
                <w:sz w:val="24"/>
              </w:rPr>
              <w:t>Vrai</w:t>
            </w:r>
          </w:p>
        </w:tc>
        <w:tc>
          <w:tcPr>
            <w:tcW w:w="859" w:type="dxa"/>
          </w:tcPr>
          <w:p w:rsidR="004B267D" w:rsidRPr="007808B6" w:rsidRDefault="004B267D" w:rsidP="007808B6">
            <w:pPr>
              <w:jc w:val="center"/>
              <w:rPr>
                <w:b/>
                <w:sz w:val="24"/>
              </w:rPr>
            </w:pPr>
            <w:r w:rsidRPr="007808B6">
              <w:rPr>
                <w:b/>
                <w:sz w:val="24"/>
              </w:rPr>
              <w:t>Faux</w:t>
            </w:r>
          </w:p>
        </w:tc>
      </w:tr>
      <w:tr w:rsidR="004B267D" w:rsidRPr="007808B6">
        <w:tc>
          <w:tcPr>
            <w:tcW w:w="551" w:type="dxa"/>
          </w:tcPr>
          <w:p w:rsidR="004B267D" w:rsidRPr="00A92A2E" w:rsidRDefault="004B267D" w:rsidP="00A92A2E">
            <w:pPr>
              <w:jc w:val="center"/>
              <w:rPr>
                <w:b/>
              </w:rPr>
            </w:pPr>
            <w:r w:rsidRPr="00A92A2E">
              <w:rPr>
                <w:b/>
              </w:rPr>
              <w:t>1</w:t>
            </w:r>
          </w:p>
        </w:tc>
        <w:tc>
          <w:tcPr>
            <w:tcW w:w="8363" w:type="dxa"/>
          </w:tcPr>
          <w:p w:rsidR="004B267D" w:rsidRPr="009875C8" w:rsidRDefault="004B267D" w:rsidP="00F674DC">
            <w:r w:rsidRPr="009875C8">
              <w:t xml:space="preserve">La transduction commence avant la fixation du médicament sur sa cible </w:t>
            </w:r>
          </w:p>
        </w:tc>
        <w:tc>
          <w:tcPr>
            <w:tcW w:w="892" w:type="dxa"/>
          </w:tcPr>
          <w:p w:rsidR="004B267D" w:rsidRPr="004B267D" w:rsidRDefault="004B267D" w:rsidP="004B267D">
            <w:pPr>
              <w:jc w:val="center"/>
              <w:rPr>
                <w:b/>
                <w:color w:val="008000"/>
              </w:rPr>
            </w:pPr>
          </w:p>
        </w:tc>
        <w:tc>
          <w:tcPr>
            <w:tcW w:w="859" w:type="dxa"/>
          </w:tcPr>
          <w:p w:rsidR="004B267D" w:rsidRPr="004B267D" w:rsidRDefault="004B267D" w:rsidP="004B267D">
            <w:pPr>
              <w:jc w:val="center"/>
              <w:rPr>
                <w:b/>
                <w:color w:val="008000"/>
                <w:sz w:val="28"/>
              </w:rPr>
            </w:pPr>
          </w:p>
        </w:tc>
      </w:tr>
      <w:tr w:rsidR="004B267D" w:rsidRPr="007808B6">
        <w:tc>
          <w:tcPr>
            <w:tcW w:w="551" w:type="dxa"/>
          </w:tcPr>
          <w:p w:rsidR="004B267D" w:rsidRPr="00A92A2E" w:rsidRDefault="004B267D" w:rsidP="007808B6">
            <w:pPr>
              <w:jc w:val="center"/>
              <w:rPr>
                <w:b/>
              </w:rPr>
            </w:pPr>
            <w:r w:rsidRPr="00A92A2E">
              <w:rPr>
                <w:b/>
              </w:rPr>
              <w:t>2</w:t>
            </w:r>
          </w:p>
        </w:tc>
        <w:tc>
          <w:tcPr>
            <w:tcW w:w="8363" w:type="dxa"/>
          </w:tcPr>
          <w:p w:rsidR="004B267D" w:rsidRPr="009875C8" w:rsidRDefault="004B267D" w:rsidP="007808B6">
            <w:r w:rsidRPr="009875C8">
              <w:t xml:space="preserve">La transduction amène à la réponse cellulaire </w:t>
            </w:r>
          </w:p>
        </w:tc>
        <w:tc>
          <w:tcPr>
            <w:tcW w:w="892" w:type="dxa"/>
          </w:tcPr>
          <w:p w:rsidR="004B267D" w:rsidRPr="004B267D" w:rsidRDefault="004B267D" w:rsidP="004B267D">
            <w:pPr>
              <w:jc w:val="center"/>
              <w:rPr>
                <w:b/>
                <w:color w:val="008000"/>
                <w:sz w:val="28"/>
              </w:rPr>
            </w:pPr>
          </w:p>
        </w:tc>
        <w:tc>
          <w:tcPr>
            <w:tcW w:w="859" w:type="dxa"/>
          </w:tcPr>
          <w:p w:rsidR="004B267D" w:rsidRPr="004B267D" w:rsidRDefault="004B267D" w:rsidP="004B267D">
            <w:pPr>
              <w:jc w:val="center"/>
              <w:rPr>
                <w:b/>
                <w:color w:val="008000"/>
              </w:rPr>
            </w:pPr>
          </w:p>
        </w:tc>
      </w:tr>
      <w:tr w:rsidR="004B267D" w:rsidRPr="007808B6">
        <w:tc>
          <w:tcPr>
            <w:tcW w:w="551" w:type="dxa"/>
          </w:tcPr>
          <w:p w:rsidR="004B267D" w:rsidRPr="00A92A2E" w:rsidRDefault="004B267D" w:rsidP="007808B6">
            <w:pPr>
              <w:jc w:val="center"/>
              <w:rPr>
                <w:b/>
              </w:rPr>
            </w:pPr>
            <w:r>
              <w:rPr>
                <w:b/>
              </w:rPr>
              <w:t>3</w:t>
            </w:r>
          </w:p>
        </w:tc>
        <w:tc>
          <w:tcPr>
            <w:tcW w:w="8363" w:type="dxa"/>
          </w:tcPr>
          <w:p w:rsidR="004B267D" w:rsidRPr="009875C8" w:rsidRDefault="004B267D" w:rsidP="00F674DC">
            <w:r w:rsidRPr="009875C8">
              <w:t xml:space="preserve">Le terme de ligand se défini par une molécule exogène se liant à une cible </w:t>
            </w:r>
          </w:p>
        </w:tc>
        <w:tc>
          <w:tcPr>
            <w:tcW w:w="892" w:type="dxa"/>
          </w:tcPr>
          <w:p w:rsidR="004B267D" w:rsidRPr="004B267D" w:rsidRDefault="004B267D" w:rsidP="004B267D">
            <w:pPr>
              <w:jc w:val="center"/>
              <w:rPr>
                <w:b/>
                <w:color w:val="008000"/>
              </w:rPr>
            </w:pPr>
          </w:p>
        </w:tc>
        <w:tc>
          <w:tcPr>
            <w:tcW w:w="859" w:type="dxa"/>
          </w:tcPr>
          <w:p w:rsidR="004B267D" w:rsidRPr="004B267D" w:rsidRDefault="004B267D" w:rsidP="004B267D">
            <w:pPr>
              <w:jc w:val="center"/>
              <w:rPr>
                <w:b/>
                <w:color w:val="008000"/>
                <w:sz w:val="28"/>
              </w:rPr>
            </w:pPr>
          </w:p>
        </w:tc>
      </w:tr>
      <w:tr w:rsidR="004B267D" w:rsidRPr="007808B6">
        <w:tc>
          <w:tcPr>
            <w:tcW w:w="551" w:type="dxa"/>
          </w:tcPr>
          <w:p w:rsidR="004B267D" w:rsidRPr="00A92A2E" w:rsidRDefault="004B267D" w:rsidP="00186213">
            <w:pPr>
              <w:jc w:val="center"/>
              <w:rPr>
                <w:b/>
              </w:rPr>
            </w:pPr>
            <w:r>
              <w:rPr>
                <w:b/>
              </w:rPr>
              <w:t>4</w:t>
            </w:r>
          </w:p>
        </w:tc>
        <w:tc>
          <w:tcPr>
            <w:tcW w:w="8363" w:type="dxa"/>
          </w:tcPr>
          <w:p w:rsidR="004B267D" w:rsidRPr="009875C8" w:rsidRDefault="004B267D" w:rsidP="00F674DC">
            <w:r w:rsidRPr="009875C8">
              <w:t>Plus l’affinité est faible plus la dose à administrer est faible</w:t>
            </w:r>
            <w:r w:rsidRPr="009875C8">
              <w:rPr>
                <w:b/>
                <w:color w:val="008000"/>
                <w:sz w:val="28"/>
              </w:rPr>
              <w:t xml:space="preserve"> </w:t>
            </w:r>
          </w:p>
        </w:tc>
        <w:tc>
          <w:tcPr>
            <w:tcW w:w="892" w:type="dxa"/>
          </w:tcPr>
          <w:p w:rsidR="004B267D" w:rsidRPr="004B267D" w:rsidRDefault="004B267D" w:rsidP="004B267D">
            <w:pPr>
              <w:jc w:val="center"/>
              <w:rPr>
                <w:b/>
                <w:color w:val="008000"/>
                <w:sz w:val="28"/>
              </w:rPr>
            </w:pPr>
          </w:p>
        </w:tc>
        <w:tc>
          <w:tcPr>
            <w:tcW w:w="859" w:type="dxa"/>
          </w:tcPr>
          <w:p w:rsidR="004B267D" w:rsidRPr="004B267D" w:rsidRDefault="004B267D" w:rsidP="004B267D">
            <w:pPr>
              <w:jc w:val="center"/>
              <w:rPr>
                <w:b/>
                <w:color w:val="008000"/>
              </w:rPr>
            </w:pPr>
          </w:p>
        </w:tc>
      </w:tr>
      <w:tr w:rsidR="004B267D" w:rsidRPr="007808B6">
        <w:tc>
          <w:tcPr>
            <w:tcW w:w="551" w:type="dxa"/>
          </w:tcPr>
          <w:p w:rsidR="004B267D" w:rsidRPr="00A92A2E" w:rsidRDefault="004B267D" w:rsidP="00B97A95">
            <w:pPr>
              <w:jc w:val="center"/>
              <w:rPr>
                <w:b/>
              </w:rPr>
            </w:pPr>
            <w:r>
              <w:rPr>
                <w:b/>
              </w:rPr>
              <w:t>5</w:t>
            </w:r>
          </w:p>
        </w:tc>
        <w:tc>
          <w:tcPr>
            <w:tcW w:w="8363" w:type="dxa"/>
          </w:tcPr>
          <w:p w:rsidR="004B267D" w:rsidRPr="009875C8" w:rsidRDefault="004B267D" w:rsidP="00B97A95">
            <w:r w:rsidRPr="009875C8">
              <w:t>L’affinité est liée à la structure chimique du médicament et sa complémentarité avec la structure chimique de sa cible</w:t>
            </w:r>
          </w:p>
        </w:tc>
        <w:tc>
          <w:tcPr>
            <w:tcW w:w="892" w:type="dxa"/>
          </w:tcPr>
          <w:p w:rsidR="004B267D" w:rsidRPr="004B267D" w:rsidRDefault="004B267D" w:rsidP="004B267D">
            <w:pPr>
              <w:jc w:val="center"/>
              <w:rPr>
                <w:b/>
                <w:color w:val="008000"/>
                <w:sz w:val="28"/>
              </w:rPr>
            </w:pPr>
          </w:p>
        </w:tc>
        <w:tc>
          <w:tcPr>
            <w:tcW w:w="859" w:type="dxa"/>
          </w:tcPr>
          <w:p w:rsidR="004B267D" w:rsidRPr="004B267D" w:rsidRDefault="004B267D" w:rsidP="004B267D">
            <w:pPr>
              <w:jc w:val="center"/>
              <w:rPr>
                <w:b/>
                <w:color w:val="008000"/>
              </w:rPr>
            </w:pPr>
          </w:p>
        </w:tc>
      </w:tr>
      <w:tr w:rsidR="004B267D" w:rsidRPr="007808B6">
        <w:tc>
          <w:tcPr>
            <w:tcW w:w="551" w:type="dxa"/>
          </w:tcPr>
          <w:p w:rsidR="004B267D" w:rsidRPr="00A92A2E" w:rsidRDefault="004B267D" w:rsidP="00B97A95">
            <w:pPr>
              <w:jc w:val="center"/>
              <w:rPr>
                <w:b/>
              </w:rPr>
            </w:pPr>
            <w:r>
              <w:rPr>
                <w:b/>
              </w:rPr>
              <w:t>6</w:t>
            </w:r>
          </w:p>
        </w:tc>
        <w:tc>
          <w:tcPr>
            <w:tcW w:w="8363" w:type="dxa"/>
          </w:tcPr>
          <w:p w:rsidR="004B267D" w:rsidRPr="009875C8" w:rsidRDefault="004B267D" w:rsidP="00B97A95">
            <w:r w:rsidRPr="009875C8">
              <w:t>On parle de réversibilité si un mdt A peut être déplacé de sa cible par un mdt B d’affinité supérieur</w:t>
            </w:r>
          </w:p>
        </w:tc>
        <w:tc>
          <w:tcPr>
            <w:tcW w:w="892" w:type="dxa"/>
          </w:tcPr>
          <w:p w:rsidR="004B267D" w:rsidRPr="004B267D" w:rsidRDefault="004B267D" w:rsidP="004B267D">
            <w:pPr>
              <w:jc w:val="center"/>
              <w:rPr>
                <w:b/>
                <w:color w:val="008000"/>
              </w:rPr>
            </w:pPr>
          </w:p>
        </w:tc>
        <w:tc>
          <w:tcPr>
            <w:tcW w:w="859" w:type="dxa"/>
          </w:tcPr>
          <w:p w:rsidR="004B267D" w:rsidRPr="004B267D" w:rsidRDefault="004B267D" w:rsidP="004B267D">
            <w:pPr>
              <w:jc w:val="center"/>
              <w:rPr>
                <w:b/>
                <w:color w:val="008000"/>
                <w:sz w:val="28"/>
              </w:rPr>
            </w:pPr>
          </w:p>
        </w:tc>
      </w:tr>
      <w:tr w:rsidR="004B267D" w:rsidRPr="007808B6">
        <w:tc>
          <w:tcPr>
            <w:tcW w:w="551" w:type="dxa"/>
          </w:tcPr>
          <w:p w:rsidR="004B267D" w:rsidRPr="00A92A2E" w:rsidRDefault="004B267D" w:rsidP="00B97A95">
            <w:pPr>
              <w:jc w:val="center"/>
              <w:rPr>
                <w:b/>
              </w:rPr>
            </w:pPr>
            <w:r>
              <w:rPr>
                <w:b/>
              </w:rPr>
              <w:t>7</w:t>
            </w:r>
          </w:p>
        </w:tc>
        <w:tc>
          <w:tcPr>
            <w:tcW w:w="8363" w:type="dxa"/>
          </w:tcPr>
          <w:p w:rsidR="004B267D" w:rsidRPr="009875C8" w:rsidRDefault="004B267D" w:rsidP="00F674DC">
            <w:r w:rsidRPr="009875C8">
              <w:t xml:space="preserve">La sélectivité concerne un type de récepteur donné </w:t>
            </w:r>
          </w:p>
        </w:tc>
        <w:tc>
          <w:tcPr>
            <w:tcW w:w="892" w:type="dxa"/>
          </w:tcPr>
          <w:p w:rsidR="004B267D" w:rsidRPr="004B267D" w:rsidRDefault="004B267D" w:rsidP="004B267D">
            <w:pPr>
              <w:jc w:val="center"/>
              <w:rPr>
                <w:b/>
                <w:color w:val="008000"/>
                <w:sz w:val="28"/>
              </w:rPr>
            </w:pPr>
          </w:p>
        </w:tc>
        <w:tc>
          <w:tcPr>
            <w:tcW w:w="859" w:type="dxa"/>
          </w:tcPr>
          <w:p w:rsidR="004B267D" w:rsidRPr="004B267D" w:rsidRDefault="004B267D" w:rsidP="004B267D">
            <w:pPr>
              <w:jc w:val="center"/>
              <w:rPr>
                <w:b/>
                <w:color w:val="008000"/>
                <w:sz w:val="28"/>
              </w:rPr>
            </w:pPr>
          </w:p>
        </w:tc>
      </w:tr>
      <w:tr w:rsidR="004B267D" w:rsidRPr="007808B6">
        <w:tc>
          <w:tcPr>
            <w:tcW w:w="551" w:type="dxa"/>
          </w:tcPr>
          <w:p w:rsidR="004B267D" w:rsidRPr="00A92A2E" w:rsidRDefault="004B267D" w:rsidP="00667F77">
            <w:pPr>
              <w:jc w:val="center"/>
              <w:rPr>
                <w:b/>
              </w:rPr>
            </w:pPr>
            <w:r>
              <w:rPr>
                <w:b/>
              </w:rPr>
              <w:t>8</w:t>
            </w:r>
          </w:p>
        </w:tc>
        <w:tc>
          <w:tcPr>
            <w:tcW w:w="8363" w:type="dxa"/>
          </w:tcPr>
          <w:p w:rsidR="004B267D" w:rsidRPr="009875C8" w:rsidRDefault="004B267D" w:rsidP="00F674DC">
            <w:r w:rsidRPr="009875C8">
              <w:t xml:space="preserve">La spécificité concerne un sous type de récepteur donné </w:t>
            </w:r>
          </w:p>
        </w:tc>
        <w:tc>
          <w:tcPr>
            <w:tcW w:w="892" w:type="dxa"/>
          </w:tcPr>
          <w:p w:rsidR="004B267D" w:rsidRPr="004B267D" w:rsidRDefault="004B267D" w:rsidP="000F6346">
            <w:pPr>
              <w:jc w:val="center"/>
              <w:rPr>
                <w:b/>
                <w:color w:val="008000"/>
                <w:sz w:val="28"/>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667F77">
            <w:pPr>
              <w:jc w:val="center"/>
              <w:rPr>
                <w:b/>
              </w:rPr>
            </w:pPr>
            <w:r>
              <w:rPr>
                <w:b/>
              </w:rPr>
              <w:t>9</w:t>
            </w:r>
          </w:p>
        </w:tc>
        <w:tc>
          <w:tcPr>
            <w:tcW w:w="8363" w:type="dxa"/>
          </w:tcPr>
          <w:p w:rsidR="004B267D" w:rsidRPr="009875C8" w:rsidRDefault="003210B8" w:rsidP="00667F77">
            <w:r w:rsidRPr="009875C8">
              <w:t>Les récepteurs sont des cibles protéiques</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667F77">
            <w:pPr>
              <w:jc w:val="center"/>
              <w:rPr>
                <w:b/>
              </w:rPr>
            </w:pPr>
            <w:r>
              <w:rPr>
                <w:b/>
              </w:rPr>
              <w:t>10</w:t>
            </w:r>
          </w:p>
        </w:tc>
        <w:tc>
          <w:tcPr>
            <w:tcW w:w="8363" w:type="dxa"/>
          </w:tcPr>
          <w:p w:rsidR="004B267D" w:rsidRPr="009875C8" w:rsidRDefault="004B267D" w:rsidP="00667F77">
            <w:r w:rsidRPr="009875C8">
              <w:t>Refaite</w:t>
            </w:r>
            <w:r w:rsidR="00F674DC" w:rsidRPr="009875C8">
              <w:t>s</w:t>
            </w:r>
            <w:r w:rsidRPr="009875C8">
              <w:t xml:space="preserve"> sur une feuille à coté le schéma de la classification des récepteurs :</w:t>
            </w:r>
          </w:p>
          <w:p w:rsidR="004B267D" w:rsidRPr="009875C8" w:rsidRDefault="004B267D" w:rsidP="00F674DC">
            <w:r w:rsidRPr="009875C8">
              <w:rPr>
                <w:i/>
                <w:sz w:val="20"/>
              </w:rPr>
              <w:t>(je sais je sais, votre tuteur parfois ne se casse pas trop le c** pour vous trouvez des choses à faire mais écrire aide bien à mémoriser ! )</w:t>
            </w:r>
            <w:r w:rsidR="003210B8" w:rsidRPr="009875C8">
              <w:rPr>
                <w:i/>
                <w:sz w:val="20"/>
              </w:rPr>
              <w:t xml:space="preserve">  </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667F77">
            <w:pPr>
              <w:jc w:val="center"/>
              <w:rPr>
                <w:b/>
              </w:rPr>
            </w:pPr>
            <w:r>
              <w:rPr>
                <w:b/>
              </w:rPr>
              <w:t>11</w:t>
            </w:r>
          </w:p>
        </w:tc>
        <w:tc>
          <w:tcPr>
            <w:tcW w:w="8363" w:type="dxa"/>
          </w:tcPr>
          <w:p w:rsidR="004B267D" w:rsidRPr="009875C8" w:rsidRDefault="003210B8" w:rsidP="00F674DC">
            <w:r w:rsidRPr="009875C8">
              <w:t xml:space="preserve">Les récepteurs enzymatiques sont tous polymériques </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667F77">
            <w:pPr>
              <w:jc w:val="center"/>
              <w:rPr>
                <w:b/>
              </w:rPr>
            </w:pPr>
            <w:r>
              <w:rPr>
                <w:b/>
              </w:rPr>
              <w:t>12</w:t>
            </w:r>
          </w:p>
        </w:tc>
        <w:tc>
          <w:tcPr>
            <w:tcW w:w="8363" w:type="dxa"/>
          </w:tcPr>
          <w:p w:rsidR="004B267D" w:rsidRPr="009875C8" w:rsidRDefault="003210B8" w:rsidP="00F674DC">
            <w:r w:rsidRPr="009875C8">
              <w:t xml:space="preserve">Les récepteurs tyrosine kinase sont les seuls à se dimériser après la fixation du ligand </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840A8D">
            <w:pPr>
              <w:jc w:val="center"/>
              <w:rPr>
                <w:b/>
              </w:rPr>
            </w:pPr>
            <w:r>
              <w:rPr>
                <w:b/>
              </w:rPr>
              <w:t>13</w:t>
            </w:r>
          </w:p>
        </w:tc>
        <w:tc>
          <w:tcPr>
            <w:tcW w:w="8363" w:type="dxa"/>
          </w:tcPr>
          <w:p w:rsidR="004B267D" w:rsidRPr="009875C8" w:rsidRDefault="003210B8" w:rsidP="00840A8D">
            <w:r w:rsidRPr="009875C8">
              <w:t>Pour lutter contre l’hypertension on inhibe le FAN pour augmenter l’élimination du Na dans les urines</w:t>
            </w:r>
          </w:p>
        </w:tc>
        <w:tc>
          <w:tcPr>
            <w:tcW w:w="892" w:type="dxa"/>
          </w:tcPr>
          <w:p w:rsidR="004B267D" w:rsidRPr="004B267D" w:rsidRDefault="004B267D" w:rsidP="000F6346">
            <w:pPr>
              <w:jc w:val="center"/>
              <w:rPr>
                <w:b/>
                <w:color w:val="008000"/>
                <w:sz w:val="28"/>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840A8D">
            <w:pPr>
              <w:jc w:val="center"/>
              <w:rPr>
                <w:b/>
              </w:rPr>
            </w:pPr>
            <w:r>
              <w:rPr>
                <w:b/>
              </w:rPr>
              <w:t>14</w:t>
            </w:r>
          </w:p>
        </w:tc>
        <w:tc>
          <w:tcPr>
            <w:tcW w:w="8363" w:type="dxa"/>
          </w:tcPr>
          <w:p w:rsidR="004B267D" w:rsidRPr="009875C8" w:rsidRDefault="003D2080" w:rsidP="00840A8D">
            <w:r w:rsidRPr="009875C8">
              <w:t>Les récepteurs canaux sont aussi appelés : récepteurs ionotropiques</w:t>
            </w:r>
          </w:p>
        </w:tc>
        <w:tc>
          <w:tcPr>
            <w:tcW w:w="892" w:type="dxa"/>
          </w:tcPr>
          <w:p w:rsidR="004B267D" w:rsidRPr="004B267D" w:rsidRDefault="004B267D" w:rsidP="00F674DC">
            <w:pPr>
              <w:jc w:val="center"/>
              <w:rPr>
                <w:b/>
                <w:color w:val="008000"/>
                <w:sz w:val="28"/>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840A8D">
            <w:pPr>
              <w:jc w:val="center"/>
              <w:rPr>
                <w:b/>
              </w:rPr>
            </w:pPr>
            <w:r>
              <w:rPr>
                <w:b/>
              </w:rPr>
              <w:t>15</w:t>
            </w:r>
          </w:p>
        </w:tc>
        <w:tc>
          <w:tcPr>
            <w:tcW w:w="8363" w:type="dxa"/>
          </w:tcPr>
          <w:p w:rsidR="004B267D" w:rsidRPr="009875C8" w:rsidRDefault="003D2080" w:rsidP="004B267D">
            <w:r w:rsidRPr="009875C8">
              <w:t>Les récepteurs canaux sont polymériques</w:t>
            </w:r>
          </w:p>
        </w:tc>
        <w:tc>
          <w:tcPr>
            <w:tcW w:w="892" w:type="dxa"/>
          </w:tcPr>
          <w:p w:rsidR="004B267D" w:rsidRPr="004B267D" w:rsidRDefault="004B267D" w:rsidP="00F674DC">
            <w:pPr>
              <w:rPr>
                <w:b/>
                <w:color w:val="008000"/>
                <w:sz w:val="28"/>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840A8D">
            <w:pPr>
              <w:jc w:val="center"/>
              <w:rPr>
                <w:b/>
              </w:rPr>
            </w:pPr>
            <w:r>
              <w:rPr>
                <w:b/>
              </w:rPr>
              <w:t>16</w:t>
            </w:r>
          </w:p>
        </w:tc>
        <w:tc>
          <w:tcPr>
            <w:tcW w:w="8363" w:type="dxa"/>
          </w:tcPr>
          <w:p w:rsidR="004B267D" w:rsidRPr="009875C8" w:rsidRDefault="003D2080" w:rsidP="00F674DC">
            <w:r w:rsidRPr="009875C8">
              <w:t xml:space="preserve">Le récepteur canal à acétylcholine est inhibiteur </w:t>
            </w:r>
          </w:p>
        </w:tc>
        <w:tc>
          <w:tcPr>
            <w:tcW w:w="892" w:type="dxa"/>
          </w:tcPr>
          <w:p w:rsidR="004B267D" w:rsidRPr="004B267D" w:rsidRDefault="004B267D" w:rsidP="000F6346">
            <w:pPr>
              <w:jc w:val="center"/>
              <w:rPr>
                <w:b/>
                <w:color w:val="008000"/>
                <w:sz w:val="28"/>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840A8D">
            <w:pPr>
              <w:jc w:val="center"/>
              <w:rPr>
                <w:b/>
              </w:rPr>
            </w:pPr>
            <w:r>
              <w:rPr>
                <w:b/>
              </w:rPr>
              <w:t>17</w:t>
            </w:r>
          </w:p>
        </w:tc>
        <w:tc>
          <w:tcPr>
            <w:tcW w:w="8363" w:type="dxa"/>
          </w:tcPr>
          <w:p w:rsidR="004B267D" w:rsidRPr="009875C8" w:rsidRDefault="003D2080" w:rsidP="00840A8D">
            <w:r w:rsidRPr="009875C8">
              <w:t xml:space="preserve">Joyeux anniversaire à tout ceux qui sont nés juste avant le concours et donc qui risquent de passer une journée de merde à réviser plutôt que de faire la fête ! </w:t>
            </w:r>
            <w:r w:rsidRPr="009875C8">
              <w:rPr>
                <w:b/>
                <w:color w:val="FF6600"/>
                <w:sz w:val="24"/>
              </w:rPr>
              <w:sym w:font="Wingdings" w:char="F027"/>
            </w:r>
            <w:r w:rsidRPr="009875C8">
              <w:rPr>
                <w:b/>
                <w:color w:val="FF6600"/>
                <w:sz w:val="24"/>
              </w:rPr>
              <w:sym w:font="Wingdings" w:char="F027"/>
            </w:r>
          </w:p>
        </w:tc>
        <w:tc>
          <w:tcPr>
            <w:tcW w:w="892" w:type="dxa"/>
          </w:tcPr>
          <w:p w:rsidR="004B267D" w:rsidRPr="00F674DC" w:rsidRDefault="004B267D" w:rsidP="00F674DC">
            <w:pPr>
              <w:rPr>
                <w:b/>
                <w:color w:val="FF6600"/>
                <w:sz w:val="24"/>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840A8D">
            <w:pPr>
              <w:jc w:val="center"/>
              <w:rPr>
                <w:b/>
              </w:rPr>
            </w:pPr>
            <w:r>
              <w:rPr>
                <w:b/>
              </w:rPr>
              <w:t>18</w:t>
            </w:r>
          </w:p>
        </w:tc>
        <w:tc>
          <w:tcPr>
            <w:tcW w:w="8363" w:type="dxa"/>
          </w:tcPr>
          <w:p w:rsidR="004B267D" w:rsidRPr="009875C8" w:rsidRDefault="003D2080" w:rsidP="00840A8D">
            <w:r w:rsidRPr="009875C8">
              <w:t>L’ouverture du récepteur canal Ach permet l’entrée d’ion Ca</w:t>
            </w:r>
            <w:r w:rsidRPr="009875C8">
              <w:rPr>
                <w:vertAlign w:val="superscript"/>
              </w:rPr>
              <w:t xml:space="preserve">2+ </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16"/>
              </w:rPr>
            </w:pPr>
          </w:p>
        </w:tc>
      </w:tr>
      <w:tr w:rsidR="004B267D" w:rsidRPr="007808B6">
        <w:tc>
          <w:tcPr>
            <w:tcW w:w="551" w:type="dxa"/>
          </w:tcPr>
          <w:p w:rsidR="004B267D" w:rsidRPr="00A92A2E" w:rsidRDefault="004B267D" w:rsidP="00840A8D">
            <w:pPr>
              <w:jc w:val="center"/>
              <w:rPr>
                <w:b/>
              </w:rPr>
            </w:pPr>
            <w:r>
              <w:rPr>
                <w:b/>
              </w:rPr>
              <w:t>19</w:t>
            </w:r>
          </w:p>
        </w:tc>
        <w:tc>
          <w:tcPr>
            <w:tcW w:w="8363" w:type="dxa"/>
          </w:tcPr>
          <w:p w:rsidR="004B267D" w:rsidRPr="009875C8" w:rsidRDefault="003D2080" w:rsidP="004B267D">
            <w:r w:rsidRPr="009875C8">
              <w:t>Les curares sont une application thérapeutique des récepteurs canaux à l’acétylcholine</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840A8D">
            <w:pPr>
              <w:jc w:val="center"/>
              <w:rPr>
                <w:b/>
              </w:rPr>
            </w:pPr>
            <w:r>
              <w:rPr>
                <w:b/>
              </w:rPr>
              <w:t>20</w:t>
            </w:r>
          </w:p>
        </w:tc>
        <w:tc>
          <w:tcPr>
            <w:tcW w:w="8363" w:type="dxa"/>
          </w:tcPr>
          <w:p w:rsidR="004B267D" w:rsidRPr="009875C8" w:rsidRDefault="003D2080" w:rsidP="00840A8D">
            <w:pPr>
              <w:rPr>
                <w:vertAlign w:val="superscript"/>
              </w:rPr>
            </w:pPr>
            <w:r w:rsidRPr="009875C8">
              <w:t xml:space="preserve">Les récepteurs </w:t>
            </w:r>
            <w:r w:rsidR="00D254FD" w:rsidRPr="009875C8">
              <w:t xml:space="preserve">canaux </w:t>
            </w:r>
            <w:r w:rsidRPr="009875C8">
              <w:t>au GABA sont inhibiteur car permettent le passage de Cl</w:t>
            </w:r>
            <w:r w:rsidRPr="009875C8">
              <w:rPr>
                <w:vertAlign w:val="superscript"/>
              </w:rPr>
              <w:t>-</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840A8D">
            <w:pPr>
              <w:jc w:val="center"/>
              <w:rPr>
                <w:b/>
              </w:rPr>
            </w:pPr>
            <w:r>
              <w:rPr>
                <w:b/>
              </w:rPr>
              <w:t>21</w:t>
            </w:r>
          </w:p>
        </w:tc>
        <w:tc>
          <w:tcPr>
            <w:tcW w:w="8363" w:type="dxa"/>
          </w:tcPr>
          <w:p w:rsidR="004B267D" w:rsidRPr="009875C8" w:rsidRDefault="00D254FD" w:rsidP="00F674DC">
            <w:r w:rsidRPr="009875C8">
              <w:t>Le récepteur</w:t>
            </w:r>
            <w:r w:rsidR="003D2080" w:rsidRPr="009875C8">
              <w:t xml:space="preserve"> </w:t>
            </w:r>
            <w:r w:rsidRPr="009875C8">
              <w:t xml:space="preserve">canal </w:t>
            </w:r>
            <w:r w:rsidR="003D2080" w:rsidRPr="009875C8">
              <w:t>du glutamate</w:t>
            </w:r>
            <w:r w:rsidRPr="009875C8">
              <w:t xml:space="preserve"> laisse passer les ions Na</w:t>
            </w:r>
            <w:r w:rsidRPr="009875C8">
              <w:rPr>
                <w:vertAlign w:val="superscript"/>
              </w:rPr>
              <w:t>+</w:t>
            </w:r>
            <w:r w:rsidRPr="009875C8">
              <w:t xml:space="preserve"> et K</w:t>
            </w:r>
            <w:r w:rsidRPr="009875C8">
              <w:rPr>
                <w:vertAlign w:val="superscript"/>
              </w:rPr>
              <w:t>+</w:t>
            </w:r>
            <w:r w:rsidRPr="009875C8">
              <w:t>, en contre partie il fait sortir des Cl</w:t>
            </w:r>
            <w:r w:rsidRPr="009875C8">
              <w:rPr>
                <w:vertAlign w:val="superscript"/>
              </w:rPr>
              <w:t xml:space="preserve">-  </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rPr>
            </w:pPr>
          </w:p>
        </w:tc>
      </w:tr>
      <w:tr w:rsidR="004B267D" w:rsidRPr="007808B6">
        <w:tc>
          <w:tcPr>
            <w:tcW w:w="551" w:type="dxa"/>
          </w:tcPr>
          <w:p w:rsidR="004B267D" w:rsidRPr="00A92A2E" w:rsidRDefault="004B267D" w:rsidP="00840A8D">
            <w:pPr>
              <w:jc w:val="center"/>
              <w:rPr>
                <w:b/>
              </w:rPr>
            </w:pPr>
            <w:r>
              <w:rPr>
                <w:b/>
              </w:rPr>
              <w:t>22</w:t>
            </w:r>
          </w:p>
        </w:tc>
        <w:tc>
          <w:tcPr>
            <w:tcW w:w="8363" w:type="dxa"/>
          </w:tcPr>
          <w:p w:rsidR="004B267D" w:rsidRPr="009875C8" w:rsidRDefault="00D254FD" w:rsidP="00840A8D">
            <w:r w:rsidRPr="009875C8">
              <w:t>L’épilepsie est une application clinique des récepteurs canaux au glutamate</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sz w:val="28"/>
              </w:rPr>
            </w:pPr>
          </w:p>
        </w:tc>
      </w:tr>
      <w:tr w:rsidR="004B267D" w:rsidRPr="007808B6">
        <w:tc>
          <w:tcPr>
            <w:tcW w:w="551" w:type="dxa"/>
          </w:tcPr>
          <w:p w:rsidR="004B267D" w:rsidRPr="00A92A2E" w:rsidRDefault="004B267D" w:rsidP="00840A8D">
            <w:pPr>
              <w:jc w:val="center"/>
              <w:rPr>
                <w:b/>
              </w:rPr>
            </w:pPr>
            <w:r>
              <w:rPr>
                <w:b/>
              </w:rPr>
              <w:t>23</w:t>
            </w:r>
          </w:p>
        </w:tc>
        <w:tc>
          <w:tcPr>
            <w:tcW w:w="8363" w:type="dxa"/>
          </w:tcPr>
          <w:p w:rsidR="004B267D" w:rsidRPr="009875C8" w:rsidRDefault="00D254FD" w:rsidP="00840A8D">
            <w:r w:rsidRPr="009875C8">
              <w:t>Les sétrons anti-émétiques touchent les récepteurs à sérotonine et sont particulièrement utile lors de chimiothérapies</w:t>
            </w:r>
          </w:p>
        </w:tc>
        <w:tc>
          <w:tcPr>
            <w:tcW w:w="892" w:type="dxa"/>
          </w:tcPr>
          <w:p w:rsidR="004B267D" w:rsidRPr="004B267D" w:rsidRDefault="004B267D" w:rsidP="000F6346">
            <w:pPr>
              <w:jc w:val="center"/>
              <w:rPr>
                <w:b/>
                <w:color w:val="008000"/>
              </w:rPr>
            </w:pPr>
          </w:p>
        </w:tc>
        <w:tc>
          <w:tcPr>
            <w:tcW w:w="859" w:type="dxa"/>
          </w:tcPr>
          <w:p w:rsidR="004B267D" w:rsidRPr="004B267D" w:rsidRDefault="004B267D" w:rsidP="000F6346">
            <w:pPr>
              <w:jc w:val="center"/>
              <w:rPr>
                <w:b/>
                <w:color w:val="008000"/>
              </w:rPr>
            </w:pPr>
          </w:p>
        </w:tc>
      </w:tr>
      <w:tr w:rsidR="004B267D" w:rsidRPr="007808B6">
        <w:trPr>
          <w:trHeight w:val="160"/>
        </w:trPr>
        <w:tc>
          <w:tcPr>
            <w:tcW w:w="551" w:type="dxa"/>
          </w:tcPr>
          <w:p w:rsidR="004B267D" w:rsidRPr="00A92A2E" w:rsidRDefault="004B267D" w:rsidP="00840A8D">
            <w:pPr>
              <w:jc w:val="center"/>
              <w:rPr>
                <w:b/>
              </w:rPr>
            </w:pPr>
            <w:r>
              <w:rPr>
                <w:b/>
              </w:rPr>
              <w:t>24</w:t>
            </w:r>
          </w:p>
        </w:tc>
        <w:tc>
          <w:tcPr>
            <w:tcW w:w="8363" w:type="dxa"/>
          </w:tcPr>
          <w:p w:rsidR="004B267D" w:rsidRPr="009875C8" w:rsidRDefault="00D254FD" w:rsidP="00840A8D">
            <w:r w:rsidRPr="009875C8">
              <w:t>Les benzodiazépines ont un effet positif sur les récepteurs canaux à GABA</w:t>
            </w:r>
          </w:p>
        </w:tc>
        <w:tc>
          <w:tcPr>
            <w:tcW w:w="892" w:type="dxa"/>
          </w:tcPr>
          <w:p w:rsidR="004B267D" w:rsidRPr="004B267D" w:rsidRDefault="004B267D" w:rsidP="000F6346">
            <w:pPr>
              <w:jc w:val="center"/>
              <w:rPr>
                <w:b/>
                <w:strike/>
                <w:color w:val="008000"/>
              </w:rPr>
            </w:pPr>
          </w:p>
        </w:tc>
        <w:tc>
          <w:tcPr>
            <w:tcW w:w="859" w:type="dxa"/>
          </w:tcPr>
          <w:p w:rsidR="004B267D" w:rsidRPr="004B267D" w:rsidRDefault="004B267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25</w:t>
            </w:r>
          </w:p>
        </w:tc>
        <w:tc>
          <w:tcPr>
            <w:tcW w:w="8363" w:type="dxa"/>
          </w:tcPr>
          <w:p w:rsidR="00D254FD" w:rsidRPr="009875C8" w:rsidRDefault="00D254FD" w:rsidP="00840A8D">
            <w:r w:rsidRPr="009875C8">
              <w:t xml:space="preserve">Le sodium est pas notre ami, par sa faute, ben des fois… on vomi ! </w:t>
            </w:r>
          </w:p>
          <w:p w:rsidR="00D254FD" w:rsidRPr="009875C8" w:rsidRDefault="00D254FD" w:rsidP="00840A8D">
            <w:pPr>
              <w:rPr>
                <w:i/>
              </w:rPr>
            </w:pPr>
            <w:r w:rsidRPr="009875C8">
              <w:rPr>
                <w:i/>
              </w:rPr>
              <w:t>L’entrée de Na par les récepteurs canaux à sérotonine dans une zone particulière du Tronc Cérébral entraine-t-elle le reflex de vomissement ?</w:t>
            </w:r>
          </w:p>
        </w:tc>
        <w:tc>
          <w:tcPr>
            <w:tcW w:w="892" w:type="dxa"/>
          </w:tcPr>
          <w:p w:rsidR="00D254FD" w:rsidRPr="004B267D" w:rsidRDefault="00D254FD" w:rsidP="000F6346">
            <w:pPr>
              <w:jc w:val="center"/>
              <w:rPr>
                <w:b/>
                <w:strike/>
                <w:color w:val="008000"/>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26</w:t>
            </w:r>
          </w:p>
        </w:tc>
        <w:tc>
          <w:tcPr>
            <w:tcW w:w="8363" w:type="dxa"/>
          </w:tcPr>
          <w:p w:rsidR="00D254FD" w:rsidRPr="009875C8" w:rsidRDefault="000F6346" w:rsidP="00F674DC">
            <w:r w:rsidRPr="009875C8">
              <w:t>Les récepteurs couplés aux protéines G sont composés d’un segment N-term en extra-C</w:t>
            </w:r>
            <w:r w:rsidRPr="009875C8">
              <w:rPr>
                <w:vertAlign w:val="superscript"/>
              </w:rPr>
              <w:t>R</w:t>
            </w:r>
            <w:r w:rsidRPr="009875C8">
              <w:t>, il y a 7 traversées transmembranaires avant d’atteindre le segment C-term en intra-C</w:t>
            </w:r>
            <w:r w:rsidRPr="009875C8">
              <w:rPr>
                <w:vertAlign w:val="superscript"/>
              </w:rPr>
              <w:t>R</w:t>
            </w:r>
            <w:r w:rsidRPr="009875C8">
              <w:t>, la protéine G est en intra-C</w:t>
            </w:r>
            <w:r w:rsidRPr="009875C8">
              <w:rPr>
                <w:vertAlign w:val="superscript"/>
              </w:rPr>
              <w:t>R</w:t>
            </w:r>
            <w:r w:rsidRPr="009875C8">
              <w:t xml:space="preserve"> et ira activer un effecteur également à l’intérieur de la cellule qui donnera un second messager responsable de la réponse cellulaire, les RCPG sont donc polymériques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27</w:t>
            </w:r>
          </w:p>
        </w:tc>
        <w:tc>
          <w:tcPr>
            <w:tcW w:w="8363" w:type="dxa"/>
          </w:tcPr>
          <w:p w:rsidR="00D254FD" w:rsidRPr="009875C8" w:rsidRDefault="000F6346" w:rsidP="00F674DC">
            <w:r w:rsidRPr="009875C8">
              <w:t xml:space="preserve">La protéine Gt a pour effecteur la phospholipase C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28</w:t>
            </w:r>
          </w:p>
        </w:tc>
        <w:tc>
          <w:tcPr>
            <w:tcW w:w="8363" w:type="dxa"/>
          </w:tcPr>
          <w:p w:rsidR="00D254FD" w:rsidRPr="009875C8" w:rsidRDefault="00941349" w:rsidP="00F674DC">
            <w:r w:rsidRPr="009875C8">
              <w:t>La protéine Gs</w:t>
            </w:r>
            <w:r w:rsidR="000F6346" w:rsidRPr="009875C8">
              <w:t xml:space="preserve"> a pour effecteur l’adénylate kinase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29</w:t>
            </w:r>
          </w:p>
        </w:tc>
        <w:tc>
          <w:tcPr>
            <w:tcW w:w="8363" w:type="dxa"/>
          </w:tcPr>
          <w:p w:rsidR="00D254FD" w:rsidRPr="009875C8" w:rsidRDefault="00941349" w:rsidP="00840A8D">
            <w:r w:rsidRPr="009875C8">
              <w:t xml:space="preserve">La protéine Gp a pour seconds messagers au final l’IP3 et le DAG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30</w:t>
            </w:r>
          </w:p>
        </w:tc>
        <w:tc>
          <w:tcPr>
            <w:tcW w:w="8363" w:type="dxa"/>
          </w:tcPr>
          <w:p w:rsidR="00D254FD" w:rsidRPr="009875C8" w:rsidRDefault="00941349" w:rsidP="00840A8D">
            <w:r w:rsidRPr="009875C8">
              <w:t>Les canaux voltages dépendants sont activés par des différences de potentiel membranaire</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31</w:t>
            </w:r>
          </w:p>
        </w:tc>
        <w:tc>
          <w:tcPr>
            <w:tcW w:w="8363" w:type="dxa"/>
          </w:tcPr>
          <w:p w:rsidR="00D254FD" w:rsidRPr="009875C8" w:rsidRDefault="00941349" w:rsidP="00F674DC">
            <w:r w:rsidRPr="009875C8">
              <w:t xml:space="preserve">Les canaux sodiques ont comme application thérapeutique les antiépileptiques, ces mdts sont des agonistes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32</w:t>
            </w:r>
          </w:p>
        </w:tc>
        <w:tc>
          <w:tcPr>
            <w:tcW w:w="8363" w:type="dxa"/>
          </w:tcPr>
          <w:p w:rsidR="00D254FD" w:rsidRPr="009875C8" w:rsidRDefault="00941349" w:rsidP="00840A8D">
            <w:r w:rsidRPr="009875C8">
              <w:t>Les anti-calciques vont bloquer les canaux calciques dans les cellules lises musculaires provoquant une relaxation de ces cellules et une vasodilatation des vaisseaux</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33</w:t>
            </w:r>
          </w:p>
        </w:tc>
        <w:tc>
          <w:tcPr>
            <w:tcW w:w="8363" w:type="dxa"/>
          </w:tcPr>
          <w:p w:rsidR="00D254FD" w:rsidRPr="009875C8" w:rsidRDefault="00941349" w:rsidP="00840A8D">
            <w:r w:rsidRPr="009875C8">
              <w:t xml:space="preserve">Les canaux potassiques sensibles aux messagers intracellulaires vont s’ouvrir lors de la présence d’ATP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34</w:t>
            </w:r>
          </w:p>
        </w:tc>
        <w:tc>
          <w:tcPr>
            <w:tcW w:w="8363" w:type="dxa"/>
          </w:tcPr>
          <w:p w:rsidR="00D254FD" w:rsidRPr="009875C8" w:rsidRDefault="00941349" w:rsidP="00840A8D">
            <w:r w:rsidRPr="009875C8">
              <w:t xml:space="preserve">La transduction de l’information dans les canaux ioniques est extrêmement rapide grâce </w:t>
            </w:r>
            <w:r w:rsidR="00F674DC" w:rsidRPr="009875C8">
              <w:t>à  leur</w:t>
            </w:r>
            <w:r w:rsidRPr="009875C8">
              <w:t xml:space="preserve"> désensibilisation rapide</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35</w:t>
            </w:r>
          </w:p>
        </w:tc>
        <w:tc>
          <w:tcPr>
            <w:tcW w:w="8363" w:type="dxa"/>
          </w:tcPr>
          <w:p w:rsidR="00D254FD" w:rsidRPr="009875C8" w:rsidRDefault="006547B1" w:rsidP="00840A8D">
            <w:r w:rsidRPr="009875C8">
              <w:t>Les pompes nécessitent de l’énergie contrairement aux transporteurs</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36</w:t>
            </w:r>
          </w:p>
        </w:tc>
        <w:tc>
          <w:tcPr>
            <w:tcW w:w="8363" w:type="dxa"/>
          </w:tcPr>
          <w:p w:rsidR="00D254FD" w:rsidRPr="009875C8" w:rsidRDefault="006547B1" w:rsidP="00840A8D">
            <w:r w:rsidRPr="009875C8">
              <w:t>Les diurétiques sont un exemple d’inhibiteur d’un transporteur, ils bloquent les transporteurs sodiques rénaux</w:t>
            </w:r>
          </w:p>
        </w:tc>
        <w:tc>
          <w:tcPr>
            <w:tcW w:w="892" w:type="dxa"/>
          </w:tcPr>
          <w:p w:rsidR="00D254FD" w:rsidRPr="004B267D" w:rsidRDefault="00D254FD" w:rsidP="007C2C98">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37</w:t>
            </w:r>
          </w:p>
        </w:tc>
        <w:tc>
          <w:tcPr>
            <w:tcW w:w="8363" w:type="dxa"/>
          </w:tcPr>
          <w:p w:rsidR="00D254FD" w:rsidRPr="009875C8" w:rsidRDefault="006547B1" w:rsidP="007C2C98">
            <w:r w:rsidRPr="009875C8">
              <w:t xml:space="preserve">Les anti-ucléreux inhibe </w:t>
            </w:r>
            <w:r w:rsidR="0094417D" w:rsidRPr="009875C8">
              <w:t xml:space="preserve">des transporteurs pour augmenter le pH gastrique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38</w:t>
            </w:r>
          </w:p>
        </w:tc>
        <w:tc>
          <w:tcPr>
            <w:tcW w:w="8363" w:type="dxa"/>
          </w:tcPr>
          <w:p w:rsidR="00D254FD" w:rsidRPr="009875C8" w:rsidRDefault="0094417D" w:rsidP="00840A8D">
            <w:r w:rsidRPr="009875C8">
              <w:t>La digoxine est administré dans l’insuffisance cardiaque (cœur n’envoyant pas assez de sang dans la circulation sanguine) car elle entraine une inversion du gradient ionique  provoquant à terme une accumulation du Ca en intra cellulaire et donc une contraction plus forte</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39</w:t>
            </w:r>
          </w:p>
        </w:tc>
        <w:tc>
          <w:tcPr>
            <w:tcW w:w="8363" w:type="dxa"/>
          </w:tcPr>
          <w:p w:rsidR="00D254FD" w:rsidRPr="009875C8" w:rsidRDefault="0094417D" w:rsidP="00840A8D">
            <w:r w:rsidRPr="009875C8">
              <w:t>Les systèmes de recapture sont principalement dans le SNC et concernent la recapture de neuromédiateur</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40</w:t>
            </w:r>
          </w:p>
        </w:tc>
        <w:tc>
          <w:tcPr>
            <w:tcW w:w="8363" w:type="dxa"/>
          </w:tcPr>
          <w:p w:rsidR="00D254FD" w:rsidRPr="009875C8" w:rsidRDefault="0094417D" w:rsidP="00840A8D">
            <w:r w:rsidRPr="009875C8">
              <w:t>L’inhibition de la recapture de neuromédiateurs est utilisée dans les antidépresseurs</w:t>
            </w:r>
            <w:r w:rsidR="00BD5236" w:rsidRPr="009875C8">
              <w:t>, pour augmenter la concentration de neuromédiateurs dans la fente synaptique</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41</w:t>
            </w:r>
          </w:p>
        </w:tc>
        <w:tc>
          <w:tcPr>
            <w:tcW w:w="8363" w:type="dxa"/>
          </w:tcPr>
          <w:p w:rsidR="00D254FD" w:rsidRPr="009875C8" w:rsidRDefault="00BD5236" w:rsidP="007C2C98">
            <w:r w:rsidRPr="009875C8">
              <w:t xml:space="preserve">L’inhibiteur de l’anhydrase carbonique est utilisé dans la goutte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42</w:t>
            </w:r>
          </w:p>
        </w:tc>
        <w:tc>
          <w:tcPr>
            <w:tcW w:w="8363" w:type="dxa"/>
          </w:tcPr>
          <w:p w:rsidR="00D254FD" w:rsidRPr="009875C8" w:rsidRDefault="00BD5236" w:rsidP="007C2C98">
            <w:r w:rsidRPr="009875C8">
              <w:t xml:space="preserve">L’inhibiteur de la xanthine oxidase est utilisé dans la maladie de parkison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43</w:t>
            </w:r>
          </w:p>
        </w:tc>
        <w:tc>
          <w:tcPr>
            <w:tcW w:w="8363" w:type="dxa"/>
          </w:tcPr>
          <w:p w:rsidR="00D254FD" w:rsidRPr="009875C8" w:rsidRDefault="00BD5236" w:rsidP="00840A8D">
            <w:r w:rsidRPr="009875C8">
              <w:t>Le blocage du cycle d’oxydo-réduction de la vitamine K est utilisé dans les anticoagulants</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44</w:t>
            </w:r>
          </w:p>
        </w:tc>
        <w:tc>
          <w:tcPr>
            <w:tcW w:w="8363" w:type="dxa"/>
          </w:tcPr>
          <w:p w:rsidR="00D254FD" w:rsidRPr="009875C8" w:rsidRDefault="00BD5236" w:rsidP="00840A8D">
            <w:r w:rsidRPr="009875C8">
              <w:t>L’Aspirine bloque la cyclo-oxygenase et son utilisé dans les maladies inflammatoires</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45</w:t>
            </w:r>
          </w:p>
        </w:tc>
        <w:tc>
          <w:tcPr>
            <w:tcW w:w="8363" w:type="dxa"/>
          </w:tcPr>
          <w:p w:rsidR="00D254FD" w:rsidRPr="009875C8" w:rsidRDefault="00BD5236" w:rsidP="00840A8D">
            <w:r w:rsidRPr="009875C8">
              <w:t>Les inhibiteurs de la dopa-décarboxylase périphérique sont utilisés dans la maladie de Parkinson</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46</w:t>
            </w:r>
          </w:p>
        </w:tc>
        <w:tc>
          <w:tcPr>
            <w:tcW w:w="8363" w:type="dxa"/>
          </w:tcPr>
          <w:p w:rsidR="00D254FD" w:rsidRPr="009875C8" w:rsidRDefault="00BD5236" w:rsidP="00840A8D">
            <w:r w:rsidRPr="009875C8">
              <w:t>Les inhibiteurs de l’ADN polymérase sont utilisés comme anti-cancéreux</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47</w:t>
            </w:r>
          </w:p>
        </w:tc>
        <w:tc>
          <w:tcPr>
            <w:tcW w:w="8363" w:type="dxa"/>
          </w:tcPr>
          <w:p w:rsidR="00D254FD" w:rsidRPr="009875C8" w:rsidRDefault="007C2C98" w:rsidP="00840A8D">
            <w:r>
              <w:t>L’</w:t>
            </w:r>
            <w:r w:rsidR="00BD5236" w:rsidRPr="009875C8">
              <w:t>inhibiteurs de la Catéc</w:t>
            </w:r>
            <w:r>
              <w:t>hol-O-Méthyl-Transférase est utilisé</w:t>
            </w:r>
            <w:r w:rsidR="00BD5236" w:rsidRPr="009875C8">
              <w:t xml:space="preserve"> dans la maladie de parkinson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48</w:t>
            </w:r>
          </w:p>
        </w:tc>
        <w:tc>
          <w:tcPr>
            <w:tcW w:w="8363" w:type="dxa"/>
          </w:tcPr>
          <w:p w:rsidR="00D254FD" w:rsidRPr="009875C8" w:rsidRDefault="007C2C98" w:rsidP="007C2C98">
            <w:r>
              <w:t>L’inhibiteur</w:t>
            </w:r>
            <w:r w:rsidR="00BD5236" w:rsidRPr="009875C8">
              <w:t xml:space="preserve"> de l’enzyme de con</w:t>
            </w:r>
            <w:r>
              <w:t>version de l’angiotensine est utilisé</w:t>
            </w:r>
            <w:r w:rsidR="00BD5236" w:rsidRPr="009875C8">
              <w:t xml:space="preserve"> dans la tachycardie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49</w:t>
            </w:r>
          </w:p>
        </w:tc>
        <w:tc>
          <w:tcPr>
            <w:tcW w:w="8363" w:type="dxa"/>
          </w:tcPr>
          <w:p w:rsidR="00D254FD" w:rsidRPr="009875C8" w:rsidRDefault="00BD5236" w:rsidP="007C2C98">
            <w:r w:rsidRPr="009875C8">
              <w:t xml:space="preserve">Les enzymes dont je pare juste au dessus sont transmembranaires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D254FD" w:rsidP="00840A8D">
            <w:pPr>
              <w:jc w:val="center"/>
              <w:rPr>
                <w:b/>
              </w:rPr>
            </w:pPr>
            <w:r>
              <w:rPr>
                <w:b/>
              </w:rPr>
              <w:t>50</w:t>
            </w:r>
          </w:p>
        </w:tc>
        <w:tc>
          <w:tcPr>
            <w:tcW w:w="8363" w:type="dxa"/>
          </w:tcPr>
          <w:p w:rsidR="00D254FD" w:rsidRPr="009875C8" w:rsidRDefault="000F6346" w:rsidP="00840A8D">
            <w:r w:rsidRPr="009875C8">
              <w:t>Je suis fatigué</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94417D" w:rsidP="00840A8D">
            <w:pPr>
              <w:jc w:val="center"/>
              <w:rPr>
                <w:b/>
              </w:rPr>
            </w:pPr>
            <w:r>
              <w:rPr>
                <w:b/>
              </w:rPr>
              <w:t>51</w:t>
            </w:r>
          </w:p>
        </w:tc>
        <w:tc>
          <w:tcPr>
            <w:tcW w:w="8363" w:type="dxa"/>
          </w:tcPr>
          <w:p w:rsidR="00D254FD" w:rsidRPr="009875C8" w:rsidRDefault="0094417D" w:rsidP="00840A8D">
            <w:r w:rsidRPr="009875C8">
              <w:t>Au diable la pharmaco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D254FD" w:rsidRPr="007808B6">
        <w:trPr>
          <w:trHeight w:val="236"/>
        </w:trPr>
        <w:tc>
          <w:tcPr>
            <w:tcW w:w="551" w:type="dxa"/>
          </w:tcPr>
          <w:p w:rsidR="00D254FD" w:rsidRDefault="009875C8" w:rsidP="00840A8D">
            <w:pPr>
              <w:jc w:val="center"/>
              <w:rPr>
                <w:b/>
              </w:rPr>
            </w:pPr>
            <w:r>
              <w:rPr>
                <w:b/>
              </w:rPr>
              <w:t>52</w:t>
            </w:r>
          </w:p>
        </w:tc>
        <w:tc>
          <w:tcPr>
            <w:tcW w:w="8363" w:type="dxa"/>
          </w:tcPr>
          <w:p w:rsidR="00D254FD" w:rsidRPr="009875C8" w:rsidRDefault="009875C8" w:rsidP="007C2C98">
            <w:r w:rsidRPr="009875C8">
              <w:t>L’inhibiteur des mono-amine-oxydase (MAO) A et B</w:t>
            </w:r>
            <w:r>
              <w:t xml:space="preserve"> est utilisé comme traitement de la maladie de Parkinson </w:t>
            </w:r>
          </w:p>
        </w:tc>
        <w:tc>
          <w:tcPr>
            <w:tcW w:w="892" w:type="dxa"/>
          </w:tcPr>
          <w:p w:rsidR="00D254FD" w:rsidRPr="004B267D" w:rsidRDefault="00D254FD" w:rsidP="000F6346">
            <w:pPr>
              <w:jc w:val="center"/>
              <w:rPr>
                <w:b/>
                <w:color w:val="008000"/>
                <w:sz w:val="28"/>
              </w:rPr>
            </w:pPr>
          </w:p>
        </w:tc>
        <w:tc>
          <w:tcPr>
            <w:tcW w:w="859" w:type="dxa"/>
          </w:tcPr>
          <w:p w:rsidR="00D254FD" w:rsidRPr="004B267D" w:rsidRDefault="00D254FD" w:rsidP="000F6346">
            <w:pPr>
              <w:jc w:val="center"/>
              <w:rPr>
                <w:b/>
                <w:color w:val="008000"/>
                <w:sz w:val="28"/>
              </w:rPr>
            </w:pPr>
          </w:p>
        </w:tc>
      </w:tr>
      <w:tr w:rsidR="009875C8" w:rsidRPr="007808B6">
        <w:trPr>
          <w:trHeight w:val="236"/>
        </w:trPr>
        <w:tc>
          <w:tcPr>
            <w:tcW w:w="551" w:type="dxa"/>
          </w:tcPr>
          <w:p w:rsidR="009875C8" w:rsidRDefault="009875C8" w:rsidP="009875C8">
            <w:pPr>
              <w:jc w:val="center"/>
              <w:rPr>
                <w:b/>
              </w:rPr>
            </w:pPr>
            <w:r>
              <w:rPr>
                <w:b/>
              </w:rPr>
              <w:t>53</w:t>
            </w:r>
          </w:p>
        </w:tc>
        <w:tc>
          <w:tcPr>
            <w:tcW w:w="8363" w:type="dxa"/>
          </w:tcPr>
          <w:p w:rsidR="009875C8" w:rsidRDefault="009875C8" w:rsidP="009875C8">
            <w:r>
              <w:t>Vous n’avez pas besoin de prendre d’i</w:t>
            </w:r>
            <w:r w:rsidRPr="0018357D">
              <w:rPr>
                <w:rFonts w:ascii="Calibri" w:hAnsi="Calibri"/>
              </w:rPr>
              <w:t xml:space="preserve">nhibiteur de </w:t>
            </w:r>
            <w:r>
              <w:rPr>
                <w:rFonts w:ascii="Calibri" w:hAnsi="Calibri"/>
              </w:rPr>
              <w:t xml:space="preserve">la </w:t>
            </w:r>
            <w:r w:rsidRPr="0018357D">
              <w:rPr>
                <w:rFonts w:ascii="Calibri" w:hAnsi="Calibri"/>
              </w:rPr>
              <w:t>phosphodiestérase</w:t>
            </w:r>
          </w:p>
        </w:tc>
        <w:tc>
          <w:tcPr>
            <w:tcW w:w="892" w:type="dxa"/>
          </w:tcPr>
          <w:p w:rsidR="009875C8" w:rsidRPr="004B267D" w:rsidRDefault="009875C8" w:rsidP="009875C8">
            <w:pPr>
              <w:jc w:val="center"/>
              <w:rPr>
                <w:b/>
                <w:color w:val="008000"/>
                <w:sz w:val="28"/>
              </w:rPr>
            </w:pPr>
          </w:p>
        </w:tc>
        <w:tc>
          <w:tcPr>
            <w:tcW w:w="859" w:type="dxa"/>
          </w:tcPr>
          <w:p w:rsidR="009875C8" w:rsidRPr="004B267D" w:rsidRDefault="009875C8" w:rsidP="009875C8">
            <w:pPr>
              <w:jc w:val="center"/>
              <w:rPr>
                <w:b/>
                <w:color w:val="008000"/>
                <w:sz w:val="28"/>
              </w:rPr>
            </w:pPr>
          </w:p>
        </w:tc>
      </w:tr>
      <w:tr w:rsidR="009875C8" w:rsidRPr="007808B6">
        <w:trPr>
          <w:trHeight w:val="236"/>
        </w:trPr>
        <w:tc>
          <w:tcPr>
            <w:tcW w:w="551" w:type="dxa"/>
          </w:tcPr>
          <w:p w:rsidR="009875C8" w:rsidRDefault="009875C8" w:rsidP="009875C8">
            <w:pPr>
              <w:jc w:val="center"/>
              <w:rPr>
                <w:b/>
              </w:rPr>
            </w:pPr>
            <w:r>
              <w:rPr>
                <w:b/>
              </w:rPr>
              <w:t>54</w:t>
            </w:r>
          </w:p>
        </w:tc>
        <w:tc>
          <w:tcPr>
            <w:tcW w:w="8363" w:type="dxa"/>
          </w:tcPr>
          <w:p w:rsidR="009875C8" w:rsidRDefault="009875C8" w:rsidP="007C2C98">
            <w:r>
              <w:t xml:space="preserve">L’inhibiteur de la MAO-B est un traitement antidépresseur </w:t>
            </w:r>
          </w:p>
        </w:tc>
        <w:tc>
          <w:tcPr>
            <w:tcW w:w="892" w:type="dxa"/>
          </w:tcPr>
          <w:p w:rsidR="009875C8" w:rsidRPr="004B267D" w:rsidRDefault="009875C8" w:rsidP="009875C8">
            <w:pPr>
              <w:jc w:val="center"/>
              <w:rPr>
                <w:b/>
                <w:color w:val="008000"/>
                <w:sz w:val="28"/>
              </w:rPr>
            </w:pPr>
          </w:p>
        </w:tc>
        <w:tc>
          <w:tcPr>
            <w:tcW w:w="859" w:type="dxa"/>
          </w:tcPr>
          <w:p w:rsidR="009875C8" w:rsidRPr="004B267D" w:rsidRDefault="009875C8" w:rsidP="009875C8">
            <w:pPr>
              <w:jc w:val="center"/>
              <w:rPr>
                <w:b/>
                <w:color w:val="008000"/>
                <w:sz w:val="28"/>
              </w:rPr>
            </w:pPr>
          </w:p>
        </w:tc>
      </w:tr>
      <w:tr w:rsidR="009875C8" w:rsidRPr="007808B6">
        <w:trPr>
          <w:trHeight w:val="236"/>
        </w:trPr>
        <w:tc>
          <w:tcPr>
            <w:tcW w:w="551" w:type="dxa"/>
          </w:tcPr>
          <w:p w:rsidR="009875C8" w:rsidRDefault="009875C8" w:rsidP="009875C8">
            <w:pPr>
              <w:jc w:val="center"/>
              <w:rPr>
                <w:b/>
              </w:rPr>
            </w:pPr>
            <w:r>
              <w:rPr>
                <w:b/>
              </w:rPr>
              <w:t>55</w:t>
            </w:r>
          </w:p>
        </w:tc>
        <w:tc>
          <w:tcPr>
            <w:tcW w:w="8363" w:type="dxa"/>
          </w:tcPr>
          <w:p w:rsidR="009875C8" w:rsidRDefault="009875C8" w:rsidP="009875C8">
            <w:r>
              <w:t>Les inhibiteurs de l’HMG-CoA réductase sont des hypocholéstérolémiants</w:t>
            </w:r>
          </w:p>
        </w:tc>
        <w:tc>
          <w:tcPr>
            <w:tcW w:w="892" w:type="dxa"/>
          </w:tcPr>
          <w:p w:rsidR="009875C8" w:rsidRPr="004B267D" w:rsidRDefault="009875C8" w:rsidP="009875C8">
            <w:pPr>
              <w:jc w:val="center"/>
              <w:rPr>
                <w:b/>
                <w:color w:val="008000"/>
                <w:sz w:val="28"/>
              </w:rPr>
            </w:pPr>
          </w:p>
        </w:tc>
        <w:tc>
          <w:tcPr>
            <w:tcW w:w="859" w:type="dxa"/>
          </w:tcPr>
          <w:p w:rsidR="009875C8" w:rsidRPr="004B267D" w:rsidRDefault="009875C8" w:rsidP="009875C8">
            <w:pPr>
              <w:jc w:val="center"/>
              <w:rPr>
                <w:b/>
                <w:color w:val="008000"/>
                <w:sz w:val="28"/>
              </w:rPr>
            </w:pPr>
          </w:p>
        </w:tc>
      </w:tr>
      <w:tr w:rsidR="007F66FD" w:rsidRPr="007808B6">
        <w:trPr>
          <w:trHeight w:val="236"/>
        </w:trPr>
        <w:tc>
          <w:tcPr>
            <w:tcW w:w="551" w:type="dxa"/>
          </w:tcPr>
          <w:p w:rsidR="007F66FD" w:rsidRDefault="007F66FD" w:rsidP="007F66FD">
            <w:pPr>
              <w:jc w:val="center"/>
              <w:rPr>
                <w:b/>
              </w:rPr>
            </w:pPr>
            <w:r>
              <w:rPr>
                <w:b/>
              </w:rPr>
              <w:t>56</w:t>
            </w:r>
          </w:p>
        </w:tc>
        <w:tc>
          <w:tcPr>
            <w:tcW w:w="8363" w:type="dxa"/>
          </w:tcPr>
          <w:p w:rsidR="007F66FD" w:rsidRDefault="007F66FD" w:rsidP="007F66FD">
            <w:r>
              <w:t>Les récepteurs nucléaires sont monomériques divisés en 3 zones (si vrai, citez les</w:t>
            </w:r>
            <w:r w:rsidR="005F6718">
              <w:t xml:space="preserve"> et leur f°</w:t>
            </w:r>
            <w:r>
              <w:t>)</w:t>
            </w:r>
          </w:p>
        </w:tc>
        <w:tc>
          <w:tcPr>
            <w:tcW w:w="892" w:type="dxa"/>
          </w:tcPr>
          <w:p w:rsidR="007F66FD" w:rsidRPr="004B267D" w:rsidRDefault="007F66FD" w:rsidP="007F66FD">
            <w:pPr>
              <w:jc w:val="center"/>
              <w:rPr>
                <w:b/>
                <w:color w:val="008000"/>
                <w:sz w:val="28"/>
              </w:rPr>
            </w:pPr>
          </w:p>
        </w:tc>
        <w:tc>
          <w:tcPr>
            <w:tcW w:w="859" w:type="dxa"/>
          </w:tcPr>
          <w:p w:rsidR="007F66FD" w:rsidRPr="004B267D" w:rsidRDefault="007F66FD" w:rsidP="007F66FD">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57</w:t>
            </w:r>
          </w:p>
        </w:tc>
        <w:tc>
          <w:tcPr>
            <w:tcW w:w="8363" w:type="dxa"/>
          </w:tcPr>
          <w:p w:rsidR="005F6718" w:rsidRDefault="005F6718" w:rsidP="005F6718">
            <w:r>
              <w:t>Les oligonucléotides antisens agissent sur le cytomégalovirus qui peut conduire à la perte de la vue chez les patients immunodéprimés</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58</w:t>
            </w:r>
          </w:p>
        </w:tc>
        <w:tc>
          <w:tcPr>
            <w:tcW w:w="8363" w:type="dxa"/>
          </w:tcPr>
          <w:p w:rsidR="005F6718" w:rsidRDefault="005F6718" w:rsidP="005F6718">
            <w:r>
              <w:t>Les agents intercalants bloquent la prolifération cellulaire</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59</w:t>
            </w:r>
          </w:p>
        </w:tc>
        <w:tc>
          <w:tcPr>
            <w:tcW w:w="8363" w:type="dxa"/>
          </w:tcPr>
          <w:p w:rsidR="005F6718" w:rsidRDefault="005F6718" w:rsidP="005F6718">
            <w:r>
              <w:t xml:space="preserve">Les médicaments alkylants vont bloquer la réplication de l’ADN </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60</w:t>
            </w:r>
          </w:p>
        </w:tc>
        <w:tc>
          <w:tcPr>
            <w:tcW w:w="8363" w:type="dxa"/>
          </w:tcPr>
          <w:p w:rsidR="005F6718" w:rsidRDefault="005F6718" w:rsidP="007C2C98">
            <w:r>
              <w:t xml:space="preserve">Le délai de transmission des récepteurs nucléaires est court </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61</w:t>
            </w:r>
          </w:p>
        </w:tc>
        <w:tc>
          <w:tcPr>
            <w:tcW w:w="8363" w:type="dxa"/>
          </w:tcPr>
          <w:p w:rsidR="005F6718" w:rsidRDefault="005F6718" w:rsidP="007C2C98">
            <w:r>
              <w:t xml:space="preserve">Les anticorps monoclonaux inhibent parfois leur cible, </w:t>
            </w:r>
            <w:r w:rsidRPr="005F6718">
              <w:t>ils sont utilisés en immunologie et cancérologie</w:t>
            </w:r>
            <w:r>
              <w:t xml:space="preserve"> </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62</w:t>
            </w:r>
          </w:p>
        </w:tc>
        <w:tc>
          <w:tcPr>
            <w:tcW w:w="8363" w:type="dxa"/>
          </w:tcPr>
          <w:p w:rsidR="005F6718" w:rsidRDefault="005F6718" w:rsidP="007C2C98">
            <w:r>
              <w:t xml:space="preserve">Le MAB anti-VEGF supprime les réactions immunitaires </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63</w:t>
            </w:r>
          </w:p>
        </w:tc>
        <w:tc>
          <w:tcPr>
            <w:tcW w:w="8363" w:type="dxa"/>
          </w:tcPr>
          <w:p w:rsidR="005F6718" w:rsidRDefault="005F6718" w:rsidP="007C2C98">
            <w:r>
              <w:t xml:space="preserve">Le bicarbonate de Na est un anti-acide utilisé dans les ulcéres gastroduodénaux pour diminuer le pH </w:t>
            </w:r>
          </w:p>
        </w:tc>
        <w:tc>
          <w:tcPr>
            <w:tcW w:w="892" w:type="dxa"/>
          </w:tcPr>
          <w:p w:rsidR="005F6718" w:rsidRPr="004B267D" w:rsidRDefault="005F6718" w:rsidP="005F6718">
            <w:pPr>
              <w:jc w:val="center"/>
              <w:rPr>
                <w:b/>
                <w:color w:val="008000"/>
                <w:sz w:val="28"/>
              </w:rPr>
            </w:pPr>
            <w:r>
              <w:rPr>
                <w:b/>
                <w:color w:val="008000"/>
                <w:sz w:val="28"/>
              </w:rPr>
              <w:t xml:space="preserve"> </w:t>
            </w: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64</w:t>
            </w:r>
          </w:p>
        </w:tc>
        <w:tc>
          <w:tcPr>
            <w:tcW w:w="8363" w:type="dxa"/>
          </w:tcPr>
          <w:p w:rsidR="005F6718" w:rsidRDefault="005F6718" w:rsidP="005F6718">
            <w:r>
              <w:t>La cholestyramine permet la réduction de la cholestérolémie</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5F6718" w:rsidRPr="007808B6">
        <w:trPr>
          <w:trHeight w:val="236"/>
        </w:trPr>
        <w:tc>
          <w:tcPr>
            <w:tcW w:w="551" w:type="dxa"/>
          </w:tcPr>
          <w:p w:rsidR="005F6718" w:rsidRDefault="005F6718" w:rsidP="005F6718">
            <w:pPr>
              <w:jc w:val="center"/>
              <w:rPr>
                <w:b/>
              </w:rPr>
            </w:pPr>
            <w:r>
              <w:rPr>
                <w:b/>
              </w:rPr>
              <w:t>65</w:t>
            </w:r>
          </w:p>
        </w:tc>
        <w:tc>
          <w:tcPr>
            <w:tcW w:w="8363" w:type="dxa"/>
          </w:tcPr>
          <w:p w:rsidR="005F6718" w:rsidRDefault="005013DE" w:rsidP="007C2C98">
            <w:r>
              <w:t xml:space="preserve">Le mannitol est administré pour compenser l’immaturité pulmonaire du prématuré </w:t>
            </w:r>
          </w:p>
        </w:tc>
        <w:tc>
          <w:tcPr>
            <w:tcW w:w="892" w:type="dxa"/>
          </w:tcPr>
          <w:p w:rsidR="005F6718" w:rsidRPr="004B267D" w:rsidRDefault="005F6718" w:rsidP="005F6718">
            <w:pPr>
              <w:jc w:val="center"/>
              <w:rPr>
                <w:b/>
                <w:color w:val="008000"/>
                <w:sz w:val="28"/>
              </w:rPr>
            </w:pPr>
          </w:p>
        </w:tc>
        <w:tc>
          <w:tcPr>
            <w:tcW w:w="859" w:type="dxa"/>
          </w:tcPr>
          <w:p w:rsidR="005F6718" w:rsidRPr="004B267D" w:rsidRDefault="005F671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66</w:t>
            </w:r>
          </w:p>
        </w:tc>
        <w:tc>
          <w:tcPr>
            <w:tcW w:w="8363" w:type="dxa"/>
          </w:tcPr>
          <w:p w:rsidR="007C2C98" w:rsidRPr="008053D4" w:rsidRDefault="008053D4" w:rsidP="007C2C98">
            <w:r w:rsidRPr="008053D4">
              <w:t>L’ANSM</w:t>
            </w:r>
            <w:r>
              <w:t>, remplaçante de l’AFSSAPS</w:t>
            </w:r>
            <w:r w:rsidRPr="008053D4">
              <w:t xml:space="preserve"> a été créé en 2011</w:t>
            </w:r>
            <w:r>
              <w:t>, elle est financée par les subventions de l’État</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67</w:t>
            </w:r>
          </w:p>
        </w:tc>
        <w:tc>
          <w:tcPr>
            <w:tcW w:w="8363" w:type="dxa"/>
          </w:tcPr>
          <w:p w:rsidR="007C2C98" w:rsidRPr="008053D4" w:rsidRDefault="008053D4" w:rsidP="007C2C98">
            <w:r w:rsidRPr="008053D4">
              <w:t>L’ANSM est un établissement public administratif sous la tutelle du ministère de la santé</w:t>
            </w:r>
            <w:r>
              <w:t>, elle a été créée pour renforcer la sécurité sanitaire du mdt et des produits de santé</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68</w:t>
            </w:r>
          </w:p>
        </w:tc>
        <w:tc>
          <w:tcPr>
            <w:tcW w:w="8363" w:type="dxa"/>
          </w:tcPr>
          <w:p w:rsidR="007C2C98" w:rsidRPr="008053D4" w:rsidRDefault="008053D4" w:rsidP="00746108">
            <w:r>
              <w:t xml:space="preserve">L’ANSM garantie la sécurité des produits de santé destinés à partir de leur commercialisation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69</w:t>
            </w:r>
          </w:p>
        </w:tc>
        <w:tc>
          <w:tcPr>
            <w:tcW w:w="8363" w:type="dxa"/>
          </w:tcPr>
          <w:p w:rsidR="007C2C98" w:rsidRPr="008053D4" w:rsidRDefault="00E00C01" w:rsidP="007C2C98">
            <w:r>
              <w:t xml:space="preserve">L’ANSM évalue les médicaments, les produits biologiques, les dispositifs médicaux, les produits cosmétiques/tatouage ainsi que leurs matières premières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70</w:t>
            </w:r>
          </w:p>
        </w:tc>
        <w:tc>
          <w:tcPr>
            <w:tcW w:w="8363" w:type="dxa"/>
          </w:tcPr>
          <w:p w:rsidR="007C2C98" w:rsidRPr="008053D4" w:rsidRDefault="00E00C01" w:rsidP="007C2C98">
            <w:r>
              <w:t>L’ANSM évalue sécurité/qualité/efficacité de ces produits, les surveille et mène des actions d’informations sur les bénefs/risques</w:t>
            </w:r>
          </w:p>
        </w:tc>
        <w:tc>
          <w:tcPr>
            <w:tcW w:w="892" w:type="dxa"/>
          </w:tcPr>
          <w:p w:rsidR="007C2C98" w:rsidRPr="004B267D" w:rsidRDefault="007C2C98" w:rsidP="0074610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71</w:t>
            </w:r>
          </w:p>
        </w:tc>
        <w:tc>
          <w:tcPr>
            <w:tcW w:w="8363" w:type="dxa"/>
          </w:tcPr>
          <w:p w:rsidR="007C2C98" w:rsidRPr="008053D4" w:rsidRDefault="00E00C01" w:rsidP="00746108">
            <w:r>
              <w:t xml:space="preserve">L’ANSM ne travaille pas en collaboration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74610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72</w:t>
            </w:r>
          </w:p>
        </w:tc>
        <w:tc>
          <w:tcPr>
            <w:tcW w:w="8363" w:type="dxa"/>
          </w:tcPr>
          <w:p w:rsidR="007C2C98" w:rsidRPr="008053D4" w:rsidRDefault="00E00C01" w:rsidP="00746108">
            <w:r>
              <w:t>L’ANSM ne se charge pas de l’</w:t>
            </w:r>
            <w:r w:rsidR="00746108">
              <w:t>accès</w:t>
            </w:r>
            <w:r>
              <w:t xml:space="preserve"> rapide à l’innovation t</w:t>
            </w:r>
            <w:r w:rsidR="00746108">
              <w:t>hérapeutique avant AMM (ATU)</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73</w:t>
            </w:r>
          </w:p>
        </w:tc>
        <w:tc>
          <w:tcPr>
            <w:tcW w:w="8363" w:type="dxa"/>
          </w:tcPr>
          <w:p w:rsidR="007C2C98" w:rsidRPr="008053D4" w:rsidRDefault="00E00C01" w:rsidP="007C2C98">
            <w:r>
              <w:t>La transparence est requise dans les travaux de l’ANSM</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74</w:t>
            </w:r>
          </w:p>
        </w:tc>
        <w:tc>
          <w:tcPr>
            <w:tcW w:w="8363" w:type="dxa"/>
          </w:tcPr>
          <w:p w:rsidR="007C2C98" w:rsidRPr="008053D4" w:rsidRDefault="00E00C01" w:rsidP="007C2C98">
            <w:r>
              <w:t>L’ANSM fait des appels à projet à l’intention de certains organismes publics et privé non lucratif  pour développer des stratégies de recherche de haut niveau scientifique</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75</w:t>
            </w:r>
          </w:p>
        </w:tc>
        <w:tc>
          <w:tcPr>
            <w:tcW w:w="8363" w:type="dxa"/>
          </w:tcPr>
          <w:p w:rsidR="007C2C98" w:rsidRPr="008053D4" w:rsidRDefault="00E00C01" w:rsidP="00746108">
            <w:r>
              <w:t xml:space="preserve">L’ANSM a une fonction d’information seulement auprès des professionnels et de la presse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76</w:t>
            </w:r>
          </w:p>
        </w:tc>
        <w:tc>
          <w:tcPr>
            <w:tcW w:w="8363" w:type="dxa"/>
          </w:tcPr>
          <w:p w:rsidR="007C2C98" w:rsidRPr="008053D4" w:rsidRDefault="00E00C01" w:rsidP="00746108">
            <w:r>
              <w:t xml:space="preserve">L’encadrement de la publicité fait partie des fonctions de l’ANSM, une autorisation préalable doit être demandée pour toute publicité concernant un mdt sauf pour les mdt hors liste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77</w:t>
            </w:r>
          </w:p>
        </w:tc>
        <w:tc>
          <w:tcPr>
            <w:tcW w:w="8363" w:type="dxa"/>
          </w:tcPr>
          <w:p w:rsidR="007C2C98" w:rsidRPr="008053D4" w:rsidRDefault="009C5FFA" w:rsidP="00746108">
            <w:r>
              <w:t xml:space="preserve">Les CRPV ne communique qu’avec les professionnels de santé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78</w:t>
            </w:r>
          </w:p>
        </w:tc>
        <w:tc>
          <w:tcPr>
            <w:tcW w:w="8363" w:type="dxa"/>
          </w:tcPr>
          <w:p w:rsidR="007C2C98" w:rsidRPr="008053D4" w:rsidRDefault="009C5FFA" w:rsidP="00746108">
            <w:r>
              <w:t xml:space="preserve">L’ANSM travaille en mode traditionnelle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79</w:t>
            </w:r>
          </w:p>
        </w:tc>
        <w:tc>
          <w:tcPr>
            <w:tcW w:w="8363" w:type="dxa"/>
          </w:tcPr>
          <w:p w:rsidR="007C2C98" w:rsidRPr="008053D4" w:rsidRDefault="009C5FFA" w:rsidP="00746108">
            <w:pPr>
              <w:tabs>
                <w:tab w:val="left" w:pos="3286"/>
              </w:tabs>
            </w:pPr>
            <w:r>
              <w:t>L’ANSM comprend 4 commissions consultatives s’intéressant au rapport bénéfice/risque, et les stupéfiants/psychotropes, 37 groupes de travail spécifiques et transversaux</w:t>
            </w:r>
            <w:r w:rsidR="008922A4">
              <w:t>, 2 comités techniques s’inté</w:t>
            </w:r>
            <w:r>
              <w:t xml:space="preserve">ressant </w:t>
            </w:r>
            <w:r w:rsidR="008922A4">
              <w:t>à la pharmacovigilance et la réactovigilance, et enfin 3 comités d’interfaces avec les usagers et les industriels</w:t>
            </w:r>
            <w:r w:rsidR="008922A4" w:rsidRPr="008922A4">
              <w:rPr>
                <w:color w:val="008000"/>
              </w:rPr>
              <w:t xml:space="preserv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80</w:t>
            </w:r>
          </w:p>
        </w:tc>
        <w:tc>
          <w:tcPr>
            <w:tcW w:w="8363" w:type="dxa"/>
          </w:tcPr>
          <w:p w:rsidR="008922A4" w:rsidRDefault="008922A4" w:rsidP="008922A4">
            <w:pPr>
              <w:tabs>
                <w:tab w:val="left" w:pos="3489"/>
              </w:tabs>
            </w:pPr>
            <w:r>
              <w:t>J’ai envie d’aller aux toilettes… mais il reste encore beaucouuuup d’items donc je dois finir ce superbe DM chiant au possible de mon tuteur comme ça j’aurai bien révisé ! </w:t>
            </w:r>
          </w:p>
          <w:p w:rsidR="007C2C98" w:rsidRPr="008053D4" w:rsidRDefault="008922A4" w:rsidP="008922A4">
            <w:pPr>
              <w:tabs>
                <w:tab w:val="left" w:pos="3489"/>
              </w:tabs>
            </w:pPr>
            <w:r>
              <w:t>J’irai pisser après :D</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81</w:t>
            </w:r>
          </w:p>
        </w:tc>
        <w:tc>
          <w:tcPr>
            <w:tcW w:w="8363" w:type="dxa"/>
          </w:tcPr>
          <w:p w:rsidR="007C2C98" w:rsidRPr="008053D4" w:rsidRDefault="00C10204" w:rsidP="00746108">
            <w:r>
              <w:t>EMA = European Marine A</w:t>
            </w:r>
            <w:r w:rsidR="001635E0">
              <w:t>ssociation</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82</w:t>
            </w:r>
          </w:p>
        </w:tc>
        <w:tc>
          <w:tcPr>
            <w:tcW w:w="8363" w:type="dxa"/>
          </w:tcPr>
          <w:p w:rsidR="007C2C98" w:rsidRPr="008053D4" w:rsidRDefault="008922A4" w:rsidP="007C2C98">
            <w:r>
              <w:t xml:space="preserve">EMA est composé de 4 comités scientifiques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83</w:t>
            </w:r>
          </w:p>
        </w:tc>
        <w:tc>
          <w:tcPr>
            <w:tcW w:w="8363" w:type="dxa"/>
          </w:tcPr>
          <w:p w:rsidR="00A860A3" w:rsidRDefault="008922A4" w:rsidP="00A860A3">
            <w:r>
              <w:t xml:space="preserve">Quels sont ces comités ? Citez les (acronymes ET signification </w:t>
            </w:r>
            <w:r>
              <w:sym w:font="Wingdings" w:char="F04A"/>
            </w:r>
            <w:r w:rsidR="00A860A3">
              <w:t>)</w:t>
            </w:r>
          </w:p>
          <w:p w:rsidR="007C2C98" w:rsidRPr="00A860A3" w:rsidRDefault="007C2C98" w:rsidP="00A860A3"/>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84</w:t>
            </w:r>
          </w:p>
        </w:tc>
        <w:tc>
          <w:tcPr>
            <w:tcW w:w="8363" w:type="dxa"/>
          </w:tcPr>
          <w:p w:rsidR="007C2C98" w:rsidRPr="008053D4" w:rsidRDefault="009E65EA" w:rsidP="00746108">
            <w:r w:rsidRPr="009E65EA">
              <w:t xml:space="preserve">Les décisions des comités doivent être validées par la </w:t>
            </w:r>
            <w:r w:rsidRPr="009E65EA">
              <w:rPr>
                <w:bCs/>
              </w:rPr>
              <w:t>Commission Européenne</w:t>
            </w:r>
            <w:r w:rsidRPr="009E65EA">
              <w:rPr>
                <w:b/>
                <w:bCs/>
              </w:rPr>
              <w:t xml:space="preserve"> </w:t>
            </w:r>
            <w:r w:rsidRPr="009E65EA">
              <w:t xml:space="preserve">qui s’imposent </w:t>
            </w:r>
            <w:r>
              <w:t>seulement au pays membre de l’Union Européenne</w:t>
            </w:r>
            <w:r w:rsidRPr="009E65EA">
              <w:rPr>
                <w:color w:val="008000"/>
              </w:rPr>
              <w:t xml:space="preserv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85</w:t>
            </w:r>
          </w:p>
        </w:tc>
        <w:tc>
          <w:tcPr>
            <w:tcW w:w="8363" w:type="dxa"/>
          </w:tcPr>
          <w:p w:rsidR="007C2C98" w:rsidRPr="008053D4" w:rsidRDefault="009E65EA" w:rsidP="00746108">
            <w:r>
              <w:t xml:space="preserve">Le dossier d’AMM est harmonisé au niveau national et comprend 5 modules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86</w:t>
            </w:r>
          </w:p>
        </w:tc>
        <w:tc>
          <w:tcPr>
            <w:tcW w:w="8363" w:type="dxa"/>
          </w:tcPr>
          <w:p w:rsidR="007C2C98" w:rsidRPr="008053D4" w:rsidRDefault="009E65EA" w:rsidP="00746108">
            <w:r>
              <w:t xml:space="preserve">Le module 1 est comprend les RCP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87</w:t>
            </w:r>
          </w:p>
        </w:tc>
        <w:tc>
          <w:tcPr>
            <w:tcW w:w="8363" w:type="dxa"/>
          </w:tcPr>
          <w:p w:rsidR="007C2C98" w:rsidRPr="008053D4" w:rsidRDefault="009E65EA" w:rsidP="00746108">
            <w:r>
              <w:t xml:space="preserve">Le module 2 concerne la qualité de la substance acquise et des autres matières entrant dans la fabrication du produit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88</w:t>
            </w:r>
          </w:p>
        </w:tc>
        <w:tc>
          <w:tcPr>
            <w:tcW w:w="8363" w:type="dxa"/>
          </w:tcPr>
          <w:p w:rsidR="007C2C98" w:rsidRPr="008053D4" w:rsidRDefault="009E65EA" w:rsidP="009E65EA">
            <w:pPr>
              <w:tabs>
                <w:tab w:val="left" w:pos="3378"/>
              </w:tabs>
            </w:pPr>
            <w:r>
              <w:t>Le module 5 comporte les données cliniques disponibles à partir des essais cliniques</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89</w:t>
            </w:r>
          </w:p>
        </w:tc>
        <w:tc>
          <w:tcPr>
            <w:tcW w:w="8363" w:type="dxa"/>
          </w:tcPr>
          <w:p w:rsidR="007C2C98" w:rsidRPr="008053D4" w:rsidRDefault="009E65EA" w:rsidP="00746108">
            <w:r>
              <w:t xml:space="preserve">AMM = autorisation médicale sur le marché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90</w:t>
            </w:r>
          </w:p>
        </w:tc>
        <w:tc>
          <w:tcPr>
            <w:tcW w:w="8363" w:type="dxa"/>
          </w:tcPr>
          <w:p w:rsidR="007C2C98" w:rsidRPr="008053D4" w:rsidRDefault="003C7820" w:rsidP="00746108">
            <w:r>
              <w:t xml:space="preserve">La procédure de demande d’AMM est-elle obligatoire pour certains médicaments ? SI oui, précisez lesquels :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91</w:t>
            </w:r>
          </w:p>
        </w:tc>
        <w:tc>
          <w:tcPr>
            <w:tcW w:w="8363" w:type="dxa"/>
          </w:tcPr>
          <w:p w:rsidR="007C2C98" w:rsidRPr="008053D4" w:rsidRDefault="003C7820" w:rsidP="007C2C98">
            <w:r>
              <w:t>Dans la procédure centralisé le dossier est déposé au CHMP</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92</w:t>
            </w:r>
          </w:p>
        </w:tc>
        <w:tc>
          <w:tcPr>
            <w:tcW w:w="8363" w:type="dxa"/>
          </w:tcPr>
          <w:p w:rsidR="007C2C98" w:rsidRPr="008053D4" w:rsidRDefault="003C7820" w:rsidP="00746108">
            <w:r>
              <w:t xml:space="preserve">La procédure nationale est utilisée fréquemment </w:t>
            </w:r>
          </w:p>
        </w:tc>
        <w:tc>
          <w:tcPr>
            <w:tcW w:w="892" w:type="dxa"/>
          </w:tcPr>
          <w:p w:rsidR="007C2C98" w:rsidRPr="004B267D" w:rsidRDefault="007C2C98" w:rsidP="00746108">
            <w:pP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93</w:t>
            </w:r>
          </w:p>
        </w:tc>
        <w:tc>
          <w:tcPr>
            <w:tcW w:w="8363" w:type="dxa"/>
          </w:tcPr>
          <w:p w:rsidR="007C2C98" w:rsidRPr="008053D4" w:rsidRDefault="003C7820" w:rsidP="007C2C98">
            <w:r>
              <w:t>Dans la procédure de reconnaissance mutuelle le dossier est déposé à l’EMA</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94</w:t>
            </w:r>
          </w:p>
        </w:tc>
        <w:tc>
          <w:tcPr>
            <w:tcW w:w="8363" w:type="dxa"/>
          </w:tcPr>
          <w:p w:rsidR="007C2C98" w:rsidRPr="003C7820" w:rsidRDefault="003C7820" w:rsidP="00746108">
            <w:pPr>
              <w:rPr>
                <w:color w:val="008000"/>
              </w:rPr>
            </w:pPr>
            <w:r>
              <w:t>Dans la procédure décentralisé le dossier est déposé à l’EMA, si oui, pourquoi ?</w:t>
            </w:r>
            <w:r w:rsidRPr="003C7820">
              <w:rPr>
                <w:color w:val="008000"/>
              </w:rPr>
              <w:t xml:space="preserve"> </w:t>
            </w:r>
            <w:r>
              <w:rPr>
                <w:color w:val="008000"/>
              </w:rPr>
              <w:t xml:space="preserv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95</w:t>
            </w:r>
          </w:p>
        </w:tc>
        <w:tc>
          <w:tcPr>
            <w:tcW w:w="8363" w:type="dxa"/>
          </w:tcPr>
          <w:p w:rsidR="007C2C98" w:rsidRPr="008053D4" w:rsidRDefault="003C7820" w:rsidP="003C7820">
            <w:r>
              <w:t>Comment fonctionne la procédure décentralisé, vous avez 5s </w:t>
            </w:r>
            <w:r w:rsidR="00746108">
              <w:t>:D</w:t>
            </w:r>
          </w:p>
        </w:tc>
        <w:tc>
          <w:tcPr>
            <w:tcW w:w="892" w:type="dxa"/>
          </w:tcPr>
          <w:p w:rsidR="007C2C98" w:rsidRPr="00746108" w:rsidRDefault="003C7820" w:rsidP="003C7820">
            <w:pPr>
              <w:rPr>
                <w:i/>
                <w:color w:val="008000"/>
                <w:sz w:val="16"/>
              </w:rPr>
            </w:pPr>
            <w:r w:rsidRPr="00746108">
              <w:rPr>
                <w:i/>
                <w:color w:val="008000"/>
                <w:sz w:val="16"/>
              </w:rPr>
              <w:t>5,4,3,2,1…</w:t>
            </w: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96</w:t>
            </w:r>
          </w:p>
        </w:tc>
        <w:tc>
          <w:tcPr>
            <w:tcW w:w="8363" w:type="dxa"/>
          </w:tcPr>
          <w:p w:rsidR="007C2C98" w:rsidRPr="008053D4" w:rsidRDefault="003C7820" w:rsidP="00746108">
            <w:r>
              <w:t>Si l’AMM est accordée, elle est publiée au JO, signée par le prés</w:t>
            </w:r>
            <w:r w:rsidR="00FB35E5">
              <w:t>ident, valable 5ans et sera réé</w:t>
            </w:r>
            <w:r>
              <w:t>v</w:t>
            </w:r>
            <w:r w:rsidR="00FB35E5">
              <w:t>a</w:t>
            </w:r>
            <w:r>
              <w:t>luée au term</w:t>
            </w:r>
            <w:r w:rsidR="00FB35E5">
              <w:t>e pour être validée ad vitam ou soumise à une réévaluation</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97</w:t>
            </w:r>
          </w:p>
        </w:tc>
        <w:tc>
          <w:tcPr>
            <w:tcW w:w="8363" w:type="dxa"/>
          </w:tcPr>
          <w:p w:rsidR="007C2C98" w:rsidRPr="008053D4" w:rsidRDefault="00D62512" w:rsidP="007C2C98">
            <w:r>
              <w:t>Seulement dans les procédure</w:t>
            </w:r>
            <w:r w:rsidR="00746108">
              <w:t>s</w:t>
            </w:r>
            <w:r>
              <w:t xml:space="preserve"> nationale</w:t>
            </w:r>
            <w:r w:rsidR="00746108">
              <w:t>s</w:t>
            </w:r>
            <w:r>
              <w:t xml:space="preserve"> l’ANSM peut décider seule du retrait du marché d’un mdt</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98</w:t>
            </w:r>
          </w:p>
        </w:tc>
        <w:tc>
          <w:tcPr>
            <w:tcW w:w="8363" w:type="dxa"/>
          </w:tcPr>
          <w:p w:rsidR="007C2C98" w:rsidRPr="008053D4" w:rsidRDefault="00D62512" w:rsidP="007C2C98">
            <w:r>
              <w:t>Tu en as marre ? Ça tombe bien moi aussi ! Discutons un peu…</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99</w:t>
            </w:r>
          </w:p>
        </w:tc>
        <w:tc>
          <w:tcPr>
            <w:tcW w:w="8363" w:type="dxa"/>
          </w:tcPr>
          <w:p w:rsidR="007C2C98" w:rsidRPr="008053D4" w:rsidRDefault="00FB35E5" w:rsidP="007C2C98">
            <w:r>
              <w:t>On vous a tellement aidé pendant cette année que tu veux être tuteur l’an prochain</w:t>
            </w:r>
            <w:r w:rsidR="00D62512">
              <w:t> ?</w:t>
            </w:r>
            <w:r>
              <w:t xml:space="preserve">! </w:t>
            </w:r>
            <w:r w:rsidR="00D62512">
              <w:t xml:space="preserve">  </w:t>
            </w:r>
            <w:r w:rsidRPr="00FB35E5">
              <w:rPr>
                <w:b/>
                <w:color w:val="FF6600"/>
                <w:sz w:val="28"/>
              </w:rPr>
              <w:sym w:font="Wingdings 2" w:char="F03C"/>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100</w:t>
            </w:r>
          </w:p>
        </w:tc>
        <w:tc>
          <w:tcPr>
            <w:tcW w:w="8363" w:type="dxa"/>
          </w:tcPr>
          <w:p w:rsidR="007C2C98" w:rsidRPr="008053D4" w:rsidRDefault="00FB35E5" w:rsidP="007C2C98">
            <w:r>
              <w:t>Et tu seras très content d’être tuteur de pharmaco !?</w:t>
            </w:r>
          </w:p>
        </w:tc>
        <w:tc>
          <w:tcPr>
            <w:tcW w:w="892" w:type="dxa"/>
          </w:tcPr>
          <w:p w:rsidR="007C2C98" w:rsidRPr="004B267D" w:rsidRDefault="007C2C98" w:rsidP="005F6718">
            <w:pPr>
              <w:jc w:val="center"/>
              <w:rPr>
                <w:b/>
                <w:color w:val="008000"/>
                <w:sz w:val="28"/>
              </w:rPr>
            </w:pPr>
          </w:p>
        </w:tc>
        <w:tc>
          <w:tcPr>
            <w:tcW w:w="859" w:type="dxa"/>
          </w:tcPr>
          <w:p w:rsidR="007C2C98" w:rsidRPr="00FB35E5" w:rsidRDefault="007C2C98" w:rsidP="005F6718">
            <w:pPr>
              <w:jc w:val="center"/>
              <w:rPr>
                <w:color w:val="008000"/>
                <w:sz w:val="28"/>
              </w:rPr>
            </w:pPr>
          </w:p>
        </w:tc>
      </w:tr>
      <w:tr w:rsidR="007C2C98" w:rsidRPr="007808B6">
        <w:trPr>
          <w:trHeight w:val="236"/>
        </w:trPr>
        <w:tc>
          <w:tcPr>
            <w:tcW w:w="551" w:type="dxa"/>
          </w:tcPr>
          <w:p w:rsidR="007C2C98" w:rsidRDefault="007C2C98" w:rsidP="007C2C98">
            <w:pPr>
              <w:jc w:val="center"/>
              <w:rPr>
                <w:b/>
              </w:rPr>
            </w:pPr>
            <w:r>
              <w:rPr>
                <w:b/>
              </w:rPr>
              <w:t>101</w:t>
            </w:r>
          </w:p>
        </w:tc>
        <w:tc>
          <w:tcPr>
            <w:tcW w:w="8363" w:type="dxa"/>
          </w:tcPr>
          <w:p w:rsidR="007C2C98" w:rsidRPr="008053D4" w:rsidRDefault="00D62512" w:rsidP="007C2C98">
            <w:r>
              <w:t>Bien qu’au fond, on veuille</w:t>
            </w:r>
            <w:r w:rsidR="00FB35E5">
              <w:t xml:space="preserve"> tous être tuteur d’anatomie…</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102</w:t>
            </w:r>
          </w:p>
        </w:tc>
        <w:tc>
          <w:tcPr>
            <w:tcW w:w="8363" w:type="dxa"/>
          </w:tcPr>
          <w:p w:rsidR="007C2C98" w:rsidRPr="008053D4" w:rsidRDefault="00D62512" w:rsidP="007C2C98">
            <w:r>
              <w:t>Là je fais autant ma pause que toi, d’ailleurs je bouffe des M&amp;M’s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103</w:t>
            </w:r>
          </w:p>
        </w:tc>
        <w:tc>
          <w:tcPr>
            <w:tcW w:w="8363" w:type="dxa"/>
          </w:tcPr>
          <w:p w:rsidR="007C2C98" w:rsidRPr="008053D4" w:rsidRDefault="00D62512" w:rsidP="007C2C98">
            <w:r>
              <w:t xml:space="preserve">Toujours là ? Wow j’ai même eu le temps d’aller pisser !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104</w:t>
            </w:r>
          </w:p>
        </w:tc>
        <w:tc>
          <w:tcPr>
            <w:tcW w:w="8363" w:type="dxa"/>
          </w:tcPr>
          <w:p w:rsidR="00D62512" w:rsidRDefault="00D62512" w:rsidP="007C2C98">
            <w:r>
              <w:t>3 propositions, choisissez la/les bonne :</w:t>
            </w:r>
          </w:p>
          <w:p w:rsidR="00D62512" w:rsidRDefault="00746108" w:rsidP="007C2C98">
            <w:r>
              <w:t>A) L</w:t>
            </w:r>
            <w:r w:rsidR="00D62512">
              <w:t>a majorité des P1 est en train de m’insulter pour mes idioties, et toi aussi !</w:t>
            </w:r>
          </w:p>
          <w:p w:rsidR="00D62512" w:rsidRDefault="00746108" w:rsidP="007C2C98">
            <w:r>
              <w:t>B) T</w:t>
            </w:r>
            <w:r w:rsidR="00D62512">
              <w:t>’en as rien à faire, t’es là pour les items, le reste OSEF !</w:t>
            </w:r>
          </w:p>
          <w:p w:rsidR="007C2C98" w:rsidRPr="008053D4" w:rsidRDefault="00746108" w:rsidP="007C2C98">
            <w:r>
              <w:t>C) T</w:t>
            </w:r>
            <w:r w:rsidR="00D62512">
              <w:t xml:space="preserve">u trouves ça «drôle» et ça te fait du bien, </w:t>
            </w:r>
            <w:r w:rsidR="00D62512" w:rsidRPr="00D62512">
              <w:rPr>
                <w:i/>
              </w:rPr>
              <w:t>d’ailleurs t’as bien aimé mes DMs pour ça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105</w:t>
            </w:r>
          </w:p>
        </w:tc>
        <w:tc>
          <w:tcPr>
            <w:tcW w:w="8363" w:type="dxa"/>
          </w:tcPr>
          <w:p w:rsidR="007C2C98" w:rsidRPr="008053D4" w:rsidRDefault="00D62512" w:rsidP="00746108">
            <w:r>
              <w:t>Les</w:t>
            </w:r>
            <w:r w:rsidR="00746108">
              <w:t xml:space="preserve"> ATU concerne des mdts</w:t>
            </w:r>
            <w:r>
              <w:t xml:space="preserve"> commercialisés en France mais pas pour cette indication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106</w:t>
            </w:r>
          </w:p>
        </w:tc>
        <w:tc>
          <w:tcPr>
            <w:tcW w:w="8363" w:type="dxa"/>
          </w:tcPr>
          <w:p w:rsidR="00B445CB" w:rsidRDefault="00B445CB" w:rsidP="00B445CB">
            <w:pPr>
              <w:tabs>
                <w:tab w:val="left" w:pos="923"/>
              </w:tabs>
            </w:pPr>
            <w:r>
              <w:t>La HAS possède 6 missions, citez les :</w:t>
            </w:r>
          </w:p>
          <w:p w:rsidR="00B445CB" w:rsidRPr="00746108" w:rsidRDefault="00B445CB" w:rsidP="00B445CB">
            <w:pPr>
              <w:tabs>
                <w:tab w:val="left" w:pos="923"/>
              </w:tabs>
            </w:pPr>
            <w:r w:rsidRPr="00746108">
              <w:t>-</w:t>
            </w:r>
            <w:r w:rsidRPr="00746108">
              <w:rPr>
                <w:rFonts w:ascii="新細明體" w:eastAsia="新細明體" w:hAnsi="新細明體" w:cs="新細明體" w:hint="eastAsia"/>
              </w:rPr>
              <w:t xml:space="preserve"> </w:t>
            </w:r>
          </w:p>
          <w:p w:rsidR="00B445CB" w:rsidRPr="00746108" w:rsidRDefault="00B445CB" w:rsidP="00B445CB">
            <w:pPr>
              <w:tabs>
                <w:tab w:val="left" w:pos="923"/>
              </w:tabs>
            </w:pPr>
            <w:r w:rsidRPr="00746108">
              <w:rPr>
                <w:bCs/>
                <w:iCs/>
              </w:rPr>
              <w:t xml:space="preserve">- </w:t>
            </w:r>
          </w:p>
          <w:p w:rsidR="00B445CB" w:rsidRPr="00746108" w:rsidRDefault="00B445CB" w:rsidP="00B445CB">
            <w:pPr>
              <w:tabs>
                <w:tab w:val="left" w:pos="923"/>
              </w:tabs>
            </w:pPr>
            <w:r w:rsidRPr="00746108">
              <w:rPr>
                <w:bCs/>
                <w:iCs/>
              </w:rPr>
              <w:t xml:space="preserve">- </w:t>
            </w:r>
          </w:p>
          <w:p w:rsidR="00B445CB" w:rsidRPr="00746108" w:rsidRDefault="00B445CB" w:rsidP="00B445CB">
            <w:pPr>
              <w:tabs>
                <w:tab w:val="left" w:pos="923"/>
              </w:tabs>
            </w:pPr>
            <w:r w:rsidRPr="00746108">
              <w:rPr>
                <w:bCs/>
                <w:iCs/>
              </w:rPr>
              <w:t xml:space="preserve">- </w:t>
            </w:r>
          </w:p>
          <w:p w:rsidR="00B445CB" w:rsidRPr="00746108" w:rsidRDefault="00B445CB" w:rsidP="00B445CB">
            <w:pPr>
              <w:tabs>
                <w:tab w:val="left" w:pos="923"/>
              </w:tabs>
            </w:pPr>
            <w:r w:rsidRPr="00746108">
              <w:rPr>
                <w:bCs/>
                <w:iCs/>
              </w:rPr>
              <w:t xml:space="preserve">- </w:t>
            </w:r>
          </w:p>
          <w:p w:rsidR="007C2C98" w:rsidRPr="00B445CB" w:rsidRDefault="00B445CB" w:rsidP="00746108">
            <w:pPr>
              <w:tabs>
                <w:tab w:val="left" w:pos="923"/>
              </w:tabs>
              <w:rPr>
                <w:bCs/>
                <w:iCs/>
              </w:rPr>
            </w:pPr>
            <w:r w:rsidRPr="00746108">
              <w:rPr>
                <w:bCs/>
                <w:iCs/>
              </w:rPr>
              <w:t>-</w:t>
            </w:r>
            <w:r w:rsidRPr="00B445CB">
              <w:rPr>
                <w:bCs/>
                <w:iCs/>
                <w:color w:val="008000"/>
              </w:rPr>
              <w:t xml:space="preserv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107</w:t>
            </w:r>
          </w:p>
        </w:tc>
        <w:tc>
          <w:tcPr>
            <w:tcW w:w="8363" w:type="dxa"/>
          </w:tcPr>
          <w:p w:rsidR="007C2C98" w:rsidRPr="008053D4" w:rsidRDefault="00B445CB" w:rsidP="007C2C98">
            <w:r>
              <w:t>C’est la HAS qui détermine le SMR et l’ASMR</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108</w:t>
            </w:r>
          </w:p>
        </w:tc>
        <w:tc>
          <w:tcPr>
            <w:tcW w:w="8363" w:type="dxa"/>
          </w:tcPr>
          <w:p w:rsidR="007C2C98" w:rsidRPr="008053D4" w:rsidRDefault="00B445CB" w:rsidP="00746108">
            <w:r>
              <w:t xml:space="preserve">Le SMR évalue le mdt dans sa pathologie comparativement selon des critères qui sont : la gravité de l’affection, l’efficacité et les EI, le rapport bénef/risque, la place dans la stratégie thérapeutique, le caractère préventif/symptomatique, l’intérêt pour la SP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109</w:t>
            </w:r>
          </w:p>
        </w:tc>
        <w:tc>
          <w:tcPr>
            <w:tcW w:w="8363" w:type="dxa"/>
          </w:tcPr>
          <w:p w:rsidR="007C2C98" w:rsidRPr="008053D4" w:rsidRDefault="00B445CB" w:rsidP="00746108">
            <w:r>
              <w:t xml:space="preserve">Le SMR est divisé en 5 niveaux aidant à l’établissement du taux de remboursement pas un autre agence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110</w:t>
            </w:r>
          </w:p>
        </w:tc>
        <w:tc>
          <w:tcPr>
            <w:tcW w:w="8363" w:type="dxa"/>
          </w:tcPr>
          <w:p w:rsidR="007C2C98" w:rsidRPr="008053D4" w:rsidRDefault="00B445CB" w:rsidP="00746108">
            <w:r>
              <w:t xml:space="preserve">L’ASMR est divisé en 4 niveaux : pas d’amélioration, amélioration modérée, importante, progrès majeur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111</w:t>
            </w:r>
          </w:p>
        </w:tc>
        <w:tc>
          <w:tcPr>
            <w:tcW w:w="8363" w:type="dxa"/>
          </w:tcPr>
          <w:p w:rsidR="00A860A3" w:rsidRDefault="00D3099B" w:rsidP="00D3099B">
            <w:r>
              <w:t xml:space="preserve">Mettez ce </w:t>
            </w:r>
            <w:r w:rsidR="00A860A3">
              <w:t>qu’il faut dans les carrés gris</w:t>
            </w:r>
            <w:r>
              <w:t xml:space="preserve"> tout moche (oui Word ne permet pas toujours de faire des merveilles et là j’ai la flemme de me compliquer la vie ^^)</w:t>
            </w:r>
          </w:p>
          <w:p w:rsidR="00D3099B" w:rsidRDefault="00D3099B" w:rsidP="00D3099B"/>
          <w:p w:rsidR="00A860A3" w:rsidRDefault="00A860A3" w:rsidP="00B445CB">
            <w:pPr>
              <w:jc w:val="center"/>
            </w:pPr>
            <w:r>
              <w:rPr>
                <w:noProof/>
                <w:lang w:eastAsia="fr-FR"/>
              </w:rPr>
              <w:drawing>
                <wp:inline distT="0" distB="0" distL="0" distR="0">
                  <wp:extent cx="4652107" cy="2825262"/>
                  <wp:effectExtent l="25400" t="0" r="0" b="0"/>
                  <wp:docPr id="4" name="Image 3" descr="Capture d’écran 2013-05-15 à 18.4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3-05-15 à 18.49.37.png"/>
                          <pic:cNvPicPr/>
                        </pic:nvPicPr>
                        <pic:blipFill>
                          <a:blip r:embed="rId10"/>
                          <a:srcRect l="6304" r="4435"/>
                          <a:stretch>
                            <a:fillRect/>
                          </a:stretch>
                        </pic:blipFill>
                        <pic:spPr>
                          <a:xfrm>
                            <a:off x="0" y="0"/>
                            <a:ext cx="4655784" cy="2827495"/>
                          </a:xfrm>
                          <a:prstGeom prst="rect">
                            <a:avLst/>
                          </a:prstGeom>
                        </pic:spPr>
                      </pic:pic>
                    </a:graphicData>
                  </a:graphic>
                </wp:inline>
              </w:drawing>
            </w:r>
          </w:p>
          <w:p w:rsidR="007C2C98" w:rsidRPr="00B445CB" w:rsidRDefault="007C2C98" w:rsidP="00B445CB">
            <w:pPr>
              <w:jc w:val="center"/>
            </w:pP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112</w:t>
            </w:r>
          </w:p>
        </w:tc>
        <w:tc>
          <w:tcPr>
            <w:tcW w:w="8363" w:type="dxa"/>
          </w:tcPr>
          <w:p w:rsidR="007C2C98" w:rsidRPr="008053D4" w:rsidRDefault="00D3099B" w:rsidP="007C2C98">
            <w:r>
              <w:t xml:space="preserve">Un mdt remboursé à 35% a une vignette orange, un remboursé à 65% a une vignette bleu, et un dernier remboursé à 100 % possède une vignette blanche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113</w:t>
            </w:r>
          </w:p>
        </w:tc>
        <w:tc>
          <w:tcPr>
            <w:tcW w:w="8363" w:type="dxa"/>
          </w:tcPr>
          <w:p w:rsidR="007C2C98" w:rsidRPr="008053D4" w:rsidRDefault="00D3099B" w:rsidP="00746108">
            <w:r>
              <w:t xml:space="preserve">Le comité chargé de l’attribution du prix est sous l’autorité unique du ministère de l’économie, il va décidé du prix des mdts remboursés par négociation avec l’industriel, on dit que le prix est fixé </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114</w:t>
            </w:r>
          </w:p>
        </w:tc>
        <w:tc>
          <w:tcPr>
            <w:tcW w:w="8363" w:type="dxa"/>
          </w:tcPr>
          <w:p w:rsidR="007C2C98" w:rsidRPr="008053D4" w:rsidRDefault="00D3099B" w:rsidP="007C2C98">
            <w:r>
              <w:t>Quand le médicament n’est pas rembours le prix est libre, comme tous les médicaments aux USA</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7C2C98" w:rsidRPr="007808B6">
        <w:trPr>
          <w:trHeight w:val="236"/>
        </w:trPr>
        <w:tc>
          <w:tcPr>
            <w:tcW w:w="551" w:type="dxa"/>
          </w:tcPr>
          <w:p w:rsidR="007C2C98" w:rsidRDefault="007C2C98" w:rsidP="007C2C98">
            <w:pPr>
              <w:jc w:val="center"/>
              <w:rPr>
                <w:b/>
              </w:rPr>
            </w:pPr>
            <w:r>
              <w:rPr>
                <w:b/>
              </w:rPr>
              <w:t>115</w:t>
            </w:r>
          </w:p>
        </w:tc>
        <w:tc>
          <w:tcPr>
            <w:tcW w:w="8363" w:type="dxa"/>
          </w:tcPr>
          <w:p w:rsidR="007C2C98" w:rsidRPr="00746108" w:rsidRDefault="00200D74" w:rsidP="007C2C98">
            <w:r>
              <w:t>Il y a des médicaments avec un SMR important et un ASMR de niveau IV</w:t>
            </w:r>
          </w:p>
        </w:tc>
        <w:tc>
          <w:tcPr>
            <w:tcW w:w="892" w:type="dxa"/>
          </w:tcPr>
          <w:p w:rsidR="007C2C98" w:rsidRPr="004B267D" w:rsidRDefault="007C2C98" w:rsidP="005F6718">
            <w:pPr>
              <w:jc w:val="center"/>
              <w:rPr>
                <w:b/>
                <w:color w:val="008000"/>
                <w:sz w:val="28"/>
              </w:rPr>
            </w:pPr>
          </w:p>
        </w:tc>
        <w:tc>
          <w:tcPr>
            <w:tcW w:w="859" w:type="dxa"/>
          </w:tcPr>
          <w:p w:rsidR="007C2C98" w:rsidRPr="004B267D" w:rsidRDefault="007C2C98" w:rsidP="005F6718">
            <w:pPr>
              <w:jc w:val="center"/>
              <w:rPr>
                <w:b/>
                <w:color w:val="008000"/>
                <w:sz w:val="28"/>
              </w:rPr>
            </w:pPr>
          </w:p>
        </w:tc>
      </w:tr>
      <w:tr w:rsidR="00415AC6" w:rsidRPr="007808B6">
        <w:trPr>
          <w:trHeight w:val="236"/>
        </w:trPr>
        <w:tc>
          <w:tcPr>
            <w:tcW w:w="551" w:type="dxa"/>
          </w:tcPr>
          <w:p w:rsidR="00415AC6" w:rsidRDefault="00415AC6" w:rsidP="007C2C98">
            <w:pPr>
              <w:jc w:val="center"/>
              <w:rPr>
                <w:b/>
              </w:rPr>
            </w:pPr>
            <w:r>
              <w:rPr>
                <w:b/>
              </w:rPr>
              <w:t>116</w:t>
            </w:r>
          </w:p>
        </w:tc>
        <w:tc>
          <w:tcPr>
            <w:tcW w:w="8363" w:type="dxa"/>
          </w:tcPr>
          <w:p w:rsidR="00415AC6" w:rsidRPr="008053D4" w:rsidRDefault="009244A4" w:rsidP="001B5445">
            <w:r>
              <w:t xml:space="preserve">La iatrogénèse médicamenteuse est forcément la conséquence d’un mésusage </w:t>
            </w:r>
          </w:p>
        </w:tc>
        <w:tc>
          <w:tcPr>
            <w:tcW w:w="892" w:type="dxa"/>
          </w:tcPr>
          <w:p w:rsidR="00415AC6" w:rsidRPr="004B267D" w:rsidRDefault="00415AC6" w:rsidP="005F6718">
            <w:pPr>
              <w:jc w:val="center"/>
              <w:rPr>
                <w:b/>
                <w:color w:val="008000"/>
                <w:sz w:val="28"/>
              </w:rPr>
            </w:pPr>
          </w:p>
        </w:tc>
        <w:tc>
          <w:tcPr>
            <w:tcW w:w="859" w:type="dxa"/>
          </w:tcPr>
          <w:p w:rsidR="00415AC6" w:rsidRPr="004B267D" w:rsidRDefault="00415AC6" w:rsidP="005F6718">
            <w:pPr>
              <w:jc w:val="center"/>
              <w:rPr>
                <w:b/>
                <w:color w:val="008000"/>
                <w:sz w:val="28"/>
              </w:rPr>
            </w:pPr>
          </w:p>
        </w:tc>
      </w:tr>
      <w:tr w:rsidR="00415AC6" w:rsidRPr="007808B6">
        <w:trPr>
          <w:trHeight w:val="236"/>
        </w:trPr>
        <w:tc>
          <w:tcPr>
            <w:tcW w:w="551" w:type="dxa"/>
          </w:tcPr>
          <w:p w:rsidR="00415AC6" w:rsidRDefault="00415AC6" w:rsidP="007C2C98">
            <w:pPr>
              <w:jc w:val="center"/>
              <w:rPr>
                <w:b/>
              </w:rPr>
            </w:pPr>
            <w:r>
              <w:rPr>
                <w:b/>
              </w:rPr>
              <w:t>117</w:t>
            </w:r>
          </w:p>
        </w:tc>
        <w:tc>
          <w:tcPr>
            <w:tcW w:w="8363" w:type="dxa"/>
          </w:tcPr>
          <w:p w:rsidR="00415AC6" w:rsidRPr="008053D4" w:rsidRDefault="009244A4" w:rsidP="001B5445">
            <w:r>
              <w:t xml:space="preserve">La définition des effets indésirables se fait à toutes les posologies </w:t>
            </w:r>
          </w:p>
        </w:tc>
        <w:tc>
          <w:tcPr>
            <w:tcW w:w="892" w:type="dxa"/>
          </w:tcPr>
          <w:p w:rsidR="00415AC6" w:rsidRPr="004B267D" w:rsidRDefault="00415AC6" w:rsidP="005F6718">
            <w:pPr>
              <w:jc w:val="center"/>
              <w:rPr>
                <w:b/>
                <w:color w:val="008000"/>
                <w:sz w:val="28"/>
              </w:rPr>
            </w:pPr>
          </w:p>
        </w:tc>
        <w:tc>
          <w:tcPr>
            <w:tcW w:w="859" w:type="dxa"/>
          </w:tcPr>
          <w:p w:rsidR="00415AC6" w:rsidRPr="004B267D" w:rsidRDefault="00415AC6" w:rsidP="005F6718">
            <w:pPr>
              <w:jc w:val="center"/>
              <w:rPr>
                <w:b/>
                <w:color w:val="008000"/>
                <w:sz w:val="28"/>
              </w:rPr>
            </w:pPr>
          </w:p>
        </w:tc>
      </w:tr>
      <w:tr w:rsidR="00415AC6" w:rsidRPr="007808B6">
        <w:trPr>
          <w:trHeight w:val="236"/>
        </w:trPr>
        <w:tc>
          <w:tcPr>
            <w:tcW w:w="551" w:type="dxa"/>
          </w:tcPr>
          <w:p w:rsidR="00415AC6" w:rsidRDefault="00415AC6" w:rsidP="007C2C98">
            <w:pPr>
              <w:jc w:val="center"/>
              <w:rPr>
                <w:b/>
              </w:rPr>
            </w:pPr>
            <w:r>
              <w:rPr>
                <w:b/>
              </w:rPr>
              <w:t>118</w:t>
            </w:r>
          </w:p>
        </w:tc>
        <w:tc>
          <w:tcPr>
            <w:tcW w:w="8363" w:type="dxa"/>
          </w:tcPr>
          <w:p w:rsidR="00415AC6" w:rsidRPr="008053D4" w:rsidRDefault="009244A4" w:rsidP="001B5445">
            <w:r>
              <w:t xml:space="preserve">Les EI de type A ne sont pas expliqués par les propriétés pharmacologiques de la molécule </w:t>
            </w:r>
          </w:p>
        </w:tc>
        <w:tc>
          <w:tcPr>
            <w:tcW w:w="892" w:type="dxa"/>
          </w:tcPr>
          <w:p w:rsidR="00415AC6" w:rsidRPr="004B267D" w:rsidRDefault="00415AC6" w:rsidP="005F6718">
            <w:pPr>
              <w:jc w:val="center"/>
              <w:rPr>
                <w:b/>
                <w:color w:val="008000"/>
                <w:sz w:val="28"/>
              </w:rPr>
            </w:pPr>
          </w:p>
        </w:tc>
        <w:tc>
          <w:tcPr>
            <w:tcW w:w="859" w:type="dxa"/>
          </w:tcPr>
          <w:p w:rsidR="00415AC6" w:rsidRPr="004B267D" w:rsidRDefault="00415AC6" w:rsidP="005F6718">
            <w:pPr>
              <w:jc w:val="center"/>
              <w:rPr>
                <w:b/>
                <w:color w:val="008000"/>
                <w:sz w:val="28"/>
              </w:rPr>
            </w:pPr>
          </w:p>
        </w:tc>
      </w:tr>
      <w:tr w:rsidR="00415AC6" w:rsidRPr="007808B6">
        <w:trPr>
          <w:trHeight w:val="236"/>
        </w:trPr>
        <w:tc>
          <w:tcPr>
            <w:tcW w:w="551" w:type="dxa"/>
          </w:tcPr>
          <w:p w:rsidR="00415AC6" w:rsidRDefault="00415AC6" w:rsidP="007C2C98">
            <w:pPr>
              <w:jc w:val="center"/>
              <w:rPr>
                <w:b/>
              </w:rPr>
            </w:pPr>
            <w:r>
              <w:rPr>
                <w:b/>
              </w:rPr>
              <w:t>119</w:t>
            </w:r>
          </w:p>
        </w:tc>
        <w:tc>
          <w:tcPr>
            <w:tcW w:w="8363" w:type="dxa"/>
          </w:tcPr>
          <w:p w:rsidR="00415AC6" w:rsidRPr="008053D4" w:rsidRDefault="009244A4" w:rsidP="001B5445">
            <w:r>
              <w:t xml:space="preserve">Les EI de type B ne sont pas graves </w:t>
            </w:r>
          </w:p>
        </w:tc>
        <w:tc>
          <w:tcPr>
            <w:tcW w:w="892" w:type="dxa"/>
          </w:tcPr>
          <w:p w:rsidR="00415AC6" w:rsidRPr="004B267D" w:rsidRDefault="00415AC6" w:rsidP="00FD2AF6">
            <w:pPr>
              <w:jc w:val="center"/>
              <w:rPr>
                <w:b/>
                <w:color w:val="008000"/>
                <w:sz w:val="28"/>
              </w:rPr>
            </w:pPr>
          </w:p>
        </w:tc>
        <w:tc>
          <w:tcPr>
            <w:tcW w:w="859" w:type="dxa"/>
          </w:tcPr>
          <w:p w:rsidR="00415AC6" w:rsidRPr="004B267D" w:rsidRDefault="00415AC6" w:rsidP="00FD2AF6">
            <w:pPr>
              <w:jc w:val="center"/>
              <w:rPr>
                <w:b/>
                <w:color w:val="008000"/>
                <w:sz w:val="28"/>
              </w:rPr>
            </w:pPr>
          </w:p>
        </w:tc>
      </w:tr>
      <w:tr w:rsidR="00415AC6" w:rsidRPr="007808B6">
        <w:trPr>
          <w:trHeight w:val="236"/>
        </w:trPr>
        <w:tc>
          <w:tcPr>
            <w:tcW w:w="551" w:type="dxa"/>
          </w:tcPr>
          <w:p w:rsidR="00415AC6" w:rsidRDefault="00415AC6" w:rsidP="007C2C98">
            <w:pPr>
              <w:jc w:val="center"/>
              <w:rPr>
                <w:b/>
              </w:rPr>
            </w:pPr>
            <w:r>
              <w:rPr>
                <w:b/>
              </w:rPr>
              <w:t>120</w:t>
            </w:r>
          </w:p>
        </w:tc>
        <w:tc>
          <w:tcPr>
            <w:tcW w:w="8363" w:type="dxa"/>
          </w:tcPr>
          <w:p w:rsidR="001B5445" w:rsidRDefault="009244A4" w:rsidP="007C2C98">
            <w:r>
              <w:t xml:space="preserve">Qu’elles sont les possibles conséquences d’un EI grave ? </w:t>
            </w:r>
          </w:p>
          <w:p w:rsidR="00415AC6" w:rsidRPr="008053D4" w:rsidRDefault="00415AC6" w:rsidP="007C2C98"/>
        </w:tc>
        <w:tc>
          <w:tcPr>
            <w:tcW w:w="892" w:type="dxa"/>
          </w:tcPr>
          <w:p w:rsidR="00415AC6" w:rsidRPr="004B267D" w:rsidRDefault="00415AC6" w:rsidP="00FD2AF6">
            <w:pPr>
              <w:jc w:val="center"/>
              <w:rPr>
                <w:b/>
                <w:color w:val="008000"/>
                <w:sz w:val="28"/>
              </w:rPr>
            </w:pPr>
          </w:p>
        </w:tc>
        <w:tc>
          <w:tcPr>
            <w:tcW w:w="859" w:type="dxa"/>
          </w:tcPr>
          <w:p w:rsidR="00415AC6" w:rsidRPr="004B267D" w:rsidRDefault="00415AC6" w:rsidP="00FD2AF6">
            <w:pPr>
              <w:jc w:val="center"/>
              <w:rPr>
                <w:b/>
                <w:color w:val="008000"/>
                <w:sz w:val="28"/>
              </w:rPr>
            </w:pPr>
          </w:p>
        </w:tc>
      </w:tr>
      <w:tr w:rsidR="00415AC6" w:rsidRPr="007808B6">
        <w:trPr>
          <w:trHeight w:val="236"/>
        </w:trPr>
        <w:tc>
          <w:tcPr>
            <w:tcW w:w="551" w:type="dxa"/>
          </w:tcPr>
          <w:p w:rsidR="00415AC6" w:rsidRDefault="00FD2AF6" w:rsidP="007C2C98">
            <w:pPr>
              <w:jc w:val="center"/>
              <w:rPr>
                <w:b/>
              </w:rPr>
            </w:pPr>
            <w:r>
              <w:rPr>
                <w:b/>
              </w:rPr>
              <w:t>121</w:t>
            </w:r>
          </w:p>
        </w:tc>
        <w:tc>
          <w:tcPr>
            <w:tcW w:w="8363" w:type="dxa"/>
          </w:tcPr>
          <w:p w:rsidR="00415AC6" w:rsidRPr="008053D4" w:rsidRDefault="00FD2AF6" w:rsidP="001B5445">
            <w:r>
              <w:t xml:space="preserve">Si effet indésirable de type A, on doit arrêter l’administration du mdt immédiatement </w:t>
            </w:r>
          </w:p>
        </w:tc>
        <w:tc>
          <w:tcPr>
            <w:tcW w:w="892" w:type="dxa"/>
          </w:tcPr>
          <w:p w:rsidR="00415AC6" w:rsidRPr="004B267D" w:rsidRDefault="00415AC6" w:rsidP="00FD2AF6">
            <w:pPr>
              <w:jc w:val="center"/>
              <w:rPr>
                <w:b/>
                <w:color w:val="008000"/>
                <w:sz w:val="28"/>
              </w:rPr>
            </w:pPr>
          </w:p>
        </w:tc>
        <w:tc>
          <w:tcPr>
            <w:tcW w:w="859" w:type="dxa"/>
          </w:tcPr>
          <w:p w:rsidR="00415AC6" w:rsidRPr="004B267D" w:rsidRDefault="00415AC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122</w:t>
            </w:r>
          </w:p>
        </w:tc>
        <w:tc>
          <w:tcPr>
            <w:tcW w:w="8363" w:type="dxa"/>
          </w:tcPr>
          <w:p w:rsidR="00FD2AF6" w:rsidRPr="008053D4" w:rsidRDefault="00FD2AF6" w:rsidP="007C2C98">
            <w:r>
              <w:t>La iatrogénèse étant proportionnelle à la consommation médicamenteuse, elle est un problème de Santé Publique en France</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123</w:t>
            </w:r>
          </w:p>
        </w:tc>
        <w:tc>
          <w:tcPr>
            <w:tcW w:w="8363" w:type="dxa"/>
          </w:tcPr>
          <w:p w:rsidR="00FD2AF6" w:rsidRPr="008053D4" w:rsidRDefault="00FD2AF6" w:rsidP="007C2C98">
            <w:r>
              <w:t>Les effets indésirables graves et inattendus doivent être déclaré par les médecins au CRPV</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124</w:t>
            </w:r>
          </w:p>
        </w:tc>
        <w:tc>
          <w:tcPr>
            <w:tcW w:w="8363" w:type="dxa"/>
          </w:tcPr>
          <w:p w:rsidR="00FD2AF6" w:rsidRPr="008053D4" w:rsidRDefault="00FD2AF6" w:rsidP="007C2C98">
            <w:r>
              <w:t>Les EI de type A sont dose-dépendant</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125</w:t>
            </w:r>
          </w:p>
        </w:tc>
        <w:tc>
          <w:tcPr>
            <w:tcW w:w="8363" w:type="dxa"/>
          </w:tcPr>
          <w:p w:rsidR="00FD2AF6" w:rsidRPr="008053D4" w:rsidRDefault="00FD2AF6" w:rsidP="007C2C98">
            <w:r>
              <w:t>Les EI de type B sont non attendus</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126</w:t>
            </w:r>
          </w:p>
        </w:tc>
        <w:tc>
          <w:tcPr>
            <w:tcW w:w="8363" w:type="dxa"/>
          </w:tcPr>
          <w:p w:rsidR="00FD2AF6" w:rsidRPr="008053D4" w:rsidRDefault="00FD2AF6" w:rsidP="007C2C98">
            <w:r>
              <w:t xml:space="preserve">Les EI de type C sont confirmés par les propriétés pharmacologiques de la molécule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127</w:t>
            </w:r>
          </w:p>
        </w:tc>
        <w:tc>
          <w:tcPr>
            <w:tcW w:w="8363" w:type="dxa"/>
          </w:tcPr>
          <w:p w:rsidR="00FD2AF6" w:rsidRPr="008053D4" w:rsidRDefault="007C16A0" w:rsidP="007C2C98">
            <w:r>
              <w:t>Les EI de types B sont de faible incidence</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128</w:t>
            </w:r>
          </w:p>
        </w:tc>
        <w:tc>
          <w:tcPr>
            <w:tcW w:w="8363" w:type="dxa"/>
          </w:tcPr>
          <w:p w:rsidR="00FD2AF6" w:rsidRPr="008053D4" w:rsidRDefault="007C16A0" w:rsidP="007C2C98">
            <w:r>
              <w:t>Drici gère le CRPV du coin donc j’ai toujours pensé qu’il pourrait poser de bonnes questions là dessus, il ne l’a jamais trop fait comme on peut le voir mais… qui sait, ce</w:t>
            </w:r>
            <w:r w:rsidR="00D4129F">
              <w:t>tte année il va peut être changer</w:t>
            </w:r>
            <w:r>
              <w:t>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129</w:t>
            </w:r>
          </w:p>
        </w:tc>
        <w:tc>
          <w:tcPr>
            <w:tcW w:w="8363" w:type="dxa"/>
          </w:tcPr>
          <w:p w:rsidR="00FD2AF6" w:rsidRPr="008053D4" w:rsidRDefault="007C16A0" w:rsidP="007C2C98">
            <w:r>
              <w:t>Oui j’ai déjà plus d’idée sur la première partie… quoique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130</w:t>
            </w:r>
          </w:p>
        </w:tc>
        <w:tc>
          <w:tcPr>
            <w:tcW w:w="8363" w:type="dxa"/>
          </w:tcPr>
          <w:p w:rsidR="00FD2AF6" w:rsidRPr="008053D4" w:rsidRDefault="007C16A0" w:rsidP="001B5445">
            <w:r>
              <w:t xml:space="preserve">Un syndrome malin suite à l’administration de neuroleptiques est-il un EI de type B ? Si oui, pourquoi ?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131</w:t>
            </w:r>
          </w:p>
        </w:tc>
        <w:tc>
          <w:tcPr>
            <w:tcW w:w="8363" w:type="dxa"/>
          </w:tcPr>
          <w:p w:rsidR="00FD2AF6" w:rsidRPr="008053D4" w:rsidRDefault="007C16A0" w:rsidP="001B5445">
            <w:r>
              <w:t xml:space="preserve">Un syndrome parkinsonien à la prise d’antipsychotique est-il un effet de type A, si oui, pourquoi ?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132</w:t>
            </w:r>
          </w:p>
        </w:tc>
        <w:tc>
          <w:tcPr>
            <w:tcW w:w="8363" w:type="dxa"/>
          </w:tcPr>
          <w:p w:rsidR="007C16A0" w:rsidRDefault="007C16A0" w:rsidP="007C2C98">
            <w:r>
              <w:t xml:space="preserve">Parce que la répétition est la base de l’apprentissage </w:t>
            </w:r>
            <w:r w:rsidRPr="007C16A0">
              <w:rPr>
                <w:i/>
              </w:rPr>
              <w:t>(on vous l’a énormément répété et on vous le répètera encore plus l’an prochain)</w:t>
            </w:r>
            <w:r>
              <w:rPr>
                <w:i/>
              </w:rPr>
              <w:t xml:space="preserve">… </w:t>
            </w:r>
            <w:r w:rsidRPr="007C16A0">
              <w:t>Remplissez ce tableau :</w:t>
            </w:r>
          </w:p>
          <w:tbl>
            <w:tblPr>
              <w:tblStyle w:val="Grille"/>
              <w:tblpPr w:leftFromText="141" w:rightFromText="141" w:vertAnchor="text" w:horzAnchor="page" w:tblpX="190" w:tblpY="122"/>
              <w:tblOverlap w:val="never"/>
              <w:tblW w:w="0" w:type="auto"/>
              <w:tblLook w:val="00BF"/>
            </w:tblPr>
            <w:tblGrid>
              <w:gridCol w:w="2992"/>
              <w:gridCol w:w="2390"/>
              <w:gridCol w:w="2551"/>
            </w:tblGrid>
            <w:tr w:rsidR="007C16A0">
              <w:trPr>
                <w:trHeight w:val="254"/>
              </w:trPr>
              <w:tc>
                <w:tcPr>
                  <w:tcW w:w="2992" w:type="dxa"/>
                </w:tcPr>
                <w:p w:rsidR="007C16A0" w:rsidRDefault="007C16A0" w:rsidP="007C16A0">
                  <w:pPr>
                    <w:tabs>
                      <w:tab w:val="left" w:pos="2672"/>
                    </w:tabs>
                    <w:jc w:val="center"/>
                  </w:pPr>
                </w:p>
              </w:tc>
              <w:tc>
                <w:tcPr>
                  <w:tcW w:w="2390" w:type="dxa"/>
                </w:tcPr>
                <w:p w:rsidR="007C16A0" w:rsidRPr="00D8604A" w:rsidRDefault="007C16A0" w:rsidP="007C16A0">
                  <w:pPr>
                    <w:tabs>
                      <w:tab w:val="left" w:pos="1120"/>
                      <w:tab w:val="center" w:pos="1709"/>
                    </w:tabs>
                    <w:jc w:val="center"/>
                    <w:rPr>
                      <w:b/>
                    </w:rPr>
                  </w:pPr>
                  <w:r w:rsidRPr="00D8604A">
                    <w:rPr>
                      <w:b/>
                    </w:rPr>
                    <w:t>Type A</w:t>
                  </w:r>
                </w:p>
              </w:tc>
              <w:tc>
                <w:tcPr>
                  <w:tcW w:w="2551" w:type="dxa"/>
                </w:tcPr>
                <w:p w:rsidR="007C16A0" w:rsidRPr="00D8604A" w:rsidRDefault="007C16A0" w:rsidP="007C16A0">
                  <w:pPr>
                    <w:jc w:val="center"/>
                    <w:rPr>
                      <w:b/>
                    </w:rPr>
                  </w:pPr>
                  <w:r w:rsidRPr="00D8604A">
                    <w:rPr>
                      <w:b/>
                    </w:rPr>
                    <w:t>Type B</w:t>
                  </w:r>
                </w:p>
              </w:tc>
            </w:tr>
            <w:tr w:rsidR="007C16A0">
              <w:trPr>
                <w:trHeight w:val="552"/>
              </w:trPr>
              <w:tc>
                <w:tcPr>
                  <w:tcW w:w="2992" w:type="dxa"/>
                </w:tcPr>
                <w:p w:rsidR="007C16A0" w:rsidRPr="00D8604A" w:rsidRDefault="007C16A0" w:rsidP="007C16A0">
                  <w:pPr>
                    <w:jc w:val="center"/>
                    <w:rPr>
                      <w:b/>
                    </w:rPr>
                  </w:pPr>
                  <w:r w:rsidRPr="00D8604A">
                    <w:rPr>
                      <w:b/>
                    </w:rPr>
                    <w:t>Lien avec les propriétés pharmacodynamiques</w:t>
                  </w:r>
                </w:p>
              </w:tc>
              <w:tc>
                <w:tcPr>
                  <w:tcW w:w="2390" w:type="dxa"/>
                </w:tcPr>
                <w:p w:rsidR="007C16A0" w:rsidRPr="009A55FF" w:rsidRDefault="007C16A0" w:rsidP="007C16A0">
                  <w:pPr>
                    <w:jc w:val="center"/>
                    <w:rPr>
                      <w:color w:val="008000"/>
                    </w:rPr>
                  </w:pPr>
                </w:p>
                <w:p w:rsidR="007C16A0" w:rsidRDefault="007C16A0" w:rsidP="001B5445"/>
              </w:tc>
              <w:tc>
                <w:tcPr>
                  <w:tcW w:w="2551" w:type="dxa"/>
                </w:tcPr>
                <w:p w:rsidR="007C16A0" w:rsidRPr="009A55FF" w:rsidRDefault="007C16A0" w:rsidP="007C16A0">
                  <w:pPr>
                    <w:jc w:val="center"/>
                    <w:rPr>
                      <w:color w:val="008000"/>
                    </w:rPr>
                  </w:pPr>
                </w:p>
                <w:p w:rsidR="007C16A0" w:rsidRDefault="007C16A0" w:rsidP="007C16A0">
                  <w:pPr>
                    <w:jc w:val="center"/>
                  </w:pPr>
                </w:p>
              </w:tc>
            </w:tr>
            <w:tr w:rsidR="007C16A0">
              <w:trPr>
                <w:trHeight w:val="220"/>
              </w:trPr>
              <w:tc>
                <w:tcPr>
                  <w:tcW w:w="2992" w:type="dxa"/>
                </w:tcPr>
                <w:p w:rsidR="007C16A0" w:rsidRPr="00D8604A" w:rsidRDefault="007C16A0" w:rsidP="007C16A0">
                  <w:pPr>
                    <w:jc w:val="center"/>
                    <w:rPr>
                      <w:b/>
                    </w:rPr>
                  </w:pPr>
                  <w:r w:rsidRPr="00D8604A">
                    <w:rPr>
                      <w:b/>
                    </w:rPr>
                    <w:t>Incidence</w:t>
                  </w:r>
                </w:p>
              </w:tc>
              <w:tc>
                <w:tcPr>
                  <w:tcW w:w="2390" w:type="dxa"/>
                </w:tcPr>
                <w:p w:rsidR="007C16A0" w:rsidRPr="009A55FF" w:rsidRDefault="007C16A0" w:rsidP="007C16A0">
                  <w:pPr>
                    <w:jc w:val="center"/>
                    <w:rPr>
                      <w:color w:val="008000"/>
                    </w:rPr>
                  </w:pPr>
                </w:p>
              </w:tc>
              <w:tc>
                <w:tcPr>
                  <w:tcW w:w="2551" w:type="dxa"/>
                </w:tcPr>
                <w:p w:rsidR="007C16A0" w:rsidRPr="009A55FF" w:rsidRDefault="007C16A0" w:rsidP="001B5445">
                  <w:pPr>
                    <w:rPr>
                      <w:color w:val="008000"/>
                    </w:rPr>
                  </w:pPr>
                </w:p>
              </w:tc>
            </w:tr>
            <w:tr w:rsidR="007C16A0">
              <w:trPr>
                <w:trHeight w:val="213"/>
              </w:trPr>
              <w:tc>
                <w:tcPr>
                  <w:tcW w:w="2992" w:type="dxa"/>
                </w:tcPr>
                <w:p w:rsidR="007C16A0" w:rsidRPr="00D8604A" w:rsidRDefault="007C16A0" w:rsidP="007C16A0">
                  <w:pPr>
                    <w:jc w:val="center"/>
                    <w:rPr>
                      <w:b/>
                    </w:rPr>
                  </w:pPr>
                  <w:r w:rsidRPr="00D8604A">
                    <w:rPr>
                      <w:b/>
                    </w:rPr>
                    <w:t>Gravité</w:t>
                  </w:r>
                </w:p>
              </w:tc>
              <w:tc>
                <w:tcPr>
                  <w:tcW w:w="2390" w:type="dxa"/>
                </w:tcPr>
                <w:p w:rsidR="007C16A0" w:rsidRPr="009A55FF" w:rsidRDefault="007C16A0" w:rsidP="007C16A0">
                  <w:pPr>
                    <w:jc w:val="center"/>
                    <w:rPr>
                      <w:color w:val="008000"/>
                    </w:rPr>
                  </w:pPr>
                </w:p>
              </w:tc>
              <w:tc>
                <w:tcPr>
                  <w:tcW w:w="2551" w:type="dxa"/>
                </w:tcPr>
                <w:p w:rsidR="007C16A0" w:rsidRPr="009A55FF" w:rsidRDefault="007C16A0" w:rsidP="007C16A0">
                  <w:pPr>
                    <w:jc w:val="center"/>
                    <w:rPr>
                      <w:color w:val="008000"/>
                    </w:rPr>
                  </w:pPr>
                </w:p>
              </w:tc>
            </w:tr>
            <w:tr w:rsidR="007C16A0">
              <w:trPr>
                <w:trHeight w:val="142"/>
              </w:trPr>
              <w:tc>
                <w:tcPr>
                  <w:tcW w:w="2992" w:type="dxa"/>
                </w:tcPr>
                <w:p w:rsidR="007C16A0" w:rsidRPr="00D8604A" w:rsidRDefault="007C16A0" w:rsidP="007C16A0">
                  <w:pPr>
                    <w:jc w:val="center"/>
                    <w:rPr>
                      <w:b/>
                    </w:rPr>
                  </w:pPr>
                  <w:r w:rsidRPr="00D8604A">
                    <w:rPr>
                      <w:b/>
                    </w:rPr>
                    <w:t>Dépistage avant AMM</w:t>
                  </w:r>
                </w:p>
              </w:tc>
              <w:tc>
                <w:tcPr>
                  <w:tcW w:w="2390" w:type="dxa"/>
                </w:tcPr>
                <w:p w:rsidR="007C16A0" w:rsidRPr="009A55FF" w:rsidRDefault="007C16A0" w:rsidP="007C16A0">
                  <w:pPr>
                    <w:jc w:val="center"/>
                    <w:rPr>
                      <w:color w:val="008000"/>
                    </w:rPr>
                  </w:pPr>
                </w:p>
              </w:tc>
              <w:tc>
                <w:tcPr>
                  <w:tcW w:w="2551" w:type="dxa"/>
                </w:tcPr>
                <w:p w:rsidR="007C16A0" w:rsidRPr="009A55FF" w:rsidRDefault="007C16A0" w:rsidP="007C16A0">
                  <w:pPr>
                    <w:jc w:val="center"/>
                    <w:rPr>
                      <w:color w:val="008000"/>
                    </w:rPr>
                  </w:pPr>
                </w:p>
              </w:tc>
            </w:tr>
          </w:tbl>
          <w:p w:rsidR="00FD2AF6" w:rsidRPr="008053D4" w:rsidRDefault="00FD2AF6" w:rsidP="007C2C98"/>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133</w:t>
            </w:r>
          </w:p>
        </w:tc>
        <w:tc>
          <w:tcPr>
            <w:tcW w:w="8363" w:type="dxa"/>
          </w:tcPr>
          <w:p w:rsidR="00FD2AF6" w:rsidRPr="008053D4" w:rsidRDefault="009A55FF" w:rsidP="007C2C98">
            <w:r>
              <w:t>Une interaction médicamenteuse c’est le changement dans l’intensité  ou la durée de la réponse de l’organisme à un médicament en présence d’un autre médicament</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134</w:t>
            </w:r>
          </w:p>
        </w:tc>
        <w:tc>
          <w:tcPr>
            <w:tcW w:w="8363" w:type="dxa"/>
          </w:tcPr>
          <w:p w:rsidR="00FD2AF6" w:rsidRPr="008053D4" w:rsidRDefault="000529E7" w:rsidP="007C2C98">
            <w:r>
              <w:t>Naaaaaan c’est à moi de faire à manger ce soir, pendant que c’t’enfoiré de coloc bosse &gt;&lt;</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135</w:t>
            </w:r>
          </w:p>
        </w:tc>
        <w:tc>
          <w:tcPr>
            <w:tcW w:w="8363" w:type="dxa"/>
          </w:tcPr>
          <w:p w:rsidR="00FD2AF6" w:rsidRPr="008053D4" w:rsidRDefault="00A104DC" w:rsidP="007C2C98">
            <w:r>
              <w:t>Les interactions médicamenteuses se font à partir de 2 médicaments</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FD2AF6" w:rsidRPr="007808B6">
        <w:trPr>
          <w:trHeight w:val="236"/>
        </w:trPr>
        <w:tc>
          <w:tcPr>
            <w:tcW w:w="551" w:type="dxa"/>
          </w:tcPr>
          <w:p w:rsidR="00FD2AF6" w:rsidRDefault="00FD2AF6" w:rsidP="007C2C98">
            <w:pPr>
              <w:jc w:val="center"/>
              <w:rPr>
                <w:b/>
              </w:rPr>
            </w:pPr>
            <w:r>
              <w:rPr>
                <w:b/>
              </w:rPr>
              <w:t>136</w:t>
            </w:r>
          </w:p>
        </w:tc>
        <w:tc>
          <w:tcPr>
            <w:tcW w:w="8363" w:type="dxa"/>
          </w:tcPr>
          <w:p w:rsidR="00FD2AF6" w:rsidRPr="008053D4" w:rsidRDefault="00A104DC" w:rsidP="007C2C98">
            <w:r>
              <w:t>L’objectif des 170 items n’est pas irréaliste je vais le faire !</w:t>
            </w:r>
          </w:p>
        </w:tc>
        <w:tc>
          <w:tcPr>
            <w:tcW w:w="892" w:type="dxa"/>
          </w:tcPr>
          <w:p w:rsidR="00FD2AF6" w:rsidRPr="004B267D" w:rsidRDefault="00FD2AF6" w:rsidP="00FD2AF6">
            <w:pPr>
              <w:jc w:val="center"/>
              <w:rPr>
                <w:b/>
                <w:color w:val="008000"/>
                <w:sz w:val="28"/>
              </w:rPr>
            </w:pPr>
          </w:p>
        </w:tc>
        <w:tc>
          <w:tcPr>
            <w:tcW w:w="859" w:type="dxa"/>
          </w:tcPr>
          <w:p w:rsidR="00FD2AF6" w:rsidRPr="004B267D" w:rsidRDefault="00FD2AF6" w:rsidP="00FD2AF6">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137</w:t>
            </w:r>
          </w:p>
        </w:tc>
        <w:tc>
          <w:tcPr>
            <w:tcW w:w="8363" w:type="dxa"/>
          </w:tcPr>
          <w:p w:rsidR="00A104DC" w:rsidRPr="008053D4" w:rsidRDefault="00A104DC" w:rsidP="00A104DC">
            <w:r>
              <w:t>Bon alors c’est l’histoire d’un….</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138</w:t>
            </w:r>
          </w:p>
        </w:tc>
        <w:tc>
          <w:tcPr>
            <w:tcW w:w="8363" w:type="dxa"/>
          </w:tcPr>
          <w:p w:rsidR="00A104DC" w:rsidRPr="008053D4" w:rsidRDefault="00A104DC" w:rsidP="00A104DC">
            <w:r>
              <w:t>Les interactions médicamenteuses concernent les mdts à index thérapeutique étroit, les mdts avec une relation dose-effet importante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139</w:t>
            </w:r>
          </w:p>
        </w:tc>
        <w:tc>
          <w:tcPr>
            <w:tcW w:w="8363" w:type="dxa"/>
          </w:tcPr>
          <w:p w:rsidR="00FB4846" w:rsidRDefault="00A104DC" w:rsidP="00FB4846">
            <w:pPr>
              <w:rPr>
                <w:color w:val="008000"/>
              </w:rPr>
            </w:pPr>
            <w:r>
              <w:t xml:space="preserve">Les interactions concernent surtout une certaines partie de la population, laquelle et pourquoi ? </w:t>
            </w:r>
          </w:p>
          <w:p w:rsidR="00A104DC" w:rsidRPr="008053D4" w:rsidRDefault="00A104DC" w:rsidP="00FB4846">
            <w:r>
              <w:t xml:space="preserv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140</w:t>
            </w:r>
          </w:p>
        </w:tc>
        <w:tc>
          <w:tcPr>
            <w:tcW w:w="8363" w:type="dxa"/>
          </w:tcPr>
          <w:p w:rsidR="00A104DC" w:rsidRPr="008053D4" w:rsidRDefault="00A104DC" w:rsidP="00A104DC">
            <w:r>
              <w:t>Il y a deux types d’interactions médicamenteuses</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141</w:t>
            </w:r>
          </w:p>
        </w:tc>
        <w:tc>
          <w:tcPr>
            <w:tcW w:w="8363" w:type="dxa"/>
          </w:tcPr>
          <w:p w:rsidR="00A104DC" w:rsidRPr="008053D4" w:rsidRDefault="00893420" w:rsidP="00FB4846">
            <w:r>
              <w:t xml:space="preserve">Les interactions pharmacodynamiques affectent les phases de l’ADME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142</w:t>
            </w:r>
          </w:p>
        </w:tc>
        <w:tc>
          <w:tcPr>
            <w:tcW w:w="8363" w:type="dxa"/>
          </w:tcPr>
          <w:p w:rsidR="00A104DC" w:rsidRPr="008053D4" w:rsidRDefault="00893420" w:rsidP="00A104DC">
            <w:r>
              <w:t xml:space="preserve">Les anti-acides diminuent l’absorption des autres médicaments : c’est une interaction de type _____________ .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143</w:t>
            </w:r>
          </w:p>
        </w:tc>
        <w:tc>
          <w:tcPr>
            <w:tcW w:w="8363" w:type="dxa"/>
          </w:tcPr>
          <w:p w:rsidR="00A104DC" w:rsidRPr="008053D4" w:rsidRDefault="00893420" w:rsidP="00A104DC">
            <w:r>
              <w:t>L’utilisation de digoxine et de diurétiques hypokaliémiants peut causer une interaction de type _____________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144</w:t>
            </w:r>
          </w:p>
        </w:tc>
        <w:tc>
          <w:tcPr>
            <w:tcW w:w="8363" w:type="dxa"/>
          </w:tcPr>
          <w:p w:rsidR="00A104DC" w:rsidRPr="008053D4" w:rsidRDefault="00893420" w:rsidP="00FB4846">
            <w:r>
              <w:t xml:space="preserve">Les cytochromes P450 sont des enzymes ubiquitaires, le plus important dans le métabolisme des médicaments est le 2D6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145</w:t>
            </w:r>
          </w:p>
        </w:tc>
        <w:tc>
          <w:tcPr>
            <w:tcW w:w="8363" w:type="dxa"/>
          </w:tcPr>
          <w:p w:rsidR="00A104DC" w:rsidRPr="008053D4" w:rsidRDefault="00A104DC" w:rsidP="00A104DC">
            <w:r>
              <w:t xml:space="preserve">Les muscles de </w:t>
            </w:r>
            <w:r w:rsidRPr="00893420">
              <w:rPr>
                <w:b/>
              </w:rPr>
              <w:t>Weegun</w:t>
            </w:r>
            <w:r>
              <w:t>, c’est de la gonflette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146</w:t>
            </w:r>
          </w:p>
        </w:tc>
        <w:tc>
          <w:tcPr>
            <w:tcW w:w="8363" w:type="dxa"/>
          </w:tcPr>
          <w:p w:rsidR="00A104DC" w:rsidRPr="008053D4" w:rsidRDefault="00893420" w:rsidP="00A104DC">
            <w:r>
              <w:t>Dans l’induction enzymatique on touche la phase __________ de l’ADME, cela joue sur la vitesse de ___________ en la _____________</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147</w:t>
            </w:r>
          </w:p>
        </w:tc>
        <w:tc>
          <w:tcPr>
            <w:tcW w:w="8363" w:type="dxa"/>
          </w:tcPr>
          <w:p w:rsidR="00A104DC" w:rsidRPr="008053D4" w:rsidRDefault="00893420" w:rsidP="00A104DC">
            <w:r>
              <w:t>Dans l’inhibition enzymatique on touche la phase __________ de l’ADME, cela joue sur la vitesse de ___________ en la _____________</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148</w:t>
            </w:r>
          </w:p>
        </w:tc>
        <w:tc>
          <w:tcPr>
            <w:tcW w:w="8363" w:type="dxa"/>
          </w:tcPr>
          <w:p w:rsidR="00A104DC" w:rsidRPr="008053D4" w:rsidRDefault="00E64D5C" w:rsidP="00A104DC">
            <w:r>
              <w:t xml:space="preserve">Le jus de pamplemousse est un bon exemple inducteur enzymatique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149</w:t>
            </w:r>
          </w:p>
        </w:tc>
        <w:tc>
          <w:tcPr>
            <w:tcW w:w="8363" w:type="dxa"/>
          </w:tcPr>
          <w:p w:rsidR="00E64D5C" w:rsidRDefault="00E64D5C" w:rsidP="00A104DC">
            <w:r>
              <w:t>Citez les différents risques liés aux interactions pharmacodynamiques :</w:t>
            </w:r>
          </w:p>
          <w:p w:rsidR="00A104DC" w:rsidRPr="00E64D5C" w:rsidRDefault="00A104DC" w:rsidP="00E64D5C">
            <w:pPr>
              <w:rPr>
                <w:i/>
                <w:color w:val="008000"/>
              </w:rPr>
            </w:pP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150</w:t>
            </w:r>
          </w:p>
        </w:tc>
        <w:tc>
          <w:tcPr>
            <w:tcW w:w="8363" w:type="dxa"/>
          </w:tcPr>
          <w:p w:rsidR="00A104DC" w:rsidRPr="008053D4" w:rsidRDefault="00DF24BB" w:rsidP="00A104DC">
            <w:r>
              <w:t>Mon coloc (</w:t>
            </w:r>
            <w:r w:rsidRPr="00893420">
              <w:rPr>
                <w:b/>
              </w:rPr>
              <w:t>Julus</w:t>
            </w:r>
            <w:r>
              <w:t>) est actuellement en train de siffler la marche de l’Empereur alors qu’il est sur le trône ! WTF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151</w:t>
            </w:r>
          </w:p>
        </w:tc>
        <w:tc>
          <w:tcPr>
            <w:tcW w:w="8363" w:type="dxa"/>
          </w:tcPr>
          <w:p w:rsidR="00A104DC" w:rsidRPr="008053D4" w:rsidRDefault="00E64D5C" w:rsidP="00A104DC">
            <w:r>
              <w:t>Conséquence des interactions médicamenteuses sont l’aggravation ou l’apparition d’un EI et la moindre efficacité des ttts pris</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152</w:t>
            </w:r>
          </w:p>
        </w:tc>
        <w:tc>
          <w:tcPr>
            <w:tcW w:w="8363" w:type="dxa"/>
          </w:tcPr>
          <w:p w:rsidR="00A104DC" w:rsidRPr="008053D4" w:rsidRDefault="006B0DE8" w:rsidP="00FB4846">
            <w:r>
              <w:t>Le surdosage apparaît toujours à dosage excessif</w:t>
            </w:r>
            <w:r w:rsidRPr="006B0DE8">
              <w:rPr>
                <w:color w:val="008000"/>
              </w:rPr>
              <w:t xml:space="preserv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153</w:t>
            </w:r>
          </w:p>
        </w:tc>
        <w:tc>
          <w:tcPr>
            <w:tcW w:w="8363" w:type="dxa"/>
          </w:tcPr>
          <w:p w:rsidR="00A104DC" w:rsidRPr="008053D4" w:rsidRDefault="00416541" w:rsidP="00A104DC">
            <w:r>
              <w:t>Le surdosage inclus les usage anormal par le patient, volontaire ou accidentelle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154</w:t>
            </w:r>
          </w:p>
        </w:tc>
        <w:tc>
          <w:tcPr>
            <w:tcW w:w="8363" w:type="dxa"/>
          </w:tcPr>
          <w:p w:rsidR="00A104DC" w:rsidRPr="008053D4" w:rsidRDefault="00416541" w:rsidP="00A104DC">
            <w:r>
              <w:t>Les surdosages nécessitent parfois des traitements spécifiques comme le charbon actif pour sauver les patients</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155</w:t>
            </w:r>
          </w:p>
        </w:tc>
        <w:tc>
          <w:tcPr>
            <w:tcW w:w="8363" w:type="dxa"/>
          </w:tcPr>
          <w:p w:rsidR="00A104DC" w:rsidRPr="008053D4" w:rsidRDefault="00150BE9" w:rsidP="00A104DC">
            <w:r>
              <w:t xml:space="preserve">To </w:t>
            </w:r>
            <w:r w:rsidRPr="00893420">
              <w:rPr>
                <w:b/>
              </w:rPr>
              <w:t>Maximus </w:t>
            </w:r>
            <w:r>
              <w:t xml:space="preserve">: </w:t>
            </w:r>
            <w:r w:rsidR="00FB4846">
              <w:t>« </w:t>
            </w:r>
            <w:r w:rsidRPr="00893420">
              <w:rPr>
                <w:b/>
              </w:rPr>
              <w:t>Xi gua </w:t>
            </w:r>
            <w:r>
              <w:t>!</w:t>
            </w:r>
            <w:r w:rsidR="00FB4846">
              <w:t> »</w:t>
            </w:r>
            <w:r>
              <w:t xml:space="preserve"> (Inside joke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156</w:t>
            </w:r>
          </w:p>
        </w:tc>
        <w:tc>
          <w:tcPr>
            <w:tcW w:w="8363" w:type="dxa"/>
          </w:tcPr>
          <w:p w:rsidR="00A104DC" w:rsidRPr="008053D4" w:rsidRDefault="00416541" w:rsidP="00A104DC">
            <w:r>
              <w:t>La pharmacologie se fait seulement à dose thérapeutique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157</w:t>
            </w:r>
          </w:p>
        </w:tc>
        <w:tc>
          <w:tcPr>
            <w:tcW w:w="8363" w:type="dxa"/>
          </w:tcPr>
          <w:p w:rsidR="00A104DC" w:rsidRPr="008053D4" w:rsidRDefault="006B0DE8" w:rsidP="00FB4846">
            <w:r>
              <w:t>Les risques de surdosage peuvent apparaître si le patient est insuffisant rénal/hépati</w:t>
            </w:r>
            <w:r w:rsidR="004E467B">
              <w:t xml:space="preserve">que, si c’est un </w:t>
            </w:r>
            <w:r w:rsidR="004E467B" w:rsidRPr="004E467B">
              <w:rPr>
                <w:b/>
              </w:rPr>
              <w:t>crétin de Too</w:t>
            </w:r>
            <w:r w:rsidR="00034BEF">
              <w:rPr>
                <w:b/>
              </w:rPr>
              <w:t>k</w:t>
            </w:r>
            <w:r w:rsidR="004E467B">
              <w:rPr>
                <w:b/>
              </w:rPr>
              <w:t xml:space="preserve"> (Maxi</w:t>
            </w:r>
            <w:r w:rsidR="004E467B" w:rsidRPr="004E467B">
              <w:rPr>
                <w:b/>
              </w:rPr>
              <w:t>imu</w:t>
            </w:r>
            <w:r w:rsidR="004E467B">
              <w:rPr>
                <w:b/>
              </w:rPr>
              <w:t>u</w:t>
            </w:r>
            <w:r w:rsidR="004E467B" w:rsidRPr="004E467B">
              <w:rPr>
                <w:b/>
              </w:rPr>
              <w:t>uus)</w:t>
            </w:r>
            <w:r w:rsidR="00034BEF">
              <w:rPr>
                <w:b/>
              </w:rPr>
              <w:t>,</w:t>
            </w:r>
            <w:r w:rsidR="00416541">
              <w:t xml:space="preserve"> s’il y a une interaction médicamenteuse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158</w:t>
            </w:r>
          </w:p>
        </w:tc>
        <w:tc>
          <w:tcPr>
            <w:tcW w:w="8363" w:type="dxa"/>
          </w:tcPr>
          <w:p w:rsidR="00A104DC" w:rsidRPr="008053D4" w:rsidRDefault="00FB4846" w:rsidP="0069026E">
            <w:r>
              <w:t xml:space="preserve">Le polymorphisme génétique des cytochromes ne peut pas créer de surdosage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159</w:t>
            </w:r>
          </w:p>
        </w:tc>
        <w:tc>
          <w:tcPr>
            <w:tcW w:w="8363" w:type="dxa"/>
          </w:tcPr>
          <w:p w:rsidR="00A104DC" w:rsidRPr="00FB4846" w:rsidRDefault="00FB4846" w:rsidP="00A104DC">
            <w:r>
              <w:t>La pharmacodépendance est la perte de liberté de s’abstenir d’un médicament</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160</w:t>
            </w:r>
          </w:p>
        </w:tc>
        <w:tc>
          <w:tcPr>
            <w:tcW w:w="8363" w:type="dxa"/>
          </w:tcPr>
          <w:p w:rsidR="00A104DC" w:rsidRPr="008053D4" w:rsidRDefault="00FB4846" w:rsidP="00A104DC">
            <w:r>
              <w:t>Il y a 2 types de pharmacodépendance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161</w:t>
            </w:r>
          </w:p>
        </w:tc>
        <w:tc>
          <w:tcPr>
            <w:tcW w:w="8363" w:type="dxa"/>
          </w:tcPr>
          <w:p w:rsidR="00A104DC" w:rsidRPr="00DF24BB" w:rsidRDefault="00FB4846" w:rsidP="0069026E">
            <w:r>
              <w:t xml:space="preserve">La pharmacodépendance physique correspond au désir de répéter les prises pour retrouver les effets liés aux produits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162</w:t>
            </w:r>
          </w:p>
        </w:tc>
        <w:tc>
          <w:tcPr>
            <w:tcW w:w="8363" w:type="dxa"/>
          </w:tcPr>
          <w:p w:rsidR="00FB4846" w:rsidRDefault="00893420" w:rsidP="00893420">
            <w:r w:rsidRPr="00893420">
              <w:rPr>
                <w:b/>
                <w:noProof/>
                <w:lang w:eastAsia="fr-FR"/>
              </w:rPr>
              <w:drawing>
                <wp:anchor distT="0" distB="0" distL="114300" distR="114300" simplePos="0" relativeHeight="251663360" behindDoc="0" locked="0" layoutInCell="1" allowOverlap="1">
                  <wp:simplePos x="0" y="0"/>
                  <wp:positionH relativeFrom="column">
                    <wp:posOffset>69215</wp:posOffset>
                  </wp:positionH>
                  <wp:positionV relativeFrom="paragraph">
                    <wp:posOffset>273050</wp:posOffset>
                  </wp:positionV>
                  <wp:extent cx="2110154" cy="1587548"/>
                  <wp:effectExtent l="0" t="279400" r="0" b="241252"/>
                  <wp:wrapSquare wrapText="bothSides"/>
                  <wp:docPr id="9" name="" descr="Photo 06-02-13 22 07 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oto 06-02-13 22 07 40.jpg"/>
                          <pic:cNvPicPr/>
                        </pic:nvPicPr>
                        <pic:blipFill>
                          <a:blip r:embed="rId11"/>
                          <a:stretch>
                            <a:fillRect/>
                          </a:stretch>
                        </pic:blipFill>
                        <pic:spPr>
                          <a:xfrm rot="5400000">
                            <a:off x="0" y="0"/>
                            <a:ext cx="2110154" cy="1587548"/>
                          </a:xfrm>
                          <a:prstGeom prst="rect">
                            <a:avLst/>
                          </a:prstGeom>
                        </pic:spPr>
                      </pic:pic>
                    </a:graphicData>
                  </a:graphic>
                </wp:anchor>
              </w:drawing>
            </w:r>
            <w:r w:rsidRPr="00893420">
              <w:rPr>
                <w:b/>
              </w:rPr>
              <w:t>Bec</w:t>
            </w:r>
            <w:r w:rsidR="00E64D5C">
              <w:rPr>
                <w:b/>
              </w:rPr>
              <w:t xml:space="preserve">ause I’ll never forget about the </w:t>
            </w:r>
            <w:r w:rsidRPr="00893420">
              <w:rPr>
                <w:b/>
              </w:rPr>
              <w:t>« chantilly</w:t>
            </w:r>
            <w:r w:rsidR="00FB4846">
              <w:rPr>
                <w:b/>
              </w:rPr>
              <w:t> »</w:t>
            </w:r>
            <w:r w:rsidRPr="00893420">
              <w:rPr>
                <w:b/>
              </w:rPr>
              <w:t> </w:t>
            </w:r>
            <w:r w:rsidR="00FB4846">
              <w:rPr>
                <w:b/>
              </w:rPr>
              <w:t>…</w:t>
            </w:r>
            <w:r w:rsidR="00FB4846">
              <w:t xml:space="preserve"> </w:t>
            </w:r>
          </w:p>
          <w:p w:rsidR="00893420" w:rsidRPr="00FB4846" w:rsidRDefault="00FB4846" w:rsidP="00893420">
            <w:pPr>
              <w:rPr>
                <w:b/>
              </w:rPr>
            </w:pPr>
            <w:r w:rsidRPr="00FB4846">
              <w:rPr>
                <w:b/>
              </w:rPr>
              <w:t>:D</w:t>
            </w:r>
          </w:p>
          <w:p w:rsidR="00893420" w:rsidRDefault="00893420" w:rsidP="00893420">
            <w:r>
              <w:t>Esprit sensib</w:t>
            </w:r>
            <w:r w:rsidR="00FB4846">
              <w:t xml:space="preserve">le s’abstenir, pour les autres… </w:t>
            </w:r>
            <w:r>
              <w:t>zoomer !</w:t>
            </w:r>
          </w:p>
          <w:p w:rsidR="00893420" w:rsidRDefault="00893420" w:rsidP="00893420"/>
          <w:p w:rsidR="00893420" w:rsidRPr="00893420" w:rsidRDefault="00893420" w:rsidP="00893420">
            <w:pPr>
              <w:rPr>
                <w:i/>
              </w:rPr>
            </w:pPr>
            <w:r w:rsidRPr="00DF24BB">
              <w:rPr>
                <w:i/>
              </w:rPr>
              <w:t>Qui est la plus coquine :</w:t>
            </w:r>
          </w:p>
          <w:p w:rsidR="00893420" w:rsidRPr="00DF24BB" w:rsidRDefault="00893420" w:rsidP="00893420">
            <w:pPr>
              <w:rPr>
                <w:i/>
              </w:rPr>
            </w:pPr>
            <w:r w:rsidRPr="00DF24BB">
              <w:rPr>
                <w:i/>
              </w:rPr>
              <w:t>A) Les ptites lunettes</w:t>
            </w:r>
          </w:p>
          <w:p w:rsidR="00893420" w:rsidRPr="00DF24BB" w:rsidRDefault="00893420" w:rsidP="00893420">
            <w:pPr>
              <w:rPr>
                <w:i/>
              </w:rPr>
            </w:pPr>
            <w:r w:rsidRPr="00DF24BB">
              <w:rPr>
                <w:i/>
              </w:rPr>
              <w:t>B) La casquette</w:t>
            </w:r>
          </w:p>
          <w:p w:rsidR="00893420" w:rsidRPr="00DF24BB" w:rsidRDefault="00893420" w:rsidP="00893420">
            <w:pPr>
              <w:rPr>
                <w:i/>
              </w:rPr>
            </w:pPr>
            <w:r w:rsidRPr="00DF24BB">
              <w:rPr>
                <w:i/>
              </w:rPr>
              <w:t>C) Le bandeau</w:t>
            </w:r>
          </w:p>
          <w:p w:rsidR="00893420" w:rsidRPr="00DF24BB" w:rsidRDefault="00893420" w:rsidP="00893420">
            <w:pPr>
              <w:rPr>
                <w:i/>
              </w:rPr>
            </w:pPr>
            <w:r w:rsidRPr="00DF24BB">
              <w:rPr>
                <w:i/>
              </w:rPr>
              <w:t>D) Au point où j’en suis. Les trois ! </w:t>
            </w:r>
          </w:p>
          <w:p w:rsidR="00893420" w:rsidRPr="00893420" w:rsidRDefault="00893420" w:rsidP="00893420">
            <w:pPr>
              <w:rPr>
                <w:b/>
                <w:i/>
              </w:rPr>
            </w:pPr>
            <w:r w:rsidRPr="00DF24BB">
              <w:rPr>
                <w:i/>
              </w:rPr>
              <w:t xml:space="preserve">E) Bon allez j’vous donne la réponse… </w:t>
            </w:r>
            <w:r w:rsidRPr="00893420">
              <w:rPr>
                <w:b/>
                <w:i/>
              </w:rPr>
              <w:t>celle du milieu EVIDEMMENT !!</w:t>
            </w:r>
          </w:p>
          <w:p w:rsidR="00A104DC" w:rsidRPr="00893420" w:rsidRDefault="00A104DC" w:rsidP="00A104DC"/>
        </w:tc>
        <w:tc>
          <w:tcPr>
            <w:tcW w:w="892" w:type="dxa"/>
          </w:tcPr>
          <w:p w:rsidR="00A104DC" w:rsidRPr="004B267D" w:rsidRDefault="00893420" w:rsidP="00A104DC">
            <w:pPr>
              <w:jc w:val="center"/>
              <w:rPr>
                <w:b/>
                <w:color w:val="008000"/>
                <w:sz w:val="28"/>
              </w:rPr>
            </w:pPr>
            <w:r>
              <w:rPr>
                <w:b/>
                <w:color w:val="008000"/>
                <w:sz w:val="28"/>
              </w:rPr>
              <w:t>E !</w:t>
            </w: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163</w:t>
            </w:r>
          </w:p>
        </w:tc>
        <w:tc>
          <w:tcPr>
            <w:tcW w:w="8363" w:type="dxa"/>
          </w:tcPr>
          <w:p w:rsidR="00A104DC" w:rsidRPr="008053D4" w:rsidRDefault="00FB4846" w:rsidP="00A104DC">
            <w:r>
              <w:t xml:space="preserve">La Tolérance est la diminution de l’effet pour une dose variable de médicament au fur et à mesure que se répète son administration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164</w:t>
            </w:r>
          </w:p>
        </w:tc>
        <w:tc>
          <w:tcPr>
            <w:tcW w:w="8363" w:type="dxa"/>
          </w:tcPr>
          <w:p w:rsidR="00A104DC" w:rsidRPr="008053D4" w:rsidRDefault="00FB4846" w:rsidP="00A104DC">
            <w:r>
              <w:t>Pour éliminer le phénomène de tolérance il faut augmenter les posologies</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165</w:t>
            </w:r>
          </w:p>
        </w:tc>
        <w:tc>
          <w:tcPr>
            <w:tcW w:w="8363" w:type="dxa"/>
          </w:tcPr>
          <w:p w:rsidR="00A104DC" w:rsidRPr="008053D4" w:rsidRDefault="00B373C0" w:rsidP="00A104DC">
            <w:r>
              <w:t xml:space="preserve">Les centres anti-poison sont au sein des CHU et informent médecins et patients possiblement par téléphone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166</w:t>
            </w:r>
          </w:p>
        </w:tc>
        <w:tc>
          <w:tcPr>
            <w:tcW w:w="8363" w:type="dxa"/>
          </w:tcPr>
          <w:p w:rsidR="00A104DC" w:rsidRPr="008053D4" w:rsidRDefault="00B373C0" w:rsidP="00A104DC">
            <w:r>
              <w:t>Il existe un centre d’évaluation et d’information sur la pharmacodépendance pour découvrir les mdts créant des dépendance et en modifier alors les RCP, conditions de prescription/délivrance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167</w:t>
            </w:r>
          </w:p>
        </w:tc>
        <w:tc>
          <w:tcPr>
            <w:tcW w:w="8363" w:type="dxa"/>
          </w:tcPr>
          <w:p w:rsidR="00A104DC" w:rsidRPr="008053D4" w:rsidRDefault="00B373C0" w:rsidP="00A104DC">
            <w:r>
              <w:t>La pharmacodépendance physique peut amener à l’arrêt des troubles physiques intenses, comme à un retour de la symptomatologie de manière exacerbée</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168</w:t>
            </w:r>
          </w:p>
        </w:tc>
        <w:tc>
          <w:tcPr>
            <w:tcW w:w="8363" w:type="dxa"/>
          </w:tcPr>
          <w:p w:rsidR="00A104DC" w:rsidRPr="008053D4" w:rsidRDefault="00B373C0" w:rsidP="00A104DC">
            <w:r>
              <w:t>Quand vous serez médecins vous aurez le devoir de vous former et de vous informer, mais aussi de suivre les recommandations, faire de bons diagnostiques et de ne pas prendre les patients pour des objets privés de conscience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169</w:t>
            </w:r>
          </w:p>
        </w:tc>
        <w:tc>
          <w:tcPr>
            <w:tcW w:w="8363" w:type="dxa"/>
          </w:tcPr>
          <w:p w:rsidR="00A104DC" w:rsidRPr="008053D4" w:rsidRDefault="00B373C0" w:rsidP="00A104DC">
            <w:r>
              <w:t>Tous les médicaments sont toxiques, comme le disait Paracelse, c’est la dose qui fait le poison, en tant que futur médecins vous avez le devoir de faire de bonne prescription, la pharmaco c’est donc chiant à apprendre mais hyper important dans la pratique, sans médicaments on ne fait pas grand chose aujourd’hui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r w:rsidR="00A104DC" w:rsidRPr="007808B6">
        <w:trPr>
          <w:trHeight w:val="236"/>
        </w:trPr>
        <w:tc>
          <w:tcPr>
            <w:tcW w:w="551" w:type="dxa"/>
          </w:tcPr>
          <w:p w:rsidR="00A104DC" w:rsidRDefault="00A104DC" w:rsidP="00A104DC">
            <w:pPr>
              <w:jc w:val="center"/>
              <w:rPr>
                <w:b/>
              </w:rPr>
            </w:pPr>
            <w:r>
              <w:rPr>
                <w:b/>
              </w:rPr>
              <w:t>170</w:t>
            </w:r>
          </w:p>
        </w:tc>
        <w:tc>
          <w:tcPr>
            <w:tcW w:w="8363" w:type="dxa"/>
          </w:tcPr>
          <w:p w:rsidR="00150BE9" w:rsidRDefault="00150BE9" w:rsidP="00A104DC">
            <w:r>
              <w:t>Finalement on y est, 170 items, j’en ai terriblement chi** et j’espère que ça vous a servi !</w:t>
            </w:r>
          </w:p>
          <w:p w:rsidR="00150BE9" w:rsidRDefault="006174CA" w:rsidP="00A104DC">
            <w:r>
              <w:t xml:space="preserve">Dernièr vrai/faux à votre intention, ça ne concerne que vous, vous seul </w:t>
            </w:r>
            <w:r w:rsidR="00150BE9">
              <w:t>pouvez répondre :</w:t>
            </w:r>
          </w:p>
          <w:p w:rsidR="00A104DC" w:rsidRPr="008053D4" w:rsidRDefault="00150BE9" w:rsidP="00A104DC">
            <w:r>
              <w:t> « L’année prochaine je serai en P2 ! »</w:t>
            </w:r>
          </w:p>
        </w:tc>
        <w:tc>
          <w:tcPr>
            <w:tcW w:w="892" w:type="dxa"/>
          </w:tcPr>
          <w:p w:rsidR="00A104DC" w:rsidRPr="004B267D" w:rsidRDefault="00A104DC" w:rsidP="00A104DC">
            <w:pPr>
              <w:jc w:val="center"/>
              <w:rPr>
                <w:b/>
                <w:color w:val="008000"/>
                <w:sz w:val="28"/>
              </w:rPr>
            </w:pPr>
          </w:p>
        </w:tc>
        <w:tc>
          <w:tcPr>
            <w:tcW w:w="859" w:type="dxa"/>
          </w:tcPr>
          <w:p w:rsidR="00A104DC" w:rsidRPr="004B267D" w:rsidRDefault="00A104DC" w:rsidP="00A104DC">
            <w:pPr>
              <w:jc w:val="center"/>
              <w:rPr>
                <w:b/>
                <w:color w:val="008000"/>
                <w:sz w:val="28"/>
              </w:rPr>
            </w:pPr>
          </w:p>
        </w:tc>
      </w:tr>
    </w:tbl>
    <w:p w:rsidR="00B373C0" w:rsidRDefault="00B373C0" w:rsidP="004B267D">
      <w:pPr>
        <w:widowControl w:val="0"/>
        <w:autoSpaceDE w:val="0"/>
        <w:autoSpaceDN w:val="0"/>
        <w:adjustRightInd w:val="0"/>
        <w:spacing w:after="0" w:line="240" w:lineRule="auto"/>
        <w:ind w:right="-24"/>
        <w:rPr>
          <w:rFonts w:ascii="Times New Roman" w:hAnsi="Times New Roman" w:cs="Arial"/>
          <w:b/>
          <w:szCs w:val="20"/>
        </w:rPr>
      </w:pPr>
    </w:p>
    <w:p w:rsidR="00B373C0" w:rsidRDefault="00B373C0" w:rsidP="004B267D">
      <w:pPr>
        <w:widowControl w:val="0"/>
        <w:autoSpaceDE w:val="0"/>
        <w:autoSpaceDN w:val="0"/>
        <w:adjustRightInd w:val="0"/>
        <w:spacing w:after="0" w:line="240" w:lineRule="auto"/>
        <w:ind w:right="-24"/>
        <w:rPr>
          <w:rFonts w:ascii="Times New Roman" w:hAnsi="Times New Roman" w:cs="Arial"/>
          <w:b/>
          <w:szCs w:val="20"/>
        </w:rPr>
      </w:pPr>
    </w:p>
    <w:p w:rsidR="00497860" w:rsidRDefault="00B373C0" w:rsidP="004B267D">
      <w:pPr>
        <w:widowControl w:val="0"/>
        <w:autoSpaceDE w:val="0"/>
        <w:autoSpaceDN w:val="0"/>
        <w:adjustRightInd w:val="0"/>
        <w:spacing w:after="0" w:line="240" w:lineRule="auto"/>
        <w:ind w:right="-24"/>
        <w:rPr>
          <w:rFonts w:ascii="Times New Roman" w:hAnsi="Times New Roman" w:cs="Arial"/>
          <w:b/>
          <w:szCs w:val="20"/>
        </w:rPr>
      </w:pPr>
      <w:r>
        <w:rPr>
          <w:rFonts w:ascii="Times New Roman" w:hAnsi="Times New Roman" w:cs="Arial"/>
          <w:b/>
          <w:sz w:val="34"/>
          <w:szCs w:val="20"/>
        </w:rPr>
        <w:t xml:space="preserve">  </w:t>
      </w:r>
      <w:r w:rsidRPr="00B373C0">
        <w:rPr>
          <w:rFonts w:ascii="Times New Roman" w:hAnsi="Times New Roman" w:cs="Arial"/>
          <w:b/>
          <w:sz w:val="34"/>
          <w:szCs w:val="20"/>
        </w:rPr>
        <w:t>V</w:t>
      </w:r>
      <w:r>
        <w:rPr>
          <w:rFonts w:ascii="Times New Roman" w:hAnsi="Times New Roman" w:cs="Arial"/>
          <w:b/>
          <w:szCs w:val="20"/>
        </w:rPr>
        <w:t xml:space="preserve">oilà c’est fini, je tenais à vous dire que j’ai été très heureux d’être tuteur de pharmaco pour vous cette année ! Au départ je ne savais pas à quoi m’attendre, la pharmaco ouais j’aimais bien en P1 mais j’aurai voulu être tuteur d’anat’ moi… </w:t>
      </w:r>
      <w:r w:rsidR="00497860" w:rsidRPr="00497860">
        <w:rPr>
          <w:rFonts w:ascii="Times New Roman" w:hAnsi="Times New Roman" w:cs="Arial"/>
          <w:sz w:val="14"/>
          <w:szCs w:val="20"/>
        </w:rPr>
        <w:t>A</w:t>
      </w:r>
      <w:r w:rsidRPr="00497860">
        <w:rPr>
          <w:rFonts w:ascii="Times New Roman" w:hAnsi="Times New Roman" w:cs="Arial"/>
          <w:sz w:val="14"/>
          <w:szCs w:val="20"/>
        </w:rPr>
        <w:t>u final j’ai rencontré vos tuteurs d’anat’ et honnêtement de tous les tuteurs qui ont demandé à faire l’UE5, c’est les meilleurs qui ont été pris pour le poste et pas seulement pour leurs connaissances (que j’avais aussi :p).</w:t>
      </w:r>
      <w:r w:rsidR="00497860">
        <w:rPr>
          <w:rFonts w:ascii="Times New Roman" w:hAnsi="Times New Roman" w:cs="Arial"/>
          <w:sz w:val="14"/>
          <w:szCs w:val="20"/>
        </w:rPr>
        <w:t xml:space="preserve"> </w:t>
      </w:r>
      <w:r w:rsidR="00497860" w:rsidRPr="00497860">
        <w:rPr>
          <w:rFonts w:ascii="Times New Roman" w:hAnsi="Times New Roman" w:cs="Arial"/>
          <w:b/>
          <w:szCs w:val="20"/>
        </w:rPr>
        <w:t>Mais je ne regrette pas, parce que la pharmaco, c’</w:t>
      </w:r>
      <w:r w:rsidR="00497860">
        <w:rPr>
          <w:rFonts w:ascii="Times New Roman" w:hAnsi="Times New Roman" w:cs="Arial"/>
          <w:b/>
          <w:szCs w:val="20"/>
        </w:rPr>
        <w:t xml:space="preserve">est essentielle et </w:t>
      </w:r>
      <w:r w:rsidR="00497860" w:rsidRPr="00497860">
        <w:rPr>
          <w:rFonts w:ascii="Times New Roman" w:hAnsi="Times New Roman" w:cs="Arial"/>
          <w:b/>
          <w:szCs w:val="20"/>
        </w:rPr>
        <w:t>il va falloir s’</w:t>
      </w:r>
      <w:r w:rsidR="00497860">
        <w:rPr>
          <w:rFonts w:ascii="Times New Roman" w:hAnsi="Times New Roman" w:cs="Arial"/>
          <w:b/>
          <w:szCs w:val="20"/>
        </w:rPr>
        <w:t>accrochez pour la pharmaco en</w:t>
      </w:r>
      <w:r w:rsidR="00497860" w:rsidRPr="00497860">
        <w:rPr>
          <w:rFonts w:ascii="Times New Roman" w:hAnsi="Times New Roman" w:cs="Arial"/>
          <w:b/>
          <w:szCs w:val="20"/>
        </w:rPr>
        <w:t xml:space="preserve"> P2 !</w:t>
      </w:r>
      <w:r w:rsidR="00497860">
        <w:rPr>
          <w:rFonts w:ascii="Times New Roman" w:hAnsi="Times New Roman" w:cs="Arial"/>
          <w:b/>
          <w:szCs w:val="20"/>
        </w:rPr>
        <w:t xml:space="preserve"> En plus je suis tombé sur une co-tut avec qui je m’entend bien et surtout qui est une ficheuse ! Q</w:t>
      </w:r>
      <w:r w:rsidR="00497860" w:rsidRPr="00497860">
        <w:rPr>
          <w:rFonts w:ascii="Times New Roman" w:hAnsi="Times New Roman" w:cs="Arial"/>
          <w:b/>
          <w:szCs w:val="20"/>
        </w:rPr>
        <w:t>uelque chose qui me manquait cruellement et qui aurait été très très compliqué sans elle</w:t>
      </w:r>
      <w:r w:rsidR="00497860">
        <w:rPr>
          <w:rFonts w:ascii="Times New Roman" w:hAnsi="Times New Roman" w:cs="Arial"/>
          <w:b/>
          <w:szCs w:val="20"/>
        </w:rPr>
        <w:t xml:space="preserve">, je la remercie au passage pour sa motivation et son travail (au cas où elle lirait ce DM !). </w:t>
      </w:r>
    </w:p>
    <w:p w:rsidR="00497860" w:rsidRDefault="00497860" w:rsidP="004B267D">
      <w:pPr>
        <w:widowControl w:val="0"/>
        <w:autoSpaceDE w:val="0"/>
        <w:autoSpaceDN w:val="0"/>
        <w:adjustRightInd w:val="0"/>
        <w:spacing w:after="0" w:line="240" w:lineRule="auto"/>
        <w:ind w:right="-24"/>
        <w:rPr>
          <w:rFonts w:ascii="Times New Roman" w:hAnsi="Times New Roman" w:cs="Arial"/>
          <w:b/>
          <w:szCs w:val="20"/>
        </w:rPr>
      </w:pPr>
      <w:r>
        <w:rPr>
          <w:rFonts w:ascii="Times New Roman" w:hAnsi="Times New Roman" w:cs="Arial"/>
          <w:b/>
          <w:szCs w:val="20"/>
        </w:rPr>
        <w:t>Bref avec le tutorat vous allez rencontrer un tas de gens géniaux, vous allez vous investir pour une bonne cause en aidant des gens qui subissent une épreuve que vous avez vécu et où l’on vous a aidé, vous allez donner ce que l’on vous a donné cette année… vous allez en ressortir grandi croyez moi.</w:t>
      </w:r>
    </w:p>
    <w:p w:rsidR="00497860" w:rsidRPr="00497860" w:rsidRDefault="00497860" w:rsidP="004B267D">
      <w:pPr>
        <w:widowControl w:val="0"/>
        <w:autoSpaceDE w:val="0"/>
        <w:autoSpaceDN w:val="0"/>
        <w:adjustRightInd w:val="0"/>
        <w:spacing w:after="0" w:line="240" w:lineRule="auto"/>
        <w:ind w:right="-24"/>
        <w:rPr>
          <w:rFonts w:ascii="Times New Roman" w:hAnsi="Times New Roman" w:cs="Arial"/>
          <w:b/>
          <w:szCs w:val="20"/>
        </w:rPr>
      </w:pPr>
    </w:p>
    <w:p w:rsidR="00497860" w:rsidRDefault="00B373C0" w:rsidP="004B267D">
      <w:pPr>
        <w:widowControl w:val="0"/>
        <w:autoSpaceDE w:val="0"/>
        <w:autoSpaceDN w:val="0"/>
        <w:adjustRightInd w:val="0"/>
        <w:spacing w:after="0" w:line="240" w:lineRule="auto"/>
        <w:ind w:right="-24"/>
        <w:rPr>
          <w:rFonts w:ascii="Times New Roman" w:hAnsi="Times New Roman" w:cs="Arial"/>
          <w:b/>
          <w:szCs w:val="20"/>
        </w:rPr>
      </w:pPr>
      <w:r>
        <w:rPr>
          <w:rFonts w:ascii="Times New Roman" w:hAnsi="Times New Roman" w:cs="Arial"/>
          <w:b/>
          <w:szCs w:val="20"/>
        </w:rPr>
        <w:t>Je ne vais pas vous mentir, ça va être dur</w:t>
      </w:r>
      <w:r w:rsidR="00497860">
        <w:rPr>
          <w:rFonts w:ascii="Times New Roman" w:hAnsi="Times New Roman" w:cs="Arial"/>
          <w:b/>
          <w:szCs w:val="20"/>
        </w:rPr>
        <w:t>, très dur</w:t>
      </w:r>
      <w:r>
        <w:rPr>
          <w:rFonts w:ascii="Times New Roman" w:hAnsi="Times New Roman" w:cs="Arial"/>
          <w:b/>
          <w:szCs w:val="20"/>
        </w:rPr>
        <w:t xml:space="preserve">, </w:t>
      </w:r>
      <w:r w:rsidR="00497860">
        <w:rPr>
          <w:rFonts w:ascii="Times New Roman" w:hAnsi="Times New Roman" w:cs="Arial"/>
          <w:b/>
          <w:szCs w:val="20"/>
        </w:rPr>
        <w:t xml:space="preserve">les qcms, le forum, </w:t>
      </w:r>
      <w:r>
        <w:rPr>
          <w:rFonts w:ascii="Times New Roman" w:hAnsi="Times New Roman" w:cs="Arial"/>
          <w:b/>
          <w:szCs w:val="20"/>
        </w:rPr>
        <w:t>surtout pour ceux comme moi qui ne posaient pas de questions en P1, à la fin avec le stress des exams vous allez juste avoir envie de taper certaine personne. Mais ça passera, et au final vous ne retiendrez que le meilleur</w:t>
      </w:r>
      <w:r w:rsidR="00497860">
        <w:rPr>
          <w:rFonts w:ascii="Times New Roman" w:hAnsi="Times New Roman" w:cs="Arial"/>
          <w:b/>
          <w:szCs w:val="20"/>
        </w:rPr>
        <w:t>…</w:t>
      </w:r>
    </w:p>
    <w:p w:rsidR="00497860" w:rsidRDefault="00497860" w:rsidP="004B267D">
      <w:pPr>
        <w:widowControl w:val="0"/>
        <w:autoSpaceDE w:val="0"/>
        <w:autoSpaceDN w:val="0"/>
        <w:adjustRightInd w:val="0"/>
        <w:spacing w:after="0" w:line="240" w:lineRule="auto"/>
        <w:ind w:right="-24"/>
        <w:rPr>
          <w:rFonts w:ascii="Times New Roman" w:hAnsi="Times New Roman" w:cs="Arial"/>
          <w:b/>
          <w:szCs w:val="20"/>
        </w:rPr>
      </w:pPr>
    </w:p>
    <w:p w:rsidR="00497860" w:rsidRDefault="00497860" w:rsidP="004B267D">
      <w:pPr>
        <w:widowControl w:val="0"/>
        <w:autoSpaceDE w:val="0"/>
        <w:autoSpaceDN w:val="0"/>
        <w:adjustRightInd w:val="0"/>
        <w:spacing w:after="0" w:line="240" w:lineRule="auto"/>
        <w:ind w:right="-24"/>
        <w:rPr>
          <w:rFonts w:ascii="Times New Roman" w:hAnsi="Times New Roman" w:cs="Arial"/>
          <w:b/>
          <w:szCs w:val="20"/>
        </w:rPr>
      </w:pPr>
      <w:r>
        <w:rPr>
          <w:rFonts w:ascii="Times New Roman" w:hAnsi="Times New Roman" w:cs="Arial"/>
          <w:b/>
          <w:szCs w:val="20"/>
        </w:rPr>
        <w:t>Donc à l’année prochaine pour les meilleurs d’entre vous, on se revoit en juillet/aout pour l’élite des tuteurs !</w:t>
      </w:r>
    </w:p>
    <w:p w:rsidR="0069026E" w:rsidRDefault="00497860" w:rsidP="004B267D">
      <w:pPr>
        <w:widowControl w:val="0"/>
        <w:autoSpaceDE w:val="0"/>
        <w:autoSpaceDN w:val="0"/>
        <w:adjustRightInd w:val="0"/>
        <w:spacing w:after="0" w:line="240" w:lineRule="auto"/>
        <w:ind w:right="-24"/>
        <w:rPr>
          <w:rFonts w:ascii="Times New Roman" w:hAnsi="Times New Roman" w:cs="Arial"/>
          <w:b/>
          <w:szCs w:val="20"/>
        </w:rPr>
      </w:pPr>
      <w:r>
        <w:rPr>
          <w:rFonts w:ascii="Times New Roman" w:hAnsi="Times New Roman" w:cs="Arial"/>
          <w:b/>
          <w:szCs w:val="20"/>
        </w:rPr>
        <w:t>Et encore une fois, bon courage à tout ceux qui me lise !!!!</w:t>
      </w:r>
    </w:p>
    <w:p w:rsidR="0069026E" w:rsidRDefault="0069026E" w:rsidP="004B267D">
      <w:pPr>
        <w:widowControl w:val="0"/>
        <w:autoSpaceDE w:val="0"/>
        <w:autoSpaceDN w:val="0"/>
        <w:adjustRightInd w:val="0"/>
        <w:spacing w:after="0" w:line="240" w:lineRule="auto"/>
        <w:ind w:right="-24"/>
        <w:rPr>
          <w:rFonts w:ascii="Times New Roman" w:hAnsi="Times New Roman" w:cs="Arial"/>
          <w:b/>
          <w:szCs w:val="20"/>
        </w:rPr>
      </w:pPr>
    </w:p>
    <w:p w:rsidR="0069026E" w:rsidRDefault="0069026E" w:rsidP="004B267D">
      <w:pPr>
        <w:widowControl w:val="0"/>
        <w:autoSpaceDE w:val="0"/>
        <w:autoSpaceDN w:val="0"/>
        <w:adjustRightInd w:val="0"/>
        <w:spacing w:after="0" w:line="240" w:lineRule="auto"/>
        <w:ind w:right="-24"/>
        <w:rPr>
          <w:rFonts w:ascii="Times New Roman" w:hAnsi="Times New Roman" w:cs="Arial"/>
          <w:b/>
          <w:szCs w:val="20"/>
        </w:rPr>
      </w:pPr>
    </w:p>
    <w:p w:rsidR="00497860" w:rsidRDefault="0069026E" w:rsidP="0069026E">
      <w:pPr>
        <w:widowControl w:val="0"/>
        <w:autoSpaceDE w:val="0"/>
        <w:autoSpaceDN w:val="0"/>
        <w:adjustRightInd w:val="0"/>
        <w:spacing w:after="0" w:line="240" w:lineRule="auto"/>
        <w:ind w:right="-24"/>
        <w:jc w:val="center"/>
        <w:rPr>
          <w:rFonts w:ascii="Times New Roman" w:hAnsi="Times New Roman" w:cs="Arial"/>
          <w:b/>
          <w:szCs w:val="20"/>
        </w:rPr>
      </w:pPr>
      <w:r>
        <w:rPr>
          <w:rFonts w:ascii="Times New Roman" w:hAnsi="Times New Roman" w:cs="Arial"/>
          <w:b/>
          <w:noProof/>
          <w:szCs w:val="20"/>
          <w:lang w:eastAsia="fr-FR"/>
        </w:rPr>
        <w:drawing>
          <wp:inline distT="0" distB="0" distL="0" distR="0">
            <wp:extent cx="4660900" cy="3763108"/>
            <wp:effectExtent l="25400" t="0" r="12700" b="1037492"/>
            <wp:docPr id="11" name="Image 9" descr="Photo 29-01-13 19 57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hoto 29-01-13 19 57 14.jpg"/>
                    <pic:cNvPicPr/>
                  </pic:nvPicPr>
                  <pic:blipFill>
                    <a:blip r:embed="rId12"/>
                    <a:srcRect l="6194" r="2804" b="12602"/>
                    <a:stretch>
                      <a:fillRect/>
                    </a:stretch>
                  </pic:blipFill>
                  <pic:spPr>
                    <a:xfrm>
                      <a:off x="0" y="0"/>
                      <a:ext cx="4660900" cy="376310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497860" w:rsidRDefault="00497860" w:rsidP="004B267D">
      <w:pPr>
        <w:widowControl w:val="0"/>
        <w:autoSpaceDE w:val="0"/>
        <w:autoSpaceDN w:val="0"/>
        <w:adjustRightInd w:val="0"/>
        <w:spacing w:after="0" w:line="240" w:lineRule="auto"/>
        <w:ind w:right="-24"/>
        <w:rPr>
          <w:rFonts w:ascii="Times New Roman" w:hAnsi="Times New Roman" w:cs="Arial"/>
          <w:b/>
          <w:szCs w:val="20"/>
        </w:rPr>
      </w:pPr>
    </w:p>
    <w:p w:rsidR="00C82491" w:rsidRPr="0069026E" w:rsidRDefault="00497860" w:rsidP="004B267D">
      <w:pPr>
        <w:widowControl w:val="0"/>
        <w:autoSpaceDE w:val="0"/>
        <w:autoSpaceDN w:val="0"/>
        <w:adjustRightInd w:val="0"/>
        <w:spacing w:after="0" w:line="240" w:lineRule="auto"/>
        <w:ind w:right="-24"/>
        <w:rPr>
          <w:rFonts w:ascii="Times New Roman" w:hAnsi="Times New Roman" w:cs="Arial"/>
          <w:i/>
          <w:szCs w:val="20"/>
        </w:rPr>
      </w:pPr>
      <w:r w:rsidRPr="0069026E">
        <w:rPr>
          <w:rFonts w:ascii="Times New Roman" w:hAnsi="Times New Roman" w:cs="Arial"/>
          <w:i/>
          <w:szCs w:val="20"/>
        </w:rPr>
        <w:t>Ps : désolé pour ceux qui n’ont pas aimé mes délires tout au long des items :D</w:t>
      </w:r>
    </w:p>
    <w:sectPr w:rsidR="00C82491" w:rsidRPr="0069026E" w:rsidSect="00EB23D6">
      <w:footerReference w:type="default" r:id="rId13"/>
      <w:pgSz w:w="11906" w:h="16838"/>
      <w:pgMar w:top="720" w:right="720" w:bottom="426" w:left="720" w:header="0" w:footer="0"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860" w:rsidRDefault="00497860">
      <w:pPr>
        <w:spacing w:after="0" w:line="240" w:lineRule="auto"/>
      </w:pPr>
      <w:r>
        <w:separator/>
      </w:r>
    </w:p>
  </w:endnote>
  <w:endnote w:type="continuationSeparator" w:id="0">
    <w:p w:rsidR="00497860" w:rsidRDefault="004978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ingdings 2">
    <w:panose1 w:val="05020102010507070707"/>
    <w:charset w:val="02"/>
    <w:family w:val="auto"/>
    <w:pitch w:val="variable"/>
    <w:sig w:usb0="00000000" w:usb1="00000000" w:usb2="00010000" w:usb3="00000000" w:csb0="80000000" w:csb1="00000000"/>
  </w:font>
  <w:font w:name="新細明體">
    <w:charset w:val="51"/>
    <w:family w:val="auto"/>
    <w:pitch w:val="variable"/>
    <w:sig w:usb0="00000001" w:usb1="00000000" w:usb2="01000408" w:usb3="00000000" w:csb0="0010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860" w:rsidRDefault="00497860" w:rsidP="00B14D11">
    <w:pPr>
      <w:pStyle w:val="Pieddepage"/>
      <w:pBdr>
        <w:top w:val="single" w:sz="4" w:space="1" w:color="auto"/>
      </w:pBdr>
    </w:pPr>
    <w:r>
      <w:rPr>
        <w:b/>
        <w:color w:val="404040" w:themeColor="text1" w:themeTint="BF"/>
      </w:rPr>
      <w:t>10.09.12</w:t>
    </w:r>
    <w:r w:rsidRPr="009C3D33">
      <w:rPr>
        <w:b/>
        <w:color w:val="404040" w:themeColor="text1" w:themeTint="BF"/>
      </w:rPr>
      <w:t xml:space="preserve"> </w:t>
    </w:r>
    <w:r>
      <w:rPr>
        <w:b/>
        <w:color w:val="404040" w:themeColor="text1" w:themeTint="BF"/>
      </w:rPr>
      <w:tab/>
    </w:r>
    <w:r w:rsidRPr="009C3D33">
      <w:rPr>
        <w:b/>
        <w:color w:val="404040" w:themeColor="text1" w:themeTint="BF"/>
      </w:rPr>
      <w:t xml:space="preserve"> Le tutorat est gratuit. Toute reproduction ou vente sont interdites. </w:t>
    </w:r>
    <w:r w:rsidR="0069026E">
      <w:rPr>
        <w:b/>
        <w:color w:val="404040" w:themeColor="text1" w:themeTint="BF"/>
      </w:rPr>
      <w:tab/>
      <w:t xml:space="preserve">                              </w:t>
    </w:r>
    <w:r w:rsidRPr="009C3D33">
      <w:rPr>
        <w:color w:val="404040" w:themeColor="text1" w:themeTint="BF"/>
      </w:rPr>
      <w:t xml:space="preserve">Page </w:t>
    </w:r>
    <w:r w:rsidR="0021206E" w:rsidRPr="009C3D33">
      <w:rPr>
        <w:b/>
        <w:color w:val="404040" w:themeColor="text1" w:themeTint="BF"/>
      </w:rPr>
      <w:fldChar w:fldCharType="begin"/>
    </w:r>
    <w:r w:rsidRPr="009C3D33">
      <w:rPr>
        <w:b/>
        <w:color w:val="404040" w:themeColor="text1" w:themeTint="BF"/>
      </w:rPr>
      <w:instrText>PAGE</w:instrText>
    </w:r>
    <w:r w:rsidR="0021206E" w:rsidRPr="009C3D33">
      <w:rPr>
        <w:b/>
        <w:color w:val="404040" w:themeColor="text1" w:themeTint="BF"/>
      </w:rPr>
      <w:fldChar w:fldCharType="separate"/>
    </w:r>
    <w:r w:rsidR="00AC420B">
      <w:rPr>
        <w:b/>
        <w:noProof/>
        <w:color w:val="404040" w:themeColor="text1" w:themeTint="BF"/>
      </w:rPr>
      <w:t>9</w:t>
    </w:r>
    <w:r w:rsidR="0021206E" w:rsidRPr="009C3D33">
      <w:rPr>
        <w:b/>
        <w:color w:val="404040" w:themeColor="text1" w:themeTint="BF"/>
      </w:rPr>
      <w:fldChar w:fldCharType="end"/>
    </w:r>
    <w:r w:rsidRPr="009C3D33">
      <w:rPr>
        <w:color w:val="404040" w:themeColor="text1" w:themeTint="BF"/>
      </w:rPr>
      <w:t xml:space="preserve"> sur </w:t>
    </w:r>
    <w:r w:rsidR="0021206E" w:rsidRPr="009C3D33">
      <w:rPr>
        <w:b/>
        <w:color w:val="404040" w:themeColor="text1" w:themeTint="BF"/>
      </w:rPr>
      <w:fldChar w:fldCharType="begin"/>
    </w:r>
    <w:r w:rsidRPr="009C3D33">
      <w:rPr>
        <w:b/>
        <w:color w:val="404040" w:themeColor="text1" w:themeTint="BF"/>
      </w:rPr>
      <w:instrText>NUMPAGES</w:instrText>
    </w:r>
    <w:r w:rsidR="0021206E" w:rsidRPr="009C3D33">
      <w:rPr>
        <w:b/>
        <w:color w:val="404040" w:themeColor="text1" w:themeTint="BF"/>
      </w:rPr>
      <w:fldChar w:fldCharType="separate"/>
    </w:r>
    <w:r w:rsidR="00AC420B">
      <w:rPr>
        <w:b/>
        <w:noProof/>
        <w:color w:val="404040" w:themeColor="text1" w:themeTint="BF"/>
      </w:rPr>
      <w:t>10</w:t>
    </w:r>
    <w:r w:rsidR="0021206E" w:rsidRPr="009C3D33">
      <w:rPr>
        <w:b/>
        <w:color w:val="404040" w:themeColor="text1" w:themeTint="BF"/>
      </w:rPr>
      <w:fldChar w:fldCharType="end"/>
    </w:r>
  </w:p>
  <w:p w:rsidR="00497860" w:rsidRDefault="00497860" w:rsidP="00B14D11">
    <w:pPr>
      <w:pStyle w:val="Pieddepage"/>
      <w:jc w:val="cen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860" w:rsidRDefault="00497860">
      <w:pPr>
        <w:spacing w:after="0" w:line="240" w:lineRule="auto"/>
      </w:pPr>
      <w:r>
        <w:separator/>
      </w:r>
    </w:p>
  </w:footnote>
  <w:footnote w:type="continuationSeparator" w:id="0">
    <w:p w:rsidR="00497860" w:rsidRDefault="00497860">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3562669"/>
    <w:multiLevelType w:val="hybridMultilevel"/>
    <w:tmpl w:val="2DA47632"/>
    <w:lvl w:ilvl="0" w:tplc="D01665E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175007D4"/>
    <w:multiLevelType w:val="hybridMultilevel"/>
    <w:tmpl w:val="126C40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D434985"/>
    <w:multiLevelType w:val="hybridMultilevel"/>
    <w:tmpl w:val="64966A3A"/>
    <w:lvl w:ilvl="0" w:tplc="1AF8EE3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FB612F4"/>
    <w:multiLevelType w:val="hybridMultilevel"/>
    <w:tmpl w:val="1C7E87A6"/>
    <w:lvl w:ilvl="0" w:tplc="6680D3B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5395757"/>
    <w:multiLevelType w:val="hybridMultilevel"/>
    <w:tmpl w:val="3DCC2528"/>
    <w:lvl w:ilvl="0" w:tplc="B766392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4"/>
  </w:num>
  <w:num w:numId="15">
    <w:abstractNumId w:val="15"/>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55059B"/>
    <w:rsid w:val="00002050"/>
    <w:rsid w:val="000253BC"/>
    <w:rsid w:val="00034BEF"/>
    <w:rsid w:val="0003520D"/>
    <w:rsid w:val="000500CE"/>
    <w:rsid w:val="000529E7"/>
    <w:rsid w:val="00065CA7"/>
    <w:rsid w:val="00071B57"/>
    <w:rsid w:val="000804B8"/>
    <w:rsid w:val="000E35F7"/>
    <w:rsid w:val="000F6346"/>
    <w:rsid w:val="001129CC"/>
    <w:rsid w:val="00126716"/>
    <w:rsid w:val="00150BE9"/>
    <w:rsid w:val="001635E0"/>
    <w:rsid w:val="001751A7"/>
    <w:rsid w:val="00186213"/>
    <w:rsid w:val="001A29AC"/>
    <w:rsid w:val="001A601D"/>
    <w:rsid w:val="001B36C4"/>
    <w:rsid w:val="001B5445"/>
    <w:rsid w:val="001F12E9"/>
    <w:rsid w:val="001F4299"/>
    <w:rsid w:val="001F6BE3"/>
    <w:rsid w:val="00200D74"/>
    <w:rsid w:val="0021206E"/>
    <w:rsid w:val="002164F7"/>
    <w:rsid w:val="002303AA"/>
    <w:rsid w:val="00253D48"/>
    <w:rsid w:val="00263D1F"/>
    <w:rsid w:val="00283BB0"/>
    <w:rsid w:val="002A591E"/>
    <w:rsid w:val="002A64D1"/>
    <w:rsid w:val="002B0331"/>
    <w:rsid w:val="002C5048"/>
    <w:rsid w:val="002C67B0"/>
    <w:rsid w:val="002F378B"/>
    <w:rsid w:val="00303832"/>
    <w:rsid w:val="003044C1"/>
    <w:rsid w:val="00305D01"/>
    <w:rsid w:val="0030657B"/>
    <w:rsid w:val="003210B8"/>
    <w:rsid w:val="0032714B"/>
    <w:rsid w:val="00331A08"/>
    <w:rsid w:val="003446E4"/>
    <w:rsid w:val="0036070D"/>
    <w:rsid w:val="00364152"/>
    <w:rsid w:val="003971D4"/>
    <w:rsid w:val="003A213D"/>
    <w:rsid w:val="003A3447"/>
    <w:rsid w:val="003A3706"/>
    <w:rsid w:val="003C3CD0"/>
    <w:rsid w:val="003C7820"/>
    <w:rsid w:val="003D0A85"/>
    <w:rsid w:val="003D2080"/>
    <w:rsid w:val="003E0609"/>
    <w:rsid w:val="00405AD2"/>
    <w:rsid w:val="00415AC6"/>
    <w:rsid w:val="00416541"/>
    <w:rsid w:val="0042459A"/>
    <w:rsid w:val="0045761A"/>
    <w:rsid w:val="00476871"/>
    <w:rsid w:val="00497860"/>
    <w:rsid w:val="004A6B9C"/>
    <w:rsid w:val="004B267D"/>
    <w:rsid w:val="004D18FD"/>
    <w:rsid w:val="004D62FF"/>
    <w:rsid w:val="004E395C"/>
    <w:rsid w:val="004E467B"/>
    <w:rsid w:val="005013DE"/>
    <w:rsid w:val="00517B13"/>
    <w:rsid w:val="00542688"/>
    <w:rsid w:val="0055059B"/>
    <w:rsid w:val="00572B73"/>
    <w:rsid w:val="005A27E4"/>
    <w:rsid w:val="005F6718"/>
    <w:rsid w:val="00601C59"/>
    <w:rsid w:val="00611413"/>
    <w:rsid w:val="006174CA"/>
    <w:rsid w:val="00630843"/>
    <w:rsid w:val="00634859"/>
    <w:rsid w:val="00635E52"/>
    <w:rsid w:val="006547B1"/>
    <w:rsid w:val="006666B1"/>
    <w:rsid w:val="00667F77"/>
    <w:rsid w:val="00683C1A"/>
    <w:rsid w:val="0069026E"/>
    <w:rsid w:val="006A2054"/>
    <w:rsid w:val="006B0DE8"/>
    <w:rsid w:val="006B133B"/>
    <w:rsid w:val="006C6317"/>
    <w:rsid w:val="006F074B"/>
    <w:rsid w:val="00706D7F"/>
    <w:rsid w:val="00746108"/>
    <w:rsid w:val="00746A7D"/>
    <w:rsid w:val="007471E2"/>
    <w:rsid w:val="00766D64"/>
    <w:rsid w:val="00776722"/>
    <w:rsid w:val="007808B6"/>
    <w:rsid w:val="00791F9F"/>
    <w:rsid w:val="007A060F"/>
    <w:rsid w:val="007A7732"/>
    <w:rsid w:val="007C16A0"/>
    <w:rsid w:val="007C2C98"/>
    <w:rsid w:val="007D7DCC"/>
    <w:rsid w:val="007E33FE"/>
    <w:rsid w:val="007F3B2C"/>
    <w:rsid w:val="007F630F"/>
    <w:rsid w:val="007F66FD"/>
    <w:rsid w:val="00802CD3"/>
    <w:rsid w:val="008053D4"/>
    <w:rsid w:val="00805F78"/>
    <w:rsid w:val="00833F62"/>
    <w:rsid w:val="00837315"/>
    <w:rsid w:val="00840A8D"/>
    <w:rsid w:val="0085071E"/>
    <w:rsid w:val="00884197"/>
    <w:rsid w:val="0088749A"/>
    <w:rsid w:val="008922A4"/>
    <w:rsid w:val="00893420"/>
    <w:rsid w:val="00894DCA"/>
    <w:rsid w:val="008A0A93"/>
    <w:rsid w:val="008A393A"/>
    <w:rsid w:val="008A7D40"/>
    <w:rsid w:val="008B1CE2"/>
    <w:rsid w:val="008B4A32"/>
    <w:rsid w:val="008B5875"/>
    <w:rsid w:val="008C795D"/>
    <w:rsid w:val="008E7C45"/>
    <w:rsid w:val="00900F2D"/>
    <w:rsid w:val="009014CD"/>
    <w:rsid w:val="00910D51"/>
    <w:rsid w:val="009121A4"/>
    <w:rsid w:val="009244A4"/>
    <w:rsid w:val="00941349"/>
    <w:rsid w:val="0094417D"/>
    <w:rsid w:val="009441B9"/>
    <w:rsid w:val="00963013"/>
    <w:rsid w:val="00964AB8"/>
    <w:rsid w:val="00980E4C"/>
    <w:rsid w:val="009875C8"/>
    <w:rsid w:val="0099468B"/>
    <w:rsid w:val="009A55FF"/>
    <w:rsid w:val="009C4282"/>
    <w:rsid w:val="009C5FFA"/>
    <w:rsid w:val="009D5E4E"/>
    <w:rsid w:val="009E65EA"/>
    <w:rsid w:val="009F5B93"/>
    <w:rsid w:val="00A05243"/>
    <w:rsid w:val="00A07785"/>
    <w:rsid w:val="00A104DC"/>
    <w:rsid w:val="00A50B26"/>
    <w:rsid w:val="00A5239F"/>
    <w:rsid w:val="00A532B8"/>
    <w:rsid w:val="00A860A3"/>
    <w:rsid w:val="00A925DA"/>
    <w:rsid w:val="00A92A2E"/>
    <w:rsid w:val="00AA088D"/>
    <w:rsid w:val="00AB5727"/>
    <w:rsid w:val="00AC0B9D"/>
    <w:rsid w:val="00AC420B"/>
    <w:rsid w:val="00AD618A"/>
    <w:rsid w:val="00B031C0"/>
    <w:rsid w:val="00B0509B"/>
    <w:rsid w:val="00B14D11"/>
    <w:rsid w:val="00B21E1A"/>
    <w:rsid w:val="00B373C0"/>
    <w:rsid w:val="00B429A5"/>
    <w:rsid w:val="00B445CB"/>
    <w:rsid w:val="00B70D5D"/>
    <w:rsid w:val="00B7423E"/>
    <w:rsid w:val="00B769D8"/>
    <w:rsid w:val="00B8524F"/>
    <w:rsid w:val="00B97A95"/>
    <w:rsid w:val="00BB3894"/>
    <w:rsid w:val="00BB6FFF"/>
    <w:rsid w:val="00BD5236"/>
    <w:rsid w:val="00BE7090"/>
    <w:rsid w:val="00BF78F3"/>
    <w:rsid w:val="00C0216B"/>
    <w:rsid w:val="00C069A3"/>
    <w:rsid w:val="00C10204"/>
    <w:rsid w:val="00C3526C"/>
    <w:rsid w:val="00C441A0"/>
    <w:rsid w:val="00C82491"/>
    <w:rsid w:val="00CC633C"/>
    <w:rsid w:val="00CF31B8"/>
    <w:rsid w:val="00D20F8F"/>
    <w:rsid w:val="00D22E73"/>
    <w:rsid w:val="00D254FD"/>
    <w:rsid w:val="00D3099B"/>
    <w:rsid w:val="00D4129F"/>
    <w:rsid w:val="00D62512"/>
    <w:rsid w:val="00D77E8D"/>
    <w:rsid w:val="00D907DB"/>
    <w:rsid w:val="00D937AA"/>
    <w:rsid w:val="00DA5A1D"/>
    <w:rsid w:val="00DB0D77"/>
    <w:rsid w:val="00DC5197"/>
    <w:rsid w:val="00DD50D3"/>
    <w:rsid w:val="00DE0B8A"/>
    <w:rsid w:val="00DF0A99"/>
    <w:rsid w:val="00DF0AF8"/>
    <w:rsid w:val="00DF24BB"/>
    <w:rsid w:val="00DF4404"/>
    <w:rsid w:val="00E00C01"/>
    <w:rsid w:val="00E108C7"/>
    <w:rsid w:val="00E129D4"/>
    <w:rsid w:val="00E21CC9"/>
    <w:rsid w:val="00E3571A"/>
    <w:rsid w:val="00E40FEB"/>
    <w:rsid w:val="00E64D5C"/>
    <w:rsid w:val="00E76D22"/>
    <w:rsid w:val="00E8724E"/>
    <w:rsid w:val="00E87338"/>
    <w:rsid w:val="00EA1239"/>
    <w:rsid w:val="00EB23D6"/>
    <w:rsid w:val="00EB7690"/>
    <w:rsid w:val="00EF12C5"/>
    <w:rsid w:val="00F016A3"/>
    <w:rsid w:val="00F52336"/>
    <w:rsid w:val="00F5736A"/>
    <w:rsid w:val="00F674DC"/>
    <w:rsid w:val="00F7777F"/>
    <w:rsid w:val="00F861F7"/>
    <w:rsid w:val="00F91825"/>
    <w:rsid w:val="00FB35E5"/>
    <w:rsid w:val="00FB3AC3"/>
    <w:rsid w:val="00FB4846"/>
    <w:rsid w:val="00FB6F35"/>
    <w:rsid w:val="00FD2AF6"/>
    <w:rsid w:val="00FE2D48"/>
  </w:rsids>
  <m:mathPr>
    <m:mathFont m:val="Impact"/>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AD618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Paragraphedeliste">
    <w:name w:val="List Paragraph"/>
    <w:basedOn w:val="Normal"/>
    <w:uiPriority w:val="34"/>
    <w:qFormat/>
    <w:rsid w:val="00766D64"/>
    <w:pPr>
      <w:ind w:left="720"/>
      <w:contextualSpacing/>
    </w:pPr>
  </w:style>
  <w:style w:type="paragraph" w:styleId="Textedebulles">
    <w:name w:val="Balloon Text"/>
    <w:basedOn w:val="Normal"/>
    <w:link w:val="TextedebullesCar"/>
    <w:uiPriority w:val="99"/>
    <w:semiHidden/>
    <w:unhideWhenUsed/>
    <w:rsid w:val="00D907DB"/>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907DB"/>
    <w:rPr>
      <w:rFonts w:ascii="Lucida Grande" w:hAnsi="Lucida Grande" w:cs="Lucida Grande"/>
      <w:sz w:val="18"/>
      <w:szCs w:val="18"/>
    </w:rPr>
  </w:style>
  <w:style w:type="table" w:styleId="Grille">
    <w:name w:val="Table Grid"/>
    <w:basedOn w:val="TableauNormal"/>
    <w:uiPriority w:val="59"/>
    <w:rsid w:val="00D22E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uiPriority w:val="1"/>
    <w:qFormat/>
    <w:rsid w:val="00FB3AC3"/>
    <w:pPr>
      <w:spacing w:after="0" w:line="240" w:lineRule="auto"/>
    </w:pPr>
  </w:style>
  <w:style w:type="paragraph" w:styleId="En-tte">
    <w:name w:val="header"/>
    <w:basedOn w:val="Normal"/>
    <w:link w:val="En-tteCar"/>
    <w:rsid w:val="0069026E"/>
    <w:pPr>
      <w:tabs>
        <w:tab w:val="center" w:pos="4536"/>
        <w:tab w:val="right" w:pos="9072"/>
      </w:tabs>
      <w:spacing w:after="0" w:line="240" w:lineRule="auto"/>
    </w:pPr>
  </w:style>
  <w:style w:type="character" w:customStyle="1" w:styleId="En-tteCar">
    <w:name w:val="En-tête Car"/>
    <w:basedOn w:val="Policepardfaut"/>
    <w:link w:val="En-tte"/>
    <w:rsid w:val="006902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Paragraphedeliste">
    <w:name w:val="List Paragraph"/>
    <w:basedOn w:val="Normal"/>
    <w:uiPriority w:val="34"/>
    <w:qFormat/>
    <w:rsid w:val="00766D64"/>
    <w:pPr>
      <w:ind w:left="720"/>
      <w:contextualSpacing/>
    </w:pPr>
  </w:style>
  <w:style w:type="paragraph" w:styleId="Textedebulles">
    <w:name w:val="Balloon Text"/>
    <w:basedOn w:val="Normal"/>
    <w:link w:val="TextedebullesCar"/>
    <w:uiPriority w:val="99"/>
    <w:semiHidden/>
    <w:unhideWhenUsed/>
    <w:rsid w:val="00D907DB"/>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907DB"/>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482BA-36AD-6046-8D63-D3D261B84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4176</Words>
  <Characters>23805</Characters>
  <Application>Microsoft Macintosh Word</Application>
  <DocSecurity>0</DocSecurity>
  <Lines>198</Lines>
  <Paragraphs>47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29234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Nicolas Maugars</cp:lastModifiedBy>
  <cp:revision>3</cp:revision>
  <cp:lastPrinted>2013-05-15T21:37:00Z</cp:lastPrinted>
  <dcterms:created xsi:type="dcterms:W3CDTF">2013-05-15T21:37:00Z</dcterms:created>
  <dcterms:modified xsi:type="dcterms:W3CDTF">2013-05-15T21:37:00Z</dcterms:modified>
</cp:coreProperties>
</file>