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2A2" w:rsidRDefault="002C42A2" w:rsidP="001C369F">
      <w:pPr>
        <w:jc w:val="both"/>
      </w:pPr>
    </w:p>
    <w:p w:rsidR="002C42A2" w:rsidRPr="002C6A84" w:rsidRDefault="002C42A2" w:rsidP="001C369F">
      <w:pPr>
        <w:jc w:val="both"/>
        <w:rPr>
          <w:b/>
        </w:rPr>
      </w:pPr>
      <w:r>
        <w:rPr>
          <w:noProof/>
        </w:rPr>
        <w:pict>
          <v:rect id="_x0000_s1026" style="position:absolute;left:0;text-align:left;margin-left:-8.3pt;margin-top:57.6pt;width:453pt;height:48.6pt;z-index:251655168" filled="f" fillcolor="#bbe0e3" stroked="f">
            <v:textbox style="mso-next-textbox:#_x0000_s1026;mso-fit-shape-to-text:t">
              <w:txbxContent>
                <w:p w:rsidR="002C42A2" w:rsidRPr="006F1F2F" w:rsidRDefault="002C42A2" w:rsidP="00BE3F75">
                  <w:pPr>
                    <w:widowControl w:val="0"/>
                    <w:autoSpaceDE w:val="0"/>
                    <w:autoSpaceDN w:val="0"/>
                    <w:adjustRightInd w:val="0"/>
                    <w:jc w:val="center"/>
                    <w:rPr>
                      <w:b/>
                      <w:color w:val="3C25E7"/>
                      <w:szCs w:val="80"/>
                    </w:rPr>
                  </w:pPr>
                  <w:r w:rsidRPr="006F1F2F">
                    <w:rPr>
                      <w:b/>
                      <w:color w:val="3C25E7"/>
                      <w:szCs w:val="80"/>
                    </w:rPr>
                    <w:t xml:space="preserve">Les Cellules Souches Embryonnaires et </w:t>
                  </w:r>
                </w:p>
                <w:p w:rsidR="002C42A2" w:rsidRPr="006F1F2F" w:rsidRDefault="002C42A2" w:rsidP="00BE3F75">
                  <w:pPr>
                    <w:widowControl w:val="0"/>
                    <w:autoSpaceDE w:val="0"/>
                    <w:autoSpaceDN w:val="0"/>
                    <w:adjustRightInd w:val="0"/>
                    <w:jc w:val="center"/>
                    <w:rPr>
                      <w:b/>
                      <w:color w:val="3C25E7"/>
                      <w:szCs w:val="80"/>
                    </w:rPr>
                  </w:pPr>
                  <w:r w:rsidRPr="006F1F2F">
                    <w:rPr>
                      <w:b/>
                      <w:color w:val="3C25E7"/>
                      <w:szCs w:val="80"/>
                    </w:rPr>
                    <w:t xml:space="preserve">les Cellules Souches Adultes: </w:t>
                  </w:r>
                </w:p>
                <w:p w:rsidR="002C42A2" w:rsidRPr="00E9159D" w:rsidRDefault="002C42A2" w:rsidP="00BE3F75">
                  <w:pPr>
                    <w:widowControl w:val="0"/>
                    <w:autoSpaceDE w:val="0"/>
                    <w:autoSpaceDN w:val="0"/>
                    <w:adjustRightInd w:val="0"/>
                    <w:jc w:val="center"/>
                    <w:rPr>
                      <w:color w:val="000000"/>
                      <w:szCs w:val="80"/>
                    </w:rPr>
                  </w:pPr>
                  <w:r w:rsidRPr="00E9159D">
                    <w:rPr>
                      <w:b/>
                      <w:color w:val="3C25E7"/>
                      <w:szCs w:val="80"/>
                    </w:rPr>
                    <w:t>Des Concepts aux Applications Cliniques</w:t>
                  </w:r>
                </w:p>
              </w:txbxContent>
            </v:textbox>
          </v:rect>
        </w:pict>
      </w:r>
      <w:r>
        <w:rPr>
          <w:noProof/>
        </w:rPr>
        <w:pict>
          <v:shapetype id="_x0000_t202" coordsize="21600,21600" o:spt="202" path="m,l,21600r21600,l21600,xe">
            <v:stroke joinstyle="miter"/>
            <v:path gradientshapeok="t" o:connecttype="rect"/>
          </v:shapetype>
          <v:shape id="_x0000_s1027" type="#_x0000_t202" style="position:absolute;left:0;text-align:left;margin-left:-12.4pt;margin-top:-45pt;width:512.6pt;height:46.35pt;z-index:251654144;mso-wrap-style:none;v-text-anchor:top-baseline" filled="f" fillcolor="#bbe0e3" strokecolor="#f30">
            <v:textbox style="mso-fit-shape-to-text:t">
              <w:txbxContent>
                <w:p w:rsidR="002C42A2" w:rsidRDefault="002C42A2" w:rsidP="00BE3F75">
                  <w:pPr>
                    <w:widowControl w:val="0"/>
                    <w:autoSpaceDE w:val="0"/>
                    <w:autoSpaceDN w:val="0"/>
                    <w:adjustRightInd w:val="0"/>
                    <w:rPr>
                      <w:rFonts w:ascii="Arial Narrow" w:hAnsi="Arial Narrow"/>
                      <w:b/>
                      <w:color w:val="333399"/>
                      <w:sz w:val="64"/>
                      <w:szCs w:val="64"/>
                    </w:rPr>
                  </w:pPr>
                  <w:r>
                    <w:rPr>
                      <w:rFonts w:ascii="Arial Narrow" w:hAnsi="Arial Narrow"/>
                      <w:b/>
                      <w:color w:val="333399"/>
                      <w:sz w:val="64"/>
                      <w:szCs w:val="64"/>
                    </w:rPr>
                    <w:t xml:space="preserve">Cellules Souches et Thérapie Cellulaire </w:t>
                  </w:r>
                </w:p>
              </w:txbxContent>
            </v:textbox>
          </v:shape>
        </w:pic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Pr="002C6A84">
        <w:rPr>
          <w:b/>
        </w:rPr>
        <w:t>Intro :</w:t>
      </w:r>
      <w:r w:rsidRPr="002C6A84">
        <w:rPr>
          <w:b/>
        </w:rPr>
        <w:tab/>
      </w:r>
      <w:r w:rsidRPr="002C6A84">
        <w:rPr>
          <w:b/>
        </w:rPr>
        <w:tab/>
      </w:r>
      <w:r w:rsidRPr="002C6A84">
        <w:rPr>
          <w:b/>
        </w:rPr>
        <w:tab/>
      </w:r>
      <w:r w:rsidRPr="002C6A84">
        <w:rPr>
          <w:b/>
        </w:rPr>
        <w:tab/>
      </w:r>
      <w:r w:rsidRPr="002C6A84">
        <w:rPr>
          <w:b/>
        </w:rPr>
        <w:tab/>
      </w:r>
      <w:r w:rsidRPr="002C6A84">
        <w:rPr>
          <w:b/>
        </w:rPr>
        <w:tab/>
      </w:r>
      <w:r w:rsidRPr="002C6A84">
        <w:rPr>
          <w:b/>
        </w:rPr>
        <w:tab/>
      </w:r>
      <w:r w:rsidRPr="002C6A84">
        <w:rPr>
          <w:b/>
        </w:rPr>
        <w:tab/>
      </w:r>
      <w:r w:rsidRPr="002C6A84">
        <w:rPr>
          <w:b/>
        </w:rPr>
        <w:tab/>
      </w:r>
      <w:r w:rsidRPr="002C6A84">
        <w:rPr>
          <w:b/>
        </w:rPr>
        <w:tab/>
      </w:r>
      <w:r w:rsidRPr="002C6A84">
        <w:rPr>
          <w:b/>
        </w:rPr>
        <w:tab/>
      </w:r>
    </w:p>
    <w:p w:rsidR="002C42A2" w:rsidRDefault="002C42A2" w:rsidP="001C369F">
      <w:pPr>
        <w:jc w:val="both"/>
      </w:pPr>
      <w:r>
        <w:tab/>
        <w:t xml:space="preserve">Enseignant : Christian Dani, Directeur de recherche à l’INSERM dirige un laboratoire au 11eme étage cellules souches et différenciation. Email : </w:t>
      </w:r>
      <w:hyperlink r:id="rId7" w:history="1">
        <w:r w:rsidRPr="000052C0">
          <w:rPr>
            <w:rStyle w:val="Hyperlink"/>
            <w:i/>
            <w:iCs/>
          </w:rPr>
          <w:t>dani@unice.fr</w:t>
        </w:r>
      </w:hyperlink>
      <w:r>
        <w:rPr>
          <w:i/>
          <w:iCs/>
        </w:rPr>
        <w:t xml:space="preserve"> (Ne pas hésiter si l’on a des questions).</w:t>
      </w:r>
    </w:p>
    <w:p w:rsidR="002C42A2" w:rsidRDefault="002C42A2" w:rsidP="001C369F">
      <w:pPr>
        <w:jc w:val="both"/>
      </w:pPr>
    </w:p>
    <w:p w:rsidR="002C42A2" w:rsidRDefault="002C42A2" w:rsidP="001C369F">
      <w:pPr>
        <w:jc w:val="both"/>
      </w:pPr>
      <w:r>
        <w:tab/>
        <w:t>Définitions, généralités sur les cellules souches abordées dans un premier temps. On s’intéressera particulièrement aux cellules souches embryonnaires (rapidement) et adultes ainsi qu’à leur utilisation potentielle actuelle en thérapie cellulaire.</w:t>
      </w:r>
    </w:p>
    <w:p w:rsidR="002C42A2" w:rsidRDefault="002C42A2" w:rsidP="001C369F">
      <w:pPr>
        <w:jc w:val="both"/>
      </w:pPr>
      <w:r>
        <w:tab/>
        <w:t xml:space="preserve"> Les différents types de cellules souches (cf. </w:t>
      </w:r>
      <w:r w:rsidRPr="00326E08">
        <w:rPr>
          <w:b/>
        </w:rPr>
        <w:t>diapo 3</w:t>
      </w:r>
      <w:r>
        <w:t>).  On distingue les cellules souches pluripotentes qui vont donner tous les types d’organismes sauf un, le trophectoderme. Le modèle de cellule souche pluripotente est la cellule souche embryonnaire murine ou humaine. Il y a également les cellules souches multipotentes qui vont donner plusieurs types cellulaires, beaucoup moins que les cellules pluripotentes. Le modèle est dans ce cas-là, la cellule souche qu’on trouve chez l’adulte. On distingue en fait les différents types de cellules souches qui ont la capacité de donner différents types cellulaires jusqu’à la cellule unipotente qui ne va donner qu’un seul type cellulaire.</w:t>
      </w:r>
    </w:p>
    <w:p w:rsidR="002C42A2" w:rsidRDefault="002C42A2" w:rsidP="001C369F">
      <w:pPr>
        <w:jc w:val="both"/>
      </w:pPr>
      <w:r>
        <w:tab/>
        <w:t xml:space="preserve">La seule cellule totipotente qui existe dans l’organisme est l’œuf fécondé (zygote). Souvent, par erreur, on dit que la cellule souche embryonnaire est une cellule souche totipotente, c’est une erreur c’est une cellule pluripotente. Elle n’est pas en effet totipotente car elle ne peut donner un tissu, le trophectoderme.  </w:t>
      </w:r>
    </w:p>
    <w:p w:rsidR="002C42A2" w:rsidRDefault="002C42A2" w:rsidP="001C369F">
      <w:pPr>
        <w:jc w:val="both"/>
      </w:pPr>
      <w:r>
        <w:tab/>
        <w:t>Plan du cours (</w:t>
      </w:r>
      <w:r w:rsidRPr="00326E08">
        <w:rPr>
          <w:b/>
        </w:rPr>
        <w:t>Diapo 4</w:t>
      </w:r>
      <w:r>
        <w:t>):</w:t>
      </w:r>
    </w:p>
    <w:p w:rsidR="002C42A2" w:rsidRDefault="002C42A2" w:rsidP="001C369F">
      <w:pPr>
        <w:numPr>
          <w:ilvl w:val="0"/>
          <w:numId w:val="1"/>
        </w:numPr>
        <w:jc w:val="both"/>
      </w:pPr>
      <w:r w:rsidRPr="00D97008">
        <w:rPr>
          <w:b/>
          <w:bCs/>
        </w:rPr>
        <w:t>Les cellules souches embryonnaires de souris: évidence du potentiel thérapeutique (modèle de la maladie Parkinson).</w:t>
      </w:r>
    </w:p>
    <w:p w:rsidR="002C42A2" w:rsidRDefault="002C42A2" w:rsidP="001C369F">
      <w:pPr>
        <w:numPr>
          <w:ilvl w:val="0"/>
          <w:numId w:val="1"/>
        </w:numPr>
        <w:jc w:val="both"/>
      </w:pPr>
      <w:r w:rsidRPr="00D97008">
        <w:rPr>
          <w:b/>
          <w:bCs/>
        </w:rPr>
        <w:t>Les cellules souches embryonnaires humaines: Clonage thérapeutique, problèmes techniques et éthiques.</w:t>
      </w:r>
    </w:p>
    <w:p w:rsidR="002C42A2" w:rsidRDefault="002C42A2" w:rsidP="001C369F">
      <w:pPr>
        <w:numPr>
          <w:ilvl w:val="0"/>
          <w:numId w:val="1"/>
        </w:numPr>
        <w:jc w:val="both"/>
      </w:pPr>
      <w:r w:rsidRPr="002F4588">
        <w:rPr>
          <w:b/>
          <w:bCs/>
        </w:rPr>
        <w:t xml:space="preserve">Les nouvelles alternatives: Les chimères homme-animal et la conversion de fibroblastes de peau en cellules souches multipotentes (iPS). </w:t>
      </w:r>
    </w:p>
    <w:p w:rsidR="002C42A2" w:rsidRDefault="002C42A2" w:rsidP="001C369F">
      <w:pPr>
        <w:numPr>
          <w:ilvl w:val="0"/>
          <w:numId w:val="1"/>
        </w:numPr>
        <w:jc w:val="both"/>
      </w:pPr>
      <w:r w:rsidRPr="002F4588">
        <w:rPr>
          <w:b/>
          <w:bCs/>
        </w:rPr>
        <w:t>Les cellules souches adultes: sources, abondance, potentiel thérapeutique.</w:t>
      </w:r>
    </w:p>
    <w:p w:rsidR="002C42A2" w:rsidRPr="00D97008" w:rsidRDefault="002C42A2" w:rsidP="001C369F">
      <w:pPr>
        <w:numPr>
          <w:ilvl w:val="0"/>
          <w:numId w:val="1"/>
        </w:numPr>
        <w:jc w:val="both"/>
      </w:pPr>
      <w:r w:rsidRPr="002F4588">
        <w:rPr>
          <w:b/>
          <w:bCs/>
        </w:rPr>
        <w:t xml:space="preserve"> Les cellules souches cancéreuses.</w:t>
      </w:r>
    </w:p>
    <w:p w:rsidR="002C42A2" w:rsidRDefault="002C42A2" w:rsidP="001C369F">
      <w:pPr>
        <w:jc w:val="both"/>
      </w:pPr>
    </w:p>
    <w:p w:rsidR="002C42A2" w:rsidRDefault="002C42A2" w:rsidP="001C369F">
      <w:pPr>
        <w:jc w:val="both"/>
      </w:pPr>
      <w:r>
        <w:tab/>
        <w:t>Tout d’abord on va étudier les cellules souches embryonnaires murines et l’évidence de leur utilisation en  thérapie cellulaire (le modèle de la maladie de  Parkinson sera évoqué). Puis on abordera les cellules souches embryonnaires humaines et notamment les problèmes techniques et éthiques posés par le clonage thérapeutique. On se penchera ensuite sur les alternatives à l’utilisation de cellules souches embryonnaires (qui pose de lourds problèmes éthiques). Ces alternatives sont les chimères homme-animal ou la génération de cellules iPS, déjà évoquées précédemment. Enfin les cellules souches adultes seront détaillées et l’exemple de l’étude des cellules souches adultes que le laboratoire du professeur Dani isole à partir du tissu adipeux humain. Les  cellules cancéreuses seront très peu abordées.</w:t>
      </w:r>
    </w:p>
    <w:p w:rsidR="002C42A2" w:rsidRPr="00370110" w:rsidRDefault="002C42A2" w:rsidP="00F37C19">
      <w:pPr>
        <w:pStyle w:val="Footer"/>
        <w:tabs>
          <w:tab w:val="clear" w:pos="9072"/>
          <w:tab w:val="left" w:pos="7546"/>
        </w:tabs>
        <w:ind w:right="360"/>
        <w:jc w:val="left"/>
        <w:rPr>
          <w:rStyle w:val="PageNumber"/>
        </w:rPr>
      </w:pPr>
      <w:r>
        <w:rPr>
          <w:rStyle w:val="PageNumber"/>
        </w:rPr>
        <w:tab/>
      </w:r>
    </w:p>
    <w:p w:rsidR="002C42A2" w:rsidRDefault="002C42A2" w:rsidP="001C369F">
      <w:pPr>
        <w:jc w:val="both"/>
      </w:pPr>
    </w:p>
    <w:p w:rsidR="002C42A2" w:rsidRDefault="002C42A2" w:rsidP="001C369F">
      <w:pPr>
        <w:jc w:val="both"/>
      </w:pPr>
    </w:p>
    <w:p w:rsidR="002C42A2" w:rsidRPr="004E4806" w:rsidRDefault="002C42A2" w:rsidP="001C369F">
      <w:pPr>
        <w:numPr>
          <w:ilvl w:val="0"/>
          <w:numId w:val="2"/>
        </w:numPr>
        <w:jc w:val="both"/>
      </w:pPr>
      <w:r w:rsidRPr="00D97008">
        <w:rPr>
          <w:b/>
          <w:bCs/>
        </w:rPr>
        <w:t>Les cellules souches embryonnaires de souris: évidence du potentiel thérapeutique (modèle de la maladie Parkinson).</w:t>
      </w:r>
    </w:p>
    <w:p w:rsidR="002C42A2" w:rsidRDefault="002C42A2" w:rsidP="001C369F">
      <w:pPr>
        <w:jc w:val="both"/>
        <w:rPr>
          <w:b/>
          <w:bCs/>
        </w:rPr>
      </w:pPr>
    </w:p>
    <w:p w:rsidR="002C42A2" w:rsidRDefault="002C42A2" w:rsidP="001C369F">
      <w:pPr>
        <w:jc w:val="both"/>
        <w:rPr>
          <w:bCs/>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34.15pt;margin-top:65.2pt;width:63pt;height:31.5pt;z-index:251656192" o:connectortype="straight">
            <v:stroke endarrow="block"/>
          </v:shape>
        </w:pict>
      </w:r>
      <w:r>
        <w:rPr>
          <w:b/>
          <w:bCs/>
        </w:rPr>
        <w:tab/>
        <w:t xml:space="preserve">Diapo 5 : </w:t>
      </w:r>
      <w:r>
        <w:rPr>
          <w:bCs/>
        </w:rPr>
        <w:t xml:space="preserve">Les cellules souches embryonnaires de souris sont isolées à partir de la masse cellulaire interne (intern cell mass, ICM) qui est située au niveau du blastocyste (embryon après 3 jours et demi de fécondation chez la souris). L’ICM est la masse de cellules qui va générer tous les tissus de l’organisme excepté le trophectoderme qui sera généré par cette autre masse de cellule </w:t>
      </w:r>
      <w:r>
        <w:rPr>
          <w:bCs/>
        </w:rPr>
        <w:tab/>
      </w:r>
      <w:r>
        <w:rPr>
          <w:bCs/>
        </w:rPr>
        <w:tab/>
      </w:r>
      <w:r>
        <w:rPr>
          <w:bCs/>
        </w:rPr>
        <w:tab/>
      </w:r>
      <w:r>
        <w:rPr>
          <w:bCs/>
        </w:rPr>
        <w:tab/>
      </w:r>
      <w:r>
        <w:rPr>
          <w:bCs/>
        </w:rPr>
        <w:tab/>
      </w:r>
    </w:p>
    <w:p w:rsidR="002C42A2" w:rsidRDefault="002C42A2" w:rsidP="001C369F">
      <w:pPr>
        <w:jc w:val="both"/>
        <w:rPr>
          <w:bCs/>
        </w:rPr>
      </w:pPr>
      <w:r>
        <w:rPr>
          <w:noProof/>
        </w:rPr>
        <w:pict>
          <v:shape id="_x0000_s1029" type="#_x0000_t202" style="position:absolute;left:0;text-align:left;margin-left:197.15pt;margin-top:129.65pt;width:179.75pt;height:138.5pt;z-index:251660288">
            <v:textbox style="mso-fit-shape-to-text:t">
              <w:txbxContent>
                <w:p w:rsidR="002C42A2" w:rsidRDefault="002C42A2">
                  <w:r>
                    <w:t>Masse cellulaire interne isolée</w:t>
                  </w:r>
                </w:p>
              </w:txbxContent>
            </v:textbox>
          </v:shape>
        </w:pict>
      </w:r>
      <w:r>
        <w:rPr>
          <w:noProof/>
        </w:rPr>
        <w:pict>
          <v:shape id="_x0000_s1030" type="#_x0000_t202" style="position:absolute;left:0;text-align:left;margin-left:276.65pt;margin-top:17.3pt;width:47.7pt;height:138.5pt;z-index:251658240">
            <v:textbox style="mso-fit-shape-to-text:t">
              <w:txbxContent>
                <w:p w:rsidR="002C42A2" w:rsidRDefault="002C42A2">
                  <w:r>
                    <w:t>ICM</w:t>
                  </w:r>
                </w:p>
              </w:txbxContent>
            </v:textbox>
          </v:shape>
        </w:pict>
      </w:r>
      <w:r>
        <w:rPr>
          <w:noProof/>
        </w:rPr>
        <w:pict>
          <v:shape id="_x0000_s1031" type="#_x0000_t32" style="position:absolute;left:0;text-align:left;margin-left:121.9pt;margin-top:31.45pt;width:149.25pt;height:0;flip:x;z-index:251657216" o:connectortype="straight">
            <v:stroke endarrow="block"/>
          </v:shape>
        </w:pict>
      </w:r>
      <w:r>
        <w:rPr>
          <w:bCs/>
        </w:rPr>
        <w:t xml:space="preserve"> </w:t>
      </w:r>
      <w:r w:rsidRPr="007232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style="width:198pt;height:143.25pt;visibility:visible">
            <v:imagedata r:id="rId8" o:title=""/>
          </v:shape>
        </w:pict>
      </w:r>
    </w:p>
    <w:p w:rsidR="002C42A2" w:rsidRDefault="002C42A2" w:rsidP="001C369F">
      <w:pPr>
        <w:jc w:val="both"/>
        <w:rPr>
          <w:bCs/>
        </w:rPr>
      </w:pPr>
      <w:r>
        <w:rPr>
          <w:bCs/>
        </w:rPr>
        <w:tab/>
      </w:r>
    </w:p>
    <w:p w:rsidR="002C42A2" w:rsidRDefault="002C42A2" w:rsidP="001C369F">
      <w:pPr>
        <w:jc w:val="both"/>
        <w:rPr>
          <w:bCs/>
        </w:rPr>
      </w:pPr>
      <w:r>
        <w:rPr>
          <w:bCs/>
        </w:rPr>
        <w:t xml:space="preserve"> </w:t>
      </w:r>
    </w:p>
    <w:p w:rsidR="002C42A2" w:rsidRDefault="002C42A2" w:rsidP="001C369F">
      <w:pPr>
        <w:jc w:val="both"/>
        <w:rPr>
          <w:bCs/>
        </w:rPr>
      </w:pPr>
      <w:r w:rsidRPr="007232F6">
        <w:rPr>
          <w:noProof/>
        </w:rPr>
        <w:pict>
          <v:shape id="Image 4" o:spid="_x0000_i1026" type="#_x0000_t75" style="width:118.5pt;height:30.75pt;visibility:visible">
            <v:imagedata r:id="rId9" o:title=""/>
          </v:shape>
        </w:pict>
      </w:r>
      <w:r>
        <w:rPr>
          <w:noProof/>
        </w:rPr>
        <w:pict>
          <v:shape id="_x0000_s1032" type="#_x0000_t202" style="position:absolute;left:0;text-align:left;margin-left:0;margin-top:.75pt;width:179.7pt;height:138.25pt;z-index:251661312;mso-position-horizontal:center;mso-position-horizontal-relative:text;mso-position-vertical-relative:text">
            <v:textbox style="mso-fit-shape-to-text:t">
              <w:txbxContent>
                <w:p w:rsidR="002C42A2" w:rsidRDefault="002C42A2">
                  <w:r>
                    <w:t>Extraction de cellules souche embryonnaire</w:t>
                  </w:r>
                </w:p>
              </w:txbxContent>
            </v:textbox>
          </v:shape>
        </w:pict>
      </w:r>
    </w:p>
    <w:p w:rsidR="002C42A2" w:rsidRPr="004E4806" w:rsidRDefault="002C42A2" w:rsidP="001C369F">
      <w:pPr>
        <w:jc w:val="both"/>
      </w:pPr>
    </w:p>
    <w:p w:rsidR="002C42A2" w:rsidRDefault="002C42A2" w:rsidP="001C369F">
      <w:pPr>
        <w:jc w:val="both"/>
      </w:pPr>
      <w:r>
        <w:tab/>
        <w:t xml:space="preserve">Si on isole cette masse de cellules (l’ICM), qu’on la met en culture et que  l’on fait pousser ces cellules dans des conditions appropriées,  des  cellules vont pousser, vont cloner et donner des cellules souches embryonnaires. </w:t>
      </w:r>
    </w:p>
    <w:p w:rsidR="002C42A2" w:rsidRDefault="002C42A2" w:rsidP="001C369F">
      <w:pPr>
        <w:jc w:val="both"/>
      </w:pPr>
    </w:p>
    <w:p w:rsidR="002C42A2" w:rsidRDefault="002C42A2" w:rsidP="001C369F">
      <w:pPr>
        <w:jc w:val="both"/>
      </w:pPr>
      <w:r>
        <w:rPr>
          <w:noProof/>
        </w:rPr>
        <w:pict>
          <v:shape id="_x0000_s1033" type="#_x0000_t202" style="position:absolute;left:0;text-align:left;margin-left:294.65pt;margin-top:58.1pt;width:179.75pt;height:138.5pt;z-index:251659264">
            <v:textbox style="mso-fit-shape-to-text:t">
              <w:txbxContent>
                <w:p w:rsidR="002C42A2" w:rsidRDefault="002C42A2">
                  <w:r>
                    <w:t>LIF ou fibroblastes murins irradiées (MEF : Mouse embryonic fibroblasts)</w:t>
                  </w:r>
                </w:p>
              </w:txbxContent>
            </v:textbox>
          </v:shape>
        </w:pict>
      </w:r>
      <w:r>
        <w:tab/>
      </w:r>
      <w:r w:rsidRPr="007232F6">
        <w:rPr>
          <w:noProof/>
        </w:rPr>
        <w:pict>
          <v:shape id="Image 2" o:spid="_x0000_i1027" type="#_x0000_t75" style="width:265.5pt;height:66.75pt;visibility:visible">
            <v:imagedata r:id="rId10" o:title=""/>
          </v:shape>
        </w:pict>
      </w:r>
      <w:r w:rsidRPr="00551D0D">
        <w:t xml:space="preserve"> </w:t>
      </w:r>
    </w:p>
    <w:p w:rsidR="002C42A2" w:rsidRDefault="002C42A2" w:rsidP="001C369F">
      <w:pPr>
        <w:jc w:val="both"/>
      </w:pPr>
    </w:p>
    <w:p w:rsidR="002C42A2" w:rsidRDefault="002C42A2" w:rsidP="001C369F">
      <w:pPr>
        <w:jc w:val="both"/>
      </w:pPr>
    </w:p>
    <w:p w:rsidR="002C42A2" w:rsidRDefault="002C42A2" w:rsidP="001C369F">
      <w:pPr>
        <w:jc w:val="both"/>
      </w:pPr>
    </w:p>
    <w:p w:rsidR="002C42A2" w:rsidRDefault="002C42A2" w:rsidP="001C369F">
      <w:pPr>
        <w:jc w:val="both"/>
      </w:pPr>
    </w:p>
    <w:p w:rsidR="002C42A2" w:rsidRDefault="002C42A2" w:rsidP="001C369F">
      <w:pPr>
        <w:jc w:val="both"/>
      </w:pPr>
      <w:r>
        <w:tab/>
        <w:t xml:space="preserve">Pour maintenir in vitro la prolifération de ces cellules souches embryonnaires, il est nécessaire de maintenir ces cellules, représentées en bleu sur le schéma, sur une couche de cellule nourricières. Le « produit miracle » produit par ces cellules nourricières qui permet à ces cellules de pousser est le LIF, leukemia inhibitory factor, une cytokine qui permet de maintenir les cellules ES (souches embryonnaires) à l’état indifférencié. Donc pour cultiver en laboratoire des cellules souches embryonnaires, qu’elles soient humaines ou murines, on utilise des feeders, qu’on appelle des fibroblastes qui sont étalées au fond de la boîte. On superpose les cellules ES, qui poussent au dessus de ces cellules nourricières (fibroblastes qui produisent le LIF) ou alors on n’utilise pas ces cellules nourricières et on rajoute dans la boîte de culture le LIF, qui permet alors la prolifération de ces cellules ES. </w:t>
      </w:r>
    </w:p>
    <w:p w:rsidR="002C42A2" w:rsidRDefault="002C42A2" w:rsidP="001C369F">
      <w:pPr>
        <w:jc w:val="both"/>
      </w:pPr>
      <w:r>
        <w:t xml:space="preserve"> </w:t>
      </w:r>
    </w:p>
    <w:p w:rsidR="002C42A2" w:rsidRPr="00953B36" w:rsidRDefault="002C42A2" w:rsidP="001C369F">
      <w:pPr>
        <w:jc w:val="both"/>
        <w:rPr>
          <w:i/>
        </w:rPr>
      </w:pPr>
      <w:r>
        <w:rPr>
          <w:i/>
        </w:rPr>
        <w:tab/>
      </w:r>
      <w:r w:rsidRPr="00953B36">
        <w:rPr>
          <w:i/>
        </w:rPr>
        <w:t>Question de Nordine : Sur une culture aux fibroblastes, on n’a pas besoin de rajouter du LIF ?</w:t>
      </w:r>
    </w:p>
    <w:p w:rsidR="002C42A2" w:rsidRPr="00953B36" w:rsidRDefault="002C42A2" w:rsidP="001C369F">
      <w:pPr>
        <w:jc w:val="both"/>
        <w:rPr>
          <w:i/>
        </w:rPr>
      </w:pPr>
      <w:r>
        <w:rPr>
          <w:i/>
        </w:rPr>
        <w:tab/>
      </w:r>
      <w:r w:rsidRPr="00953B36">
        <w:rPr>
          <w:i/>
        </w:rPr>
        <w:t xml:space="preserve">Réponse du prof : Sur une culture avec des feeders, on a des fibroblastes qui produisent le LIF nécessaire à la cellule ES. On peut néanmoins se passer des fibroblastes en injectant directement le LIF dans la boîte de culture et les cellules ES vont pousser sans la nécessité d’utiliser des fibroblastes. </w:t>
      </w:r>
    </w:p>
    <w:p w:rsidR="002C42A2" w:rsidRDefault="002C42A2" w:rsidP="001C369F">
      <w:pPr>
        <w:jc w:val="both"/>
      </w:pPr>
    </w:p>
    <w:p w:rsidR="002C42A2" w:rsidRDefault="002C42A2" w:rsidP="001C369F">
      <w:pPr>
        <w:jc w:val="both"/>
      </w:pPr>
      <w:r>
        <w:tab/>
        <w:t>Le LIF est donc une molécule essentielle dans la vie de la cellule ES. Dans quel but les CSE ont été utilisées dans un premier temps ? Les CSE ont été isolées pour la première fois en 1984 par Martin Evans, qui a  reçu le prix Nobel l’année dernière, et n’avaient pas pour but à l’origine d’être utilisées en thérapie cellulaire. L’objectif d’utiliser in vitro des cellules ES humaines était de voir le développement in vitro de l’embryon. Chez l’animal, cela est difficile d’étudier précisément les  différents stades du développement embryonnaire. Avec ces cellules, on reflète le développement embryonnaire humain. Le premier objectif était donc celui-là, regarder in vitro le développement embryonnaire. Par la suite, cette étude devait permettre d’avoir un outil d’étude des gènes qu’on pense être importants. Cela correspond aux expériences de recombinaison homologue mises au point notamment par le laboratoire de Mario Cappechi, également titulaire du prix Nobel de médecine l’année dernière. Le but de cette technique est d’inactiver un gène dans la cellule qu’on pense être  important. Si on enlève ce gène, est-ce que la cellule va continuer à proliférer et se différencier de manière identique ?</w:t>
      </w:r>
    </w:p>
    <w:p w:rsidR="002C42A2" w:rsidRDefault="002C42A2" w:rsidP="001C369F">
      <w:pPr>
        <w:jc w:val="both"/>
      </w:pPr>
      <w:r>
        <w:tab/>
        <w:t xml:space="preserve">Ces cellules ES ont permis d’aborder cet aspect-là : les techniques de recombinaisons homologues consistent justement à inactiver spécifiquement le gène d’intérêt. Ensuite, pour voir la conséquence de l’inactivation de ce gène, les cellules ES (modifiées in vitro avec inactivation de ce gène) sont réimplantées dans le placenta de la mère porteuse et l’embryon va se développer avec la mutation. Et la conséquence de la mutation va se répercuter sur le développement du gène en question et éventuellement sur celui de l’embryon. Donc si le gène  n’a pas tellement d'intérêt, l’embryon va se développer de manière normale. On s’est alors aperçu que beaucoup de gènes peuvent ne pas avoir de fonction dans l’organisme. Ou alors que la perte d’un gène  est compensée par un autre gène. On inactive un gène et autre gène peut prendre la fonction de celui inactivé. Donc souvent le développement est normal. Ces conclusions on été établies à partir de ces expériences. Au contraire si le gène a un rôle très crucial, l’embryon ne va pas se développer in utero. On n’a pas  d’embryon et donc pas de matériel permettant d’étudier la conséquence de la mutation. </w:t>
      </w:r>
    </w:p>
    <w:p w:rsidR="002C42A2" w:rsidRDefault="002C42A2" w:rsidP="001C369F">
      <w:pPr>
        <w:jc w:val="both"/>
      </w:pPr>
      <w:r>
        <w:tab/>
        <w:t xml:space="preserve">Ces expériences  sur la souris ont suffit à établir chez l’homme l’importance de tel ou tel gène ou encore la compensation d’un gène inactivé par un autre. Elles ont également montré que certains gènes sont vraiment essentiels pour le développement car l’embryon meurt très tôt. Le modèle  animal est très représentatif de l’homme en l’occurrence. </w:t>
      </w:r>
    </w:p>
    <w:p w:rsidR="002C42A2" w:rsidRDefault="002C42A2" w:rsidP="001C369F">
      <w:pPr>
        <w:jc w:val="both"/>
      </w:pPr>
      <w:r>
        <w:tab/>
        <w:t xml:space="preserve">On a  tendance à dire toutefois que tout ce qui est vrai pour la souris l’est aussi pour l’homme, ce qui n’est pas vrai. (Certaines divergences seront évoquées plus tard.) Le modèle murin permet de faire des expériences qu’on ne peut pas faire chez l’Homme. Mais il ne faut transposer systématiquement ce que l’on fait chez la souris à l’Homme. </w:t>
      </w:r>
    </w:p>
    <w:p w:rsidR="002C42A2" w:rsidRDefault="002C42A2" w:rsidP="001C369F">
      <w:pPr>
        <w:jc w:val="both"/>
      </w:pPr>
    </w:p>
    <w:p w:rsidR="002C42A2" w:rsidRPr="00326E08" w:rsidRDefault="002C42A2" w:rsidP="001C369F">
      <w:pPr>
        <w:jc w:val="both"/>
        <w:rPr>
          <w:b/>
        </w:rPr>
      </w:pPr>
      <w:r w:rsidRPr="00326E08">
        <w:rPr>
          <w:b/>
        </w:rPr>
        <w:t xml:space="preserve">DIAPO 6 : </w:t>
      </w:r>
    </w:p>
    <w:p w:rsidR="002C42A2" w:rsidRDefault="002C42A2" w:rsidP="009462F5">
      <w:pPr>
        <w:jc w:val="both"/>
      </w:pPr>
      <w:r>
        <w:tab/>
        <w:t xml:space="preserve">Photo d’une cellule embryonnaire de souris. C’est une masse de cellules, ce n’est pas une seule cellule ! Des milliers de cellules poussent en agrégats, ce qui est caractéristique des CES. Autour des colonies, on observe le fond de la boîte,  il s’agit de « plastique ». Pourquoi du plastique ? Parce qu’on n’a pas besoin de recourir nécessairement à des fibroblastes pour faire pousser les cellules ES en rajoutant du LIF dans la culture. Ces cellules poussent extrêmement vite, on les observe en l’occurrence après l’ensemencement. Cette multiplication très rapide de ces CES est d’ailleurs un des problèmes de leur utilisation clinique. En effet, en proliférant de manière importante, elles peuvent entraîner des cancers. </w:t>
      </w:r>
    </w:p>
    <w:p w:rsidR="002C42A2" w:rsidRDefault="002C42A2" w:rsidP="001C369F">
      <w:pPr>
        <w:jc w:val="both"/>
      </w:pPr>
      <w:r>
        <w:tab/>
        <w:t xml:space="preserve">Sur les photos, différences entre cellules avec LIF et cellules sans LIF. Ces cellules-ci continuent à proliférer (mais ne  manière moins importante) et elles changent de morphologie alors que les cellules en présence de LIF sont des cellules non différenciées, qui poussent en colonies compactes. A partir de ces cellules si on les réimplante, on peut obtenir un embryon. En revanche, les cellules sans LIF sont dites différenciées et ont donc perdu leur capacité à se différencier en plusieurs types cellulaires. </w:t>
      </w:r>
    </w:p>
    <w:p w:rsidR="002C42A2" w:rsidRPr="00326E08" w:rsidRDefault="002C42A2" w:rsidP="001C369F">
      <w:pPr>
        <w:jc w:val="both"/>
        <w:rPr>
          <w:i/>
        </w:rPr>
      </w:pPr>
      <w:r>
        <w:rPr>
          <w:i/>
        </w:rPr>
        <w:tab/>
      </w:r>
      <w:r w:rsidRPr="00326E08">
        <w:rPr>
          <w:i/>
        </w:rPr>
        <w:t xml:space="preserve">Question de Maxime : Est- ce que c’est cela qu’on appelle un test de clonogénicité ? </w:t>
      </w:r>
    </w:p>
    <w:p w:rsidR="002C42A2" w:rsidRPr="00326E08" w:rsidRDefault="002C42A2" w:rsidP="009462F5">
      <w:pPr>
        <w:jc w:val="both"/>
        <w:rPr>
          <w:i/>
        </w:rPr>
      </w:pPr>
      <w:r>
        <w:rPr>
          <w:i/>
        </w:rPr>
        <w:tab/>
      </w:r>
      <w:r w:rsidRPr="00326E08">
        <w:rPr>
          <w:i/>
        </w:rPr>
        <w:t>Réponse du prof : Non, un test de clonogénicité consi</w:t>
      </w:r>
      <w:r>
        <w:rPr>
          <w:i/>
        </w:rPr>
        <w:t>sterait à prendre cette colonie, la séparer</w:t>
      </w:r>
      <w:r w:rsidRPr="00326E08">
        <w:rPr>
          <w:i/>
        </w:rPr>
        <w:t xml:space="preserve"> par une enzyme (ex trypsine) et ensemencer ces</w:t>
      </w:r>
      <w:r>
        <w:rPr>
          <w:i/>
        </w:rPr>
        <w:t xml:space="preserve"> cellules dans des conditions de manière à avoir</w:t>
      </w:r>
      <w:r w:rsidRPr="00326E08">
        <w:rPr>
          <w:i/>
        </w:rPr>
        <w:t xml:space="preserve"> une cellule par puits. Et cette c</w:t>
      </w:r>
      <w:r>
        <w:rPr>
          <w:i/>
        </w:rPr>
        <w:t>ellule-là va redonner un clone.</w:t>
      </w:r>
      <w:r w:rsidRPr="00326E08">
        <w:rPr>
          <w:i/>
        </w:rPr>
        <w:t xml:space="preserve"> Alors que là ce sont des cellules qui peuvent avoir des petites différences d’expression qui peuvent pousser ensemble ; le test de clonogénicité consiste à séparer la population cellulaire et permettre à une cellule de refaire un clone</w:t>
      </w:r>
      <w:r>
        <w:t xml:space="preserve">. </w:t>
      </w:r>
    </w:p>
    <w:p w:rsidR="002C42A2" w:rsidRDefault="002C42A2" w:rsidP="001C369F">
      <w:pPr>
        <w:jc w:val="both"/>
      </w:pPr>
    </w:p>
    <w:p w:rsidR="002C42A2" w:rsidRPr="00326E08" w:rsidRDefault="002C42A2" w:rsidP="001C369F">
      <w:pPr>
        <w:jc w:val="both"/>
        <w:rPr>
          <w:b/>
        </w:rPr>
      </w:pPr>
      <w:r>
        <w:tab/>
      </w:r>
      <w:r w:rsidRPr="00326E08">
        <w:rPr>
          <w:b/>
        </w:rPr>
        <w:t xml:space="preserve">DIAPO 7 : </w:t>
      </w:r>
    </w:p>
    <w:p w:rsidR="002C42A2" w:rsidRDefault="002C42A2" w:rsidP="001C369F">
      <w:pPr>
        <w:jc w:val="both"/>
      </w:pPr>
      <w:r>
        <w:tab/>
        <w:t>Rapide rappel historique : les cellules embryonnaires de souris ont été isolées en 1981. Ce n’est que beaucoup plus tard en 1995, qu’on s’est rendu compte que les cellules embryonnaires pouvaient être utilisées en thérapie cellulaire. Pourquoi a-t-on pris conscience qu’elles pouvaient être utiles pour la thérapie et la médecine régénérative? Parce qu’on s’est aperçu in vitro que dans des bonnes conditions, les cellules ES pouvaient donner différents types cellulaires. Précédemment, on évoqué les cellules non différenciées qu’on fait proliférer, qu’on modifie et qu’on réimplante ensuite. On s’est aperçu que si on met ces cellules dans des conditions de culture appropriées avec les bonnes hormones, etc, ces cellules-là peuvent donner différents types cellulaires (cellules osseuses, nerveuses, adipocytes…) dans la boîte de culture. On alors un phénomène très  intéressant. On pourrait envisager de réimplanter chez le patient, qui en a besoin, ces cellules différenciés dans la boîte de culture (par exemple des neurones). D’où l’idée que les cellules embryonnaires peuvent être une source potentielle de cellules thérapeutiques.</w:t>
      </w:r>
    </w:p>
    <w:p w:rsidR="002C42A2" w:rsidRPr="00093F8E" w:rsidRDefault="002C42A2" w:rsidP="001C369F">
      <w:pPr>
        <w:jc w:val="both"/>
        <w:rPr>
          <w:b/>
        </w:rPr>
      </w:pPr>
      <w:r>
        <w:tab/>
      </w:r>
      <w:r w:rsidRPr="00093F8E">
        <w:rPr>
          <w:b/>
        </w:rPr>
        <w:t>DIAPO 8 :</w:t>
      </w:r>
    </w:p>
    <w:p w:rsidR="002C42A2" w:rsidRDefault="002C42A2" w:rsidP="006713E0">
      <w:pPr>
        <w:jc w:val="both"/>
      </w:pPr>
      <w:r>
        <w:tab/>
        <w:t xml:space="preserve">L’idée de l’utilisation de CES en thérapie était donc la suivante : isoler des cellules d’un embryon de souris (on verra qu’il faut en réalité le faire à partir de l’homme pour la clinique). Ensuite, il est nécessaire d’engendrer la différenciation de ces cellules en différents types cellulaires, type neurones dopaminergiques. Puis ces neurones-là peuvent être réimplantés chez un patient dont les neurones dopa sont atteints tel qu’un patient atteint de la maladie de Parkinson. </w:t>
      </w:r>
    </w:p>
    <w:p w:rsidR="002C42A2" w:rsidRDefault="002C42A2" w:rsidP="006713E0">
      <w:pPr>
        <w:jc w:val="both"/>
      </w:pPr>
    </w:p>
    <w:p w:rsidR="002C42A2" w:rsidRPr="00093F8E" w:rsidRDefault="002C42A2" w:rsidP="001C369F">
      <w:pPr>
        <w:jc w:val="both"/>
        <w:rPr>
          <w:b/>
        </w:rPr>
      </w:pPr>
      <w:r>
        <w:tab/>
      </w:r>
      <w:r w:rsidRPr="00093F8E">
        <w:rPr>
          <w:b/>
        </w:rPr>
        <w:t>DIAPO 9 :</w:t>
      </w:r>
    </w:p>
    <w:p w:rsidR="002C42A2" w:rsidRPr="00093F8E" w:rsidRDefault="002C42A2" w:rsidP="001C369F">
      <w:pPr>
        <w:jc w:val="both"/>
        <w:rPr>
          <w:b/>
        </w:rPr>
      </w:pPr>
      <w:r>
        <w:tab/>
      </w:r>
      <w:r w:rsidRPr="00093F8E">
        <w:rPr>
          <w:b/>
        </w:rPr>
        <w:t>Exemple de la maladie de Parkinson :</w:t>
      </w:r>
    </w:p>
    <w:p w:rsidR="002C42A2" w:rsidRDefault="002C42A2" w:rsidP="001C369F">
      <w:pPr>
        <w:jc w:val="both"/>
      </w:pPr>
      <w:r>
        <w:tab/>
        <w:t xml:space="preserve">Utilisation potentielle des cellules souches embryonnaires pour essayer de remplacer les neurones dopaminergiques défaillants chez ces patients atteints de la maladie de Parkinson. Tout d’abord, on peut se demander pourquoi il faut recourir aux CSE pour la maladie de Parkinson alors qu’il existe déjà des sources de neurones autres que des cellules embryonnaires. Ces sources de neurones sont des neurones fœtaux. Après la mort d’un fœtus (pour différentes conditions : suite à un accident, un avortement…), certains  laboratoires ou certains hôpitaux peuvent isoler les neurones de ces fœtus. Ces neurones fœtaux sont fonctionnels et peuvent être réimplantés chez le patient qui en a besoin. </w:t>
      </w:r>
    </w:p>
    <w:p w:rsidR="002C42A2" w:rsidRDefault="002C42A2" w:rsidP="001C369F">
      <w:pPr>
        <w:jc w:val="both"/>
      </w:pPr>
      <w:r>
        <w:tab/>
        <w:t xml:space="preserve">Cela pose néanmoins d’énormes problèmes : </w:t>
      </w:r>
    </w:p>
    <w:p w:rsidR="002C42A2" w:rsidRDefault="002C42A2" w:rsidP="001C369F">
      <w:pPr>
        <w:jc w:val="both"/>
      </w:pPr>
      <w:r>
        <w:t>- tout d’abord, un problème éthique</w:t>
      </w:r>
    </w:p>
    <w:p w:rsidR="002C42A2" w:rsidRDefault="002C42A2" w:rsidP="001C369F">
      <w:pPr>
        <w:jc w:val="both"/>
      </w:pPr>
      <w:r>
        <w:t xml:space="preserve">- le deuxième problème : c’est extrêmement lourd de récupérer des neurones fœtaux. On a estimé qu’il fallait 6 fœtus pour pouvoir transplanter un patient. Donc simultanément il faut avoir à disposition les neurones fœtaux provenant de 6 fœtus pour pouvoir les implanter chez un patient, ce qui n’est pas évident. </w:t>
      </w:r>
    </w:p>
    <w:p w:rsidR="002C42A2" w:rsidRDefault="002C42A2" w:rsidP="001C369F">
      <w:pPr>
        <w:jc w:val="both"/>
      </w:pPr>
      <w:r>
        <w:t xml:space="preserve">- la préparation de ces neurones fœtaux dans les hôpitaux est aléatoire, la méthode n’est pas très reproductible. Il y a un manque de qualité, un manque de contrôle et de reproductibilité des échantillons. </w:t>
      </w:r>
    </w:p>
    <w:p w:rsidR="002C42A2" w:rsidRDefault="002C42A2" w:rsidP="001C369F">
      <w:pPr>
        <w:jc w:val="both"/>
      </w:pPr>
      <w:r>
        <w:tab/>
        <w:t xml:space="preserve">Par conséquent l’utilisation des neurones fœtaux pour transplanter les malades de la maladie de Parkinson est assez aléatoire. Actuellement, il n’y a qu’un seul hôpital en France (un hôpital parisien) qui réalise ces expériences en raison de la lourdeur et de la complexité de ces thérapies. </w:t>
      </w:r>
    </w:p>
    <w:p w:rsidR="002C42A2" w:rsidRDefault="002C42A2" w:rsidP="001C369F">
      <w:pPr>
        <w:jc w:val="both"/>
      </w:pPr>
      <w:r>
        <w:tab/>
        <w:t xml:space="preserve">On va donc chercher une méthode alternative, une source de cellules abondantes, reproductibles, dont on pourrait tester la qualité avant de les réimplanter chez le patient. C’est là qu’est donc apparu l’intérêt des cellules embryonnaires. En 1998, on s’est aperçu in vitro dans la boîte de culture, les cellules embryonnaires peuvent générer des neurones dopaminergiques fonctionnels. Un laboratoire a alors essayé de tester la capacité thérapeutique de ces cellules et transplanté les neurones dopaminergiques générés in vitro dans un modèle animal afin de voir qu’elle en était la conséquence. </w:t>
      </w:r>
    </w:p>
    <w:p w:rsidR="002C42A2" w:rsidRDefault="002C42A2" w:rsidP="001C369F">
      <w:pPr>
        <w:jc w:val="both"/>
      </w:pPr>
    </w:p>
    <w:p w:rsidR="002C42A2" w:rsidRPr="009B2F41" w:rsidRDefault="002C42A2" w:rsidP="001C369F">
      <w:pPr>
        <w:jc w:val="both"/>
        <w:rPr>
          <w:b/>
          <w:bCs/>
        </w:rPr>
      </w:pPr>
      <w:r>
        <w:tab/>
      </w:r>
      <w:r w:rsidRPr="009B2F41">
        <w:rPr>
          <w:b/>
          <w:bCs/>
        </w:rPr>
        <w:t>DIAPO 10 :</w:t>
      </w:r>
    </w:p>
    <w:p w:rsidR="002C42A2" w:rsidRDefault="002C42A2" w:rsidP="001C369F">
      <w:pPr>
        <w:jc w:val="both"/>
      </w:pPr>
      <w:r>
        <w:tab/>
        <w:t>Résultats de l’expérience. Le modèle animal était le rat ou la souris. Il existe une drogue permettant de détruire sélectivement ces neurones dopaminergiques dans le cerveau de ces animaux pour mimer la maladie de Parkinson. Donc une fois que ces cellules dopaminergiques ont été détruites, les auteurs de l’étude ont injecté dans le cerveau des cellules embryonnaires de souris (qui ont été au préalable induites vers une différenciation en neurones dopaminergiques). Les résultats de l’expérience ont été observés 9 semaines après. On s’aperçoit que :</w:t>
      </w:r>
    </w:p>
    <w:p w:rsidR="002C42A2" w:rsidRPr="007153F6" w:rsidRDefault="002C42A2" w:rsidP="001C369F">
      <w:pPr>
        <w:jc w:val="both"/>
        <w:rPr>
          <w:bCs/>
        </w:rPr>
      </w:pPr>
      <w:r>
        <w:t>-56% des animaux ayant été transplantés possèdent des neurones dans la zone injectée et</w:t>
      </w:r>
      <w:r>
        <w:rPr>
          <w:b/>
          <w:bCs/>
        </w:rPr>
        <w:t xml:space="preserve"> </w:t>
      </w:r>
      <w:r w:rsidRPr="007153F6">
        <w:rPr>
          <w:bCs/>
        </w:rPr>
        <w:t>présentent des améliorations locomotrices. Ces neurones engendrés in vitro à partir de cellules embryonnaires</w:t>
      </w:r>
      <w:r>
        <w:rPr>
          <w:bCs/>
        </w:rPr>
        <w:t xml:space="preserve"> ont pu compenser la perte des neurones chez l’animal. </w:t>
      </w:r>
    </w:p>
    <w:p w:rsidR="002C42A2" w:rsidRPr="007153F6" w:rsidRDefault="002C42A2" w:rsidP="001C369F">
      <w:pPr>
        <w:jc w:val="both"/>
      </w:pPr>
      <w:r w:rsidRPr="007153F6">
        <w:rPr>
          <w:bCs/>
        </w:rPr>
        <w:t>- 24% des animaux ne possèdent pas d’amélioration</w:t>
      </w:r>
      <w:r>
        <w:rPr>
          <w:bCs/>
        </w:rPr>
        <w:t>. Dans ce cas-là, la transplantation n’a pas marché.</w:t>
      </w:r>
      <w:r w:rsidRPr="007153F6">
        <w:rPr>
          <w:bCs/>
        </w:rPr>
        <w:tab/>
      </w:r>
    </w:p>
    <w:p w:rsidR="002C42A2" w:rsidRDefault="002C42A2" w:rsidP="009B2F41">
      <w:pPr>
        <w:jc w:val="both"/>
        <w:rPr>
          <w:bCs/>
        </w:rPr>
      </w:pPr>
      <w:r w:rsidRPr="007153F6">
        <w:t>-</w:t>
      </w:r>
      <w:r w:rsidRPr="007153F6">
        <w:rPr>
          <w:bCs/>
        </w:rPr>
        <w:t xml:space="preserve"> </w:t>
      </w:r>
      <w:r>
        <w:rPr>
          <w:bCs/>
        </w:rPr>
        <w:t xml:space="preserve">Le résultat le plus inquiétant de l’étude est le suivant : </w:t>
      </w:r>
      <w:r w:rsidRPr="007153F6">
        <w:rPr>
          <w:bCs/>
        </w:rPr>
        <w:t xml:space="preserve">20% </w:t>
      </w:r>
      <w:r>
        <w:rPr>
          <w:bCs/>
        </w:rPr>
        <w:t xml:space="preserve">des animaux </w:t>
      </w:r>
      <w:r w:rsidRPr="007153F6">
        <w:rPr>
          <w:bCs/>
        </w:rPr>
        <w:t>développent une tumeur dans la région injectée et meurent</w:t>
      </w:r>
      <w:r>
        <w:rPr>
          <w:bCs/>
        </w:rPr>
        <w:t xml:space="preserve"> des conséquences de cette tumeur. </w:t>
      </w:r>
    </w:p>
    <w:p w:rsidR="002C42A2" w:rsidRDefault="002C42A2" w:rsidP="001C369F">
      <w:pPr>
        <w:jc w:val="both"/>
        <w:rPr>
          <w:bCs/>
        </w:rPr>
      </w:pPr>
      <w:r>
        <w:rPr>
          <w:bCs/>
        </w:rPr>
        <w:tab/>
        <w:t xml:space="preserve">On pointe alors du doigt le problème que pose en clinique et  en thérapie cellulaire, l’utilisation des cellules souches embryonnaires. Après transplantation, ces cellules donnent dans de nombreux cas des tumeurs. Cette observation a été reproduite dans diverses études. </w:t>
      </w:r>
    </w:p>
    <w:p w:rsidR="002C42A2" w:rsidRPr="009B2F41" w:rsidRDefault="002C42A2" w:rsidP="009B2F41">
      <w:pPr>
        <w:ind w:firstLine="708"/>
        <w:jc w:val="both"/>
        <w:rPr>
          <w:bCs/>
          <w:i/>
          <w:iCs/>
        </w:rPr>
      </w:pPr>
      <w:r w:rsidRPr="009B2F41">
        <w:rPr>
          <w:bCs/>
          <w:i/>
          <w:iCs/>
        </w:rPr>
        <w:t>Question : Est-ce- que la xénogreffe peut être responsable de l’incompatibilité totale  ou de l’apparition de tumeurs ?</w:t>
      </w:r>
    </w:p>
    <w:p w:rsidR="002C42A2" w:rsidRPr="009B2F41" w:rsidRDefault="002C42A2" w:rsidP="009B2F41">
      <w:pPr>
        <w:ind w:firstLine="708"/>
        <w:jc w:val="both"/>
        <w:rPr>
          <w:bCs/>
          <w:i/>
          <w:iCs/>
        </w:rPr>
      </w:pPr>
      <w:r w:rsidRPr="009B2F41">
        <w:rPr>
          <w:bCs/>
          <w:i/>
          <w:iCs/>
        </w:rPr>
        <w:t xml:space="preserve">Réponse : Non, ce serait peut-être même le contraire. Il semblerait que la xénogreffe soit plus facilement tolérée qu’une allogreffe. Quand on réalise une allogreffe ou une autogreffe à un sujet transplanté, il peut y avoir un rejet car les cellules ne sont pas reconnues comme le soi. Donc le cerveau est un organe un peu particulier dans la mesure où le rejet immunitaire est très faible. Et en plus il semblerait que quand on transplante des cellules murines chez le rat ou des cellules humaines chez la souris, il n’y a pas de rejet. Les cellules transplantées provenant d’un autre animal sont mieux tolérées que celles provenant d’une allogreffe. Donc la xénogreffe n’est pas une des causes de la formation de ces tumeurs. </w:t>
      </w:r>
    </w:p>
    <w:p w:rsidR="002C42A2" w:rsidRPr="009B2F41" w:rsidRDefault="002C42A2" w:rsidP="001C369F">
      <w:pPr>
        <w:jc w:val="both"/>
        <w:rPr>
          <w:bCs/>
          <w:i/>
          <w:iCs/>
        </w:rPr>
      </w:pPr>
      <w:r w:rsidRPr="009B2F41">
        <w:rPr>
          <w:bCs/>
          <w:i/>
          <w:iCs/>
        </w:rPr>
        <w:tab/>
        <w:t>Hypothèse de Nordine </w:t>
      </w:r>
      <w:r>
        <w:rPr>
          <w:bCs/>
          <w:i/>
          <w:iCs/>
        </w:rPr>
        <w:t>concernant l’apparition de tumeurs</w:t>
      </w:r>
      <w:r w:rsidRPr="009B2F41">
        <w:rPr>
          <w:bCs/>
          <w:i/>
          <w:iCs/>
        </w:rPr>
        <w:t>: Le concept de niche ? Il y aurait des variations entre individus, certains pr</w:t>
      </w:r>
      <w:r>
        <w:rPr>
          <w:bCs/>
          <w:i/>
          <w:iCs/>
        </w:rPr>
        <w:t>oduiraient un environnement de r</w:t>
      </w:r>
      <w:r w:rsidRPr="009B2F41">
        <w:rPr>
          <w:bCs/>
          <w:i/>
          <w:iCs/>
        </w:rPr>
        <w:t>écepteurs membranaires, d’éléments diffusibles, qui guident la différenciation là où d’autres ont laissé s’exprimer des oncogènes ?</w:t>
      </w:r>
    </w:p>
    <w:p w:rsidR="002C42A2" w:rsidRPr="009B2F41" w:rsidRDefault="002C42A2" w:rsidP="009B2F41">
      <w:pPr>
        <w:jc w:val="both"/>
        <w:rPr>
          <w:bCs/>
          <w:i/>
          <w:iCs/>
        </w:rPr>
      </w:pPr>
      <w:r w:rsidRPr="009B2F41">
        <w:rPr>
          <w:bCs/>
          <w:i/>
          <w:iCs/>
        </w:rPr>
        <w:tab/>
        <w:t>Réponse : En effet, c’est une des possibilités, une des causes possibles de la prolifération extrêmement rapide des cellules embryonnaires.  Lorsque l’on transplant</w:t>
      </w:r>
      <w:r>
        <w:rPr>
          <w:bCs/>
          <w:i/>
          <w:iCs/>
        </w:rPr>
        <w:t>e des cellules embryonnaires dont on a stimulé in vitro la différenciation</w:t>
      </w:r>
      <w:r w:rsidRPr="009B2F41">
        <w:rPr>
          <w:bCs/>
          <w:i/>
          <w:iCs/>
        </w:rPr>
        <w:t xml:space="preserve"> en neurones dopaminergiques, la différenciation de ces cellules  en neurones n’est pas complète (elle se fait à 90%).  Il reste 10 % de cellules non différenciées, qui elles malgré un environnement favorable  ne sont pas entrées en différenciation. Ces cellules-là non différenciées, qui ont proliférées et qui prolifèrent à toute vitesse, sont à l’origine de formation de tumeurs.</w:t>
      </w:r>
    </w:p>
    <w:p w:rsidR="002C42A2" w:rsidRDefault="002C42A2" w:rsidP="001C369F">
      <w:pPr>
        <w:jc w:val="both"/>
        <w:rPr>
          <w:bCs/>
        </w:rPr>
      </w:pPr>
      <w:r>
        <w:rPr>
          <w:bCs/>
        </w:rPr>
        <w:tab/>
        <w:t>D’où la nécessité avant transplantation de pouvoir sélectionner une population pure de cellules différenciées d’intérêt. La complexité est donc de pouvoir éliminer les cellules non différenciées avant de les transplanter ou d’avoir des protocoles qui vont conduire à une population différenciée pure. Ce sont des problématiques qui sont en suspens.</w:t>
      </w:r>
    </w:p>
    <w:p w:rsidR="002C42A2" w:rsidRDefault="002C42A2" w:rsidP="001C369F">
      <w:pPr>
        <w:jc w:val="both"/>
        <w:rPr>
          <w:bCs/>
        </w:rPr>
      </w:pPr>
    </w:p>
    <w:p w:rsidR="002C42A2" w:rsidRPr="009B2F41" w:rsidRDefault="002C42A2" w:rsidP="001C369F">
      <w:pPr>
        <w:jc w:val="both"/>
        <w:rPr>
          <w:b/>
        </w:rPr>
      </w:pPr>
      <w:r>
        <w:rPr>
          <w:bCs/>
        </w:rPr>
        <w:tab/>
      </w:r>
      <w:r w:rsidRPr="009B2F41">
        <w:rPr>
          <w:b/>
        </w:rPr>
        <w:t>DIAPO 11 :</w:t>
      </w:r>
    </w:p>
    <w:p w:rsidR="002C42A2" w:rsidRDefault="002C42A2" w:rsidP="001C369F">
      <w:pPr>
        <w:jc w:val="both"/>
        <w:rPr>
          <w:bCs/>
        </w:rPr>
      </w:pPr>
      <w:r>
        <w:rPr>
          <w:bCs/>
        </w:rPr>
        <w:tab/>
        <w:t xml:space="preserve">Cela nous amène à se poser des questions sur les problèmes posés en clinique par les CSE. Le premier problème est celui évoqué précédemment : la difficulté d’avoir une population de cellules différenciées pure pour éviter d’avoir des cellules non différenciées pouvant entraîner des tumeurs. </w:t>
      </w:r>
    </w:p>
    <w:p w:rsidR="002C42A2" w:rsidRDefault="002C42A2" w:rsidP="001C369F">
      <w:pPr>
        <w:jc w:val="both"/>
        <w:rPr>
          <w:bCs/>
        </w:rPr>
      </w:pPr>
      <w:r>
        <w:rPr>
          <w:bCs/>
        </w:rPr>
        <w:tab/>
        <w:t xml:space="preserve">Autre problème, on a des CSE de souris et donc pour envisager leur utilisation en clinique, il faut isoler des CSE chez l’Homme. </w:t>
      </w:r>
      <w:r>
        <w:rPr>
          <w:bCs/>
        </w:rPr>
        <w:tab/>
      </w:r>
    </w:p>
    <w:p w:rsidR="002C42A2" w:rsidRDefault="002C42A2" w:rsidP="001C369F">
      <w:pPr>
        <w:jc w:val="both"/>
        <w:rPr>
          <w:bCs/>
        </w:rPr>
      </w:pPr>
      <w:r>
        <w:rPr>
          <w:bCs/>
        </w:rPr>
        <w:tab/>
      </w:r>
    </w:p>
    <w:p w:rsidR="002C42A2" w:rsidRDefault="002C42A2" w:rsidP="001C369F">
      <w:pPr>
        <w:pStyle w:val="ListParagraph"/>
        <w:numPr>
          <w:ilvl w:val="0"/>
          <w:numId w:val="2"/>
        </w:numPr>
        <w:jc w:val="both"/>
      </w:pPr>
      <w:r w:rsidRPr="00985C52">
        <w:rPr>
          <w:b/>
          <w:bCs/>
        </w:rPr>
        <w:t>Les cellules souches embryonnaires humaines: Clonage thérapeutique, problèmes techniques et éthiques.</w:t>
      </w:r>
    </w:p>
    <w:p w:rsidR="002C42A2" w:rsidRDefault="002C42A2" w:rsidP="001C369F">
      <w:pPr>
        <w:jc w:val="both"/>
        <w:rPr>
          <w:bCs/>
        </w:rPr>
      </w:pPr>
      <w:r>
        <w:rPr>
          <w:bCs/>
        </w:rPr>
        <w:tab/>
      </w:r>
    </w:p>
    <w:p w:rsidR="002C42A2" w:rsidRDefault="002C42A2" w:rsidP="001C369F">
      <w:pPr>
        <w:jc w:val="both"/>
        <w:rPr>
          <w:bCs/>
        </w:rPr>
      </w:pPr>
    </w:p>
    <w:p w:rsidR="002C42A2" w:rsidRDefault="002C42A2" w:rsidP="001C369F">
      <w:pPr>
        <w:jc w:val="both"/>
        <w:rPr>
          <w:bCs/>
        </w:rPr>
      </w:pPr>
      <w:r>
        <w:rPr>
          <w:bCs/>
        </w:rPr>
        <w:tab/>
        <w:t xml:space="preserve">La CSE humaine a été isolée pour la première fois en 1998 par deux  groupes américains qui ont utilisés des embryons de 5 jours. Ces embryons étaient dus à des fécondations in vitro ou des problèmes de gestation.  A partir de la masse cellulaire interne de ces embryons, des CSE humaines ont été isolées. </w:t>
      </w:r>
    </w:p>
    <w:p w:rsidR="002C42A2" w:rsidRDefault="002C42A2" w:rsidP="001C369F">
      <w:pPr>
        <w:jc w:val="both"/>
        <w:rPr>
          <w:bCs/>
        </w:rPr>
      </w:pPr>
    </w:p>
    <w:p w:rsidR="002C42A2" w:rsidRPr="009B2F41" w:rsidRDefault="002C42A2" w:rsidP="001C369F">
      <w:pPr>
        <w:jc w:val="both"/>
        <w:rPr>
          <w:b/>
        </w:rPr>
      </w:pPr>
      <w:r>
        <w:rPr>
          <w:bCs/>
        </w:rPr>
        <w:tab/>
      </w:r>
      <w:r w:rsidRPr="009B2F41">
        <w:rPr>
          <w:b/>
        </w:rPr>
        <w:t xml:space="preserve">DIAPO 12 : </w:t>
      </w:r>
    </w:p>
    <w:p w:rsidR="002C42A2" w:rsidRDefault="002C42A2" w:rsidP="009B2F41">
      <w:pPr>
        <w:jc w:val="both"/>
        <w:rPr>
          <w:bCs/>
        </w:rPr>
      </w:pPr>
      <w:r>
        <w:rPr>
          <w:bCs/>
        </w:rPr>
        <w:tab/>
        <w:t xml:space="preserve">Les découvertes se sont alors accélérées : 3, 4 ans plus tard, on a observé que des cellules pouvaient potentiellement être utilisées en clinique. Rapidement, les auteurs ont cherché à savoir si les CSE humaines comme celles de souris étaient capables in vitro de donner des cellules d’intérêt voire des neurones dopaminergiques. C’est en 2001 que pour la première fois a été rapporté la génération in vitro de neurones dopaminergiques à partir de CSE humaines. 40 à 50% de la population cellulaire donnent des neurones dopaminergiques. Il y a toujours la moitié de la population qui n’est pas différenciée. Et donc on  ne peut pas injecter telle quelle la population différenciée/non différenciée en raison des  risques de formation de tumeurs. Actuellement, dans les laboratoires qui veulent utiliser les CSE en thérapie cellulaire, le challenge est de pouvoir engendrer à très haute efficacité un type cellulaire voulu.  </w:t>
      </w:r>
    </w:p>
    <w:p w:rsidR="002C42A2" w:rsidRDefault="002C42A2" w:rsidP="001C369F">
      <w:pPr>
        <w:jc w:val="both"/>
        <w:rPr>
          <w:bCs/>
        </w:rPr>
      </w:pPr>
      <w:r>
        <w:rPr>
          <w:bCs/>
        </w:rPr>
        <w:tab/>
      </w:r>
    </w:p>
    <w:p w:rsidR="002C42A2" w:rsidRPr="009B2F41" w:rsidRDefault="002C42A2" w:rsidP="009B2F41">
      <w:pPr>
        <w:ind w:firstLine="708"/>
        <w:jc w:val="both"/>
        <w:rPr>
          <w:b/>
        </w:rPr>
      </w:pPr>
      <w:r w:rsidRPr="009B2F41">
        <w:rPr>
          <w:b/>
        </w:rPr>
        <w:t>DIAPO 13 :</w:t>
      </w:r>
    </w:p>
    <w:p w:rsidR="002C42A2" w:rsidRDefault="002C42A2" w:rsidP="001C369F">
      <w:pPr>
        <w:jc w:val="both"/>
        <w:rPr>
          <w:bCs/>
        </w:rPr>
      </w:pPr>
      <w:r>
        <w:rPr>
          <w:bCs/>
        </w:rPr>
        <w:tab/>
        <w:t>On peut citer l’exemple de l’utilisation de CSE humaines qui a été efficace chez le rat. Ce résultat a été publié récemment en 2007 par une société privée, la Geron. Les auteurs se sont intéressés à la régénération cardiaque en utilisant la CSE humaine. Pourquoi les cellules cardiaques sont un exemple plus simple que les neurones dopaminergiques ?  Les CSE ont une capacité à se différencier en plusieurs types cellulaires mais certains types cellulaires sont plus faciles à engendrer que d’autres. Les neurones correspondent à un type cellulaire difficile à engendrer in vitro probablement parce que l’on n’a pas les bons protocoles, les bonnes hormones, pour pouvoir engendrer une différenciation efficace. En revanche, les cellules  à très haute  efficacité sont les cardiomyocytes qui ont une contraction spontanée in vitro. C’est un  modèle facile d’utilisation en thérapie cellulaire. Spontanément, les CSE humaines peuvent donner des cardiomyocytes dans la boîte de culture. Donc ce sont ces cardiomyocytes que les auteurs ont injectés dans un modèle de rat (dans lequel ils ont d’abord fait des ligatures pour mimer les infarctus du myocarde).</w:t>
      </w:r>
      <w:r w:rsidRPr="00B360CC">
        <w:rPr>
          <w:bCs/>
        </w:rPr>
        <w:t xml:space="preserve"> 4</w:t>
      </w:r>
      <w:r>
        <w:rPr>
          <w:bCs/>
        </w:rPr>
        <w:t xml:space="preserve"> semaines après transplantation, les animaux ont été analysés. Ce qui en ressort dans ce cas-là, c’est qu’il n’y a pas eu de formation de tumeurs contrairement à l’expérience précédente. Ils ont alors observé l’a</w:t>
      </w:r>
      <w:r w:rsidRPr="00B360CC">
        <w:rPr>
          <w:bCs/>
        </w:rPr>
        <w:t>mélioration de la fonction cardiaque</w:t>
      </w:r>
      <w:r>
        <w:rPr>
          <w:bCs/>
        </w:rPr>
        <w:t xml:space="preserve"> de ces animaux transplantés. C’est une expérience qui porte un certain optimisme sur l’utilisation possible de ces CSE en clinique.</w:t>
      </w:r>
    </w:p>
    <w:p w:rsidR="002C42A2" w:rsidRDefault="002C42A2" w:rsidP="001C369F">
      <w:pPr>
        <w:jc w:val="both"/>
        <w:rPr>
          <w:bCs/>
        </w:rPr>
      </w:pPr>
    </w:p>
    <w:p w:rsidR="002C42A2" w:rsidRPr="009B2F41" w:rsidRDefault="002C42A2" w:rsidP="001C369F">
      <w:pPr>
        <w:jc w:val="both"/>
        <w:rPr>
          <w:b/>
        </w:rPr>
      </w:pPr>
      <w:r>
        <w:rPr>
          <w:bCs/>
        </w:rPr>
        <w:tab/>
      </w:r>
      <w:r w:rsidRPr="009B2F41">
        <w:rPr>
          <w:b/>
        </w:rPr>
        <w:t>DIAPO 14 :</w:t>
      </w:r>
    </w:p>
    <w:p w:rsidR="002C42A2" w:rsidRDefault="002C42A2" w:rsidP="00A252C5">
      <w:pPr>
        <w:jc w:val="both"/>
        <w:rPr>
          <w:bCs/>
        </w:rPr>
      </w:pPr>
      <w:r>
        <w:rPr>
          <w:bCs/>
        </w:rPr>
        <w:tab/>
        <w:t xml:space="preserve">On peut se poser la question suivante : pourquoi à ce jour aucun essai clinique n’est en cours utilisant des CSE humaines ? Actuellement, ce ne sont que des expériences sur des modèles animaux. Un des problèmes est le rejet immunitaire. Faisons l’hypothèse qu’on isole les CSE humaines à partir d’un embryon et  qu’on génère des cellules d’intérêt, cardiaques ou autres, et qu’on les implante chez un patient. Contrairement à des xénogreffes où les cellules injectées sont en général tolérées, cette allogreffe (cellules transplantées à un individu à partir d’un embryon) peut entraîner un rejet si on n’a pas recours à des molécules immunosuppressives. Pour pallier à ce rejet immunitaire, il se développe des techniques qu’on appelle  « clonage thérapeutique ». Le but du clonage thérapeutique est de pouvoir éliminer le rejet immunitaire en pratiquant une auto-transplantation. Le deuxième problème, assez conséquent, est l’aspect éthique, à savoir que pour générer des cellules ES, il faut créer un embryon pour le détruire en culture et en isoler des cellules ES. Maintenant, et depuis peu en France, on peut générer des cellules ES à partir d’embryons surnuméraires. Les embryons surnuméraires sont des embryons qui ont été conçus pour un projet parental, qui est abandonné pour x raisons. Au bout d’un certain temps (5 ans) ces embryons surnuméraires sont détruits ou utilisés par les laboratoires pour générer des cellules ES. </w:t>
      </w:r>
    </w:p>
    <w:p w:rsidR="002C42A2" w:rsidRDefault="002C42A2" w:rsidP="001C369F">
      <w:pPr>
        <w:jc w:val="both"/>
        <w:rPr>
          <w:bCs/>
        </w:rPr>
      </w:pPr>
      <w:r>
        <w:rPr>
          <w:bCs/>
        </w:rPr>
        <w:tab/>
      </w:r>
    </w:p>
    <w:p w:rsidR="002C42A2" w:rsidRPr="00A252C5" w:rsidRDefault="002C42A2" w:rsidP="00A252C5">
      <w:pPr>
        <w:ind w:firstLine="708"/>
        <w:jc w:val="both"/>
        <w:rPr>
          <w:b/>
        </w:rPr>
      </w:pPr>
      <w:r w:rsidRPr="00A252C5">
        <w:rPr>
          <w:b/>
        </w:rPr>
        <w:t>DIAPO 15 :</w:t>
      </w:r>
    </w:p>
    <w:p w:rsidR="002C42A2" w:rsidRDefault="002C42A2" w:rsidP="00A252C5">
      <w:pPr>
        <w:jc w:val="both"/>
        <w:rPr>
          <w:bCs/>
        </w:rPr>
      </w:pPr>
      <w:r>
        <w:rPr>
          <w:bCs/>
        </w:rPr>
        <w:tab/>
        <w:t xml:space="preserve">Le clonage thérapeutique consiste  à générer des CSE à partir du patient. Le but est d’isoler le noyau (qui contient tout le patrimoine génétique) à partir d’une cellule somatique du patient (une cellule de peau par exemple). On isole ce noyau de cette cellule somatique et on implante ce noyau dans un ovocyte, au préalable énuclée. On sait in vitro stimuler cet ovocyte, l’engager vers un processus de développement. On peut donc créer un embryon in vitro. Il suffit de 3, 4 jours de développement de l’embryon pour avoir le stade de blastocyste, caractérisé par l’existence d’une masse cellulaire interne. A partir de cette « ICM », on peut isoler des CSE. Une fois isolées, les cellules souches embryonnaires peuvent être induites vers une différenciation en cellules d’intérêt type neurones dopaminergiques. Ensuite, on peut implanter ces neurones dopaminergiques chez le patient parkinsonien. Il n’y a pas de rejet car ces cellules ont le même patrimoine génétique que le patient (sic). </w:t>
      </w:r>
    </w:p>
    <w:p w:rsidR="002C42A2" w:rsidRDefault="002C42A2" w:rsidP="001C369F">
      <w:pPr>
        <w:jc w:val="both"/>
        <w:rPr>
          <w:bCs/>
        </w:rPr>
      </w:pPr>
      <w:r>
        <w:rPr>
          <w:bCs/>
        </w:rPr>
        <w:tab/>
        <w:t xml:space="preserve">Le noyau d’une cellule somatique est bloquée, il n’est pas pluripotent : il n’est programmé que pour être un fibroblaste, faire une cellule de peau…En revanche si on met ce noyau dans un ovocyte, ce dernier contient dans son cytoplasme tous les facteurs qui vont permettre de « déprogrammer » ce noyau, le « dédifférencier ».  Ce noyau-là aura alors toute la structure d’un noyau d’une cellule pluripotente. Le mécanisme de reprogrammation est loin d’être connu, on connait l’aboutissement mais pas les raisons d’un tel processus. </w:t>
      </w:r>
    </w:p>
    <w:p w:rsidR="002C42A2" w:rsidRPr="00A252C5" w:rsidRDefault="002C42A2" w:rsidP="001C369F">
      <w:pPr>
        <w:jc w:val="both"/>
        <w:rPr>
          <w:bCs/>
          <w:i/>
          <w:iCs/>
        </w:rPr>
      </w:pPr>
      <w:r>
        <w:rPr>
          <w:bCs/>
        </w:rPr>
        <w:tab/>
      </w:r>
      <w:r w:rsidRPr="00A252C5">
        <w:rPr>
          <w:bCs/>
          <w:i/>
          <w:iCs/>
        </w:rPr>
        <w:t>Question de Nordine : au stade où on en est aujourd’hui, a-t-on essayé avec différents types</w:t>
      </w:r>
      <w:r>
        <w:rPr>
          <w:bCs/>
          <w:i/>
          <w:iCs/>
        </w:rPr>
        <w:t xml:space="preserve"> somatiques ou pour l’instant</w:t>
      </w:r>
      <w:r w:rsidRPr="00A252C5">
        <w:rPr>
          <w:bCs/>
          <w:i/>
          <w:iCs/>
        </w:rPr>
        <w:t xml:space="preserve"> a</w:t>
      </w:r>
      <w:r>
        <w:rPr>
          <w:bCs/>
          <w:i/>
          <w:iCs/>
        </w:rPr>
        <w:t>-t-on uniquement utilisé des</w:t>
      </w:r>
      <w:r w:rsidRPr="00A252C5">
        <w:rPr>
          <w:bCs/>
          <w:i/>
          <w:iCs/>
        </w:rPr>
        <w:t xml:space="preserve"> fibroblastes, des kératinocytes ? </w:t>
      </w:r>
    </w:p>
    <w:p w:rsidR="002C42A2" w:rsidRDefault="002C42A2" w:rsidP="001C369F">
      <w:pPr>
        <w:jc w:val="both"/>
        <w:rPr>
          <w:bCs/>
        </w:rPr>
      </w:pPr>
      <w:r w:rsidRPr="00A252C5">
        <w:rPr>
          <w:bCs/>
          <w:i/>
          <w:iCs/>
        </w:rPr>
        <w:tab/>
        <w:t>Réponse : A ce jour la théorie est celle exposée sur le schéma mais en  pratique on utilise préférentiellement des kératinocytes. Il n’y a pas eu d’expérience comparant la génération de cellules ES à partir de kératinocytes, de myocytes… La lourdeur de la chose empêche sans doute des études comparatives</w:t>
      </w:r>
      <w:r>
        <w:rPr>
          <w:bCs/>
        </w:rPr>
        <w:t xml:space="preserve">. </w:t>
      </w:r>
    </w:p>
    <w:p w:rsidR="002C42A2" w:rsidRDefault="002C42A2" w:rsidP="001C369F">
      <w:pPr>
        <w:jc w:val="both"/>
        <w:rPr>
          <w:bCs/>
        </w:rPr>
      </w:pPr>
      <w:r>
        <w:rPr>
          <w:bCs/>
        </w:rPr>
        <w:tab/>
        <w:t xml:space="preserve">Les iPS (inducted pluripotency stem cells) sont un peu fondées sur le même principe d’une reprogrammation des cellules somatiques au stade embryonnaire. </w:t>
      </w:r>
    </w:p>
    <w:p w:rsidR="002C42A2" w:rsidRDefault="002C42A2" w:rsidP="001C369F">
      <w:pPr>
        <w:jc w:val="both"/>
        <w:rPr>
          <w:bCs/>
        </w:rPr>
      </w:pPr>
      <w:r>
        <w:rPr>
          <w:bCs/>
        </w:rPr>
        <w:tab/>
      </w:r>
    </w:p>
    <w:p w:rsidR="002C42A2" w:rsidRPr="00A252C5" w:rsidRDefault="002C42A2" w:rsidP="00A252C5">
      <w:pPr>
        <w:ind w:firstLine="708"/>
        <w:jc w:val="both"/>
        <w:rPr>
          <w:b/>
        </w:rPr>
      </w:pPr>
      <w:r w:rsidRPr="00A252C5">
        <w:rPr>
          <w:b/>
        </w:rPr>
        <w:t>DIAPO 16 :</w:t>
      </w:r>
    </w:p>
    <w:p w:rsidR="002C42A2" w:rsidRDefault="002C42A2" w:rsidP="00A252C5">
      <w:pPr>
        <w:jc w:val="both"/>
        <w:rPr>
          <w:bCs/>
        </w:rPr>
      </w:pPr>
      <w:r>
        <w:rPr>
          <w:bCs/>
        </w:rPr>
        <w:tab/>
        <w:t xml:space="preserve">La pratique du clonage thérapeutique nous amène à évoquer un laboratoire coréen qui en 2004 a enfin réalisé ces expériences-là. Le taux de réussite est extrêmement faible et l’expérience a couté plusieurs centaines de milliers d’euros pour générer une seule cellule embryonnaire. On voit donc bien qu’on est aux balbutiements de cette technique qui est loin de rentrer en routine dans les hôpitaux pour la thérapie cellulaire. Ce laboratoire-là a donc généré à partir d’une cellule somatique, un kératinocyte. A partir de cette cellule, ils ont pu générer une lignée de cellules souches embryonnaires. Pour générer ces CSE, ils ont enlevé le noyau de ce kératinocyte et l’ont mis  dans un ovocyte énuclée. Ils ont du utiliser 242 ovules pour cela. Cela a nécessité 16 femmes volontaires pour le don d’ovule (qui ont nécessité d’être en « super ovulation » (processus très lourd) pour générer ces 242 ovules. Après tout ça, ils ont pu obtenir une cellule souche embryonnaire. Donc la pratique du clonage thérapeutique est plus compliquée que ne laisse l’envisager la théorie. On a évoqué jusqu’à maintenant le problème technique du clonage thérapeutique. </w:t>
      </w:r>
    </w:p>
    <w:p w:rsidR="002C42A2" w:rsidRDefault="002C42A2" w:rsidP="001C369F">
      <w:pPr>
        <w:jc w:val="both"/>
        <w:rPr>
          <w:bCs/>
        </w:rPr>
      </w:pPr>
      <w:r>
        <w:rPr>
          <w:bCs/>
        </w:rPr>
        <w:tab/>
      </w:r>
    </w:p>
    <w:p w:rsidR="002C42A2" w:rsidRPr="006240EA" w:rsidRDefault="002C42A2" w:rsidP="006240EA">
      <w:pPr>
        <w:ind w:firstLine="708"/>
        <w:jc w:val="both"/>
        <w:rPr>
          <w:b/>
        </w:rPr>
      </w:pPr>
      <w:r w:rsidRPr="006240EA">
        <w:rPr>
          <w:b/>
        </w:rPr>
        <w:t>DIAPO 17 :</w:t>
      </w:r>
    </w:p>
    <w:p w:rsidR="002C42A2" w:rsidRPr="00ED440B" w:rsidRDefault="002C42A2" w:rsidP="00ED440B">
      <w:pPr>
        <w:jc w:val="both"/>
        <w:rPr>
          <w:bCs/>
        </w:rPr>
      </w:pPr>
      <w:r w:rsidRPr="00ED440B">
        <w:rPr>
          <w:bCs/>
        </w:rPr>
        <w:tab/>
        <w:t>Le problème éthique du clonage thérapeutique est dû à la nécessité de créer des embryons humains destinés à être détruits pour isoler les cellules souches. La question qui se pose est de savoir à partir de quand un embryon est un être humain? Cela dépend notamment des aspects religieux, spirituels…</w:t>
      </w:r>
    </w:p>
    <w:p w:rsidR="002C42A2" w:rsidRPr="006240EA" w:rsidRDefault="002C42A2" w:rsidP="00ED440B">
      <w:pPr>
        <w:jc w:val="both"/>
        <w:rPr>
          <w:bCs/>
          <w:i/>
          <w:iCs/>
        </w:rPr>
      </w:pPr>
      <w:r>
        <w:rPr>
          <w:bCs/>
        </w:rPr>
        <w:tab/>
      </w:r>
      <w:r w:rsidRPr="006240EA">
        <w:rPr>
          <w:bCs/>
          <w:i/>
          <w:iCs/>
        </w:rPr>
        <w:t>Question de Nordine : A propos de la recherche, que faut-il penser de certaines sociétés privées américaines qui se fondent uniquement sur des fonds privées pour développer  leurs recherches ? Mettent-elles à disposition leurs résultats ? Peut-on considérer comme valable</w:t>
      </w:r>
      <w:r>
        <w:rPr>
          <w:bCs/>
          <w:i/>
          <w:iCs/>
        </w:rPr>
        <w:t>s</w:t>
      </w:r>
      <w:r w:rsidRPr="006240EA">
        <w:rPr>
          <w:bCs/>
          <w:i/>
          <w:iCs/>
        </w:rPr>
        <w:t xml:space="preserve"> leurs résultats ? </w:t>
      </w:r>
    </w:p>
    <w:p w:rsidR="002C42A2" w:rsidRPr="006240EA" w:rsidRDefault="002C42A2" w:rsidP="00ED440B">
      <w:pPr>
        <w:jc w:val="both"/>
        <w:rPr>
          <w:bCs/>
          <w:i/>
          <w:iCs/>
        </w:rPr>
      </w:pPr>
      <w:r w:rsidRPr="006240EA">
        <w:rPr>
          <w:bCs/>
          <w:i/>
          <w:iCs/>
        </w:rPr>
        <w:tab/>
        <w:t xml:space="preserve">Réponse : Je pense que non car ces sociétés ont avant tout un but lucratif et ne publient pas le détail de leurs résultats. En recherche, lorsqu’on soumet un article, celui-ci est référé par différentes personnes que l’auteur ne connait pas. C’est le référé qui juge si l’article est bon ou pas. Il rejette ou demande des précisions. En </w:t>
      </w:r>
      <w:r>
        <w:rPr>
          <w:bCs/>
          <w:i/>
          <w:iCs/>
        </w:rPr>
        <w:t>revanche ces sociétés privées sont</w:t>
      </w:r>
      <w:r w:rsidRPr="006240EA">
        <w:rPr>
          <w:bCs/>
          <w:i/>
          <w:iCs/>
        </w:rPr>
        <w:t xml:space="preserve"> assez opaques </w:t>
      </w:r>
      <w:r>
        <w:rPr>
          <w:bCs/>
          <w:i/>
          <w:iCs/>
        </w:rPr>
        <w:t xml:space="preserve">et </w:t>
      </w:r>
      <w:r w:rsidRPr="006240EA">
        <w:rPr>
          <w:bCs/>
          <w:i/>
          <w:iCs/>
        </w:rPr>
        <w:t>font des annonces dans la presse en ne donnant que les résultats des expériences (et souvent uniquement ce</w:t>
      </w:r>
      <w:r>
        <w:rPr>
          <w:bCs/>
          <w:i/>
          <w:iCs/>
        </w:rPr>
        <w:t xml:space="preserve">ux des expériences </w:t>
      </w:r>
      <w:r w:rsidRPr="006240EA">
        <w:rPr>
          <w:bCs/>
          <w:i/>
          <w:iCs/>
        </w:rPr>
        <w:t xml:space="preserve">ayant réussi). Il n’y a donc aucune crédibilité scientifique. Personne n’a eu en </w:t>
      </w:r>
      <w:r>
        <w:rPr>
          <w:bCs/>
          <w:i/>
          <w:iCs/>
        </w:rPr>
        <w:t>main le détail des expériences afin de</w:t>
      </w:r>
      <w:r w:rsidRPr="006240EA">
        <w:rPr>
          <w:bCs/>
          <w:i/>
          <w:iCs/>
        </w:rPr>
        <w:t xml:space="preserve"> savoir si elles sont avérées ou pas. La presse a donc un impact énorme sur la population mais scientifiquement on a du mal à y croire. Les annonces faites par d’autres cercles opaques, tels que les Raéliens, posent le même problème : il n’y a pas d’article qui a été référé ; donc les annonces qu’ils font laissent la communauté scientifique très sceptique. La seule référence du clonage thérapeutique est l’expérience coréenne évoquée à la diapo 16, dont on connait les résultats et les détails.</w:t>
      </w:r>
    </w:p>
    <w:p w:rsidR="002C42A2" w:rsidRPr="006240EA" w:rsidRDefault="002C42A2" w:rsidP="00ED440B">
      <w:pPr>
        <w:jc w:val="both"/>
        <w:rPr>
          <w:bCs/>
          <w:i/>
          <w:iCs/>
        </w:rPr>
      </w:pPr>
      <w:r w:rsidRPr="006240EA">
        <w:rPr>
          <w:bCs/>
          <w:i/>
          <w:iCs/>
        </w:rPr>
        <w:tab/>
        <w:t xml:space="preserve">Question de Maxime : Ne faut-il </w:t>
      </w:r>
      <w:r>
        <w:rPr>
          <w:bCs/>
          <w:i/>
          <w:iCs/>
        </w:rPr>
        <w:t xml:space="preserve">pas </w:t>
      </w:r>
      <w:r w:rsidRPr="006240EA">
        <w:rPr>
          <w:bCs/>
          <w:i/>
          <w:iCs/>
        </w:rPr>
        <w:t>que l’étude scientifique soit reproductible pour c</w:t>
      </w:r>
      <w:r>
        <w:rPr>
          <w:bCs/>
          <w:i/>
          <w:iCs/>
        </w:rPr>
        <w:t>ertifier qu’elle est véridique ?</w:t>
      </w:r>
    </w:p>
    <w:p w:rsidR="002C42A2" w:rsidRPr="006240EA" w:rsidRDefault="002C42A2" w:rsidP="00ED440B">
      <w:pPr>
        <w:jc w:val="both"/>
        <w:rPr>
          <w:bCs/>
          <w:i/>
          <w:iCs/>
        </w:rPr>
      </w:pPr>
      <w:r w:rsidRPr="006240EA">
        <w:rPr>
          <w:bCs/>
          <w:i/>
          <w:iCs/>
        </w:rPr>
        <w:tab/>
        <w:t>Réponse : Tout à fait, lorsque l’on présente un article on doit montrer la reproductibilité de la chose au sein d’un laboratoire. Lorsqu’un deuxième laboratoire vient reproduire cette expérience, celle-ci est confirmée et sa véracité renforcée. La véracité d’une expérience dépend de sa reproductibilité.</w:t>
      </w:r>
    </w:p>
    <w:p w:rsidR="002C42A2" w:rsidRPr="006240EA" w:rsidRDefault="002C42A2" w:rsidP="00375895">
      <w:pPr>
        <w:jc w:val="both"/>
        <w:rPr>
          <w:bCs/>
          <w:i/>
          <w:iCs/>
        </w:rPr>
      </w:pPr>
      <w:r w:rsidRPr="006240EA">
        <w:rPr>
          <w:bCs/>
          <w:i/>
          <w:iCs/>
        </w:rPr>
        <w:tab/>
        <w:t>Question de Maxime : Le fait qu’un premier laboratoire a</w:t>
      </w:r>
      <w:r>
        <w:rPr>
          <w:bCs/>
          <w:i/>
          <w:iCs/>
        </w:rPr>
        <w:t>it</w:t>
      </w:r>
      <w:r w:rsidRPr="006240EA">
        <w:rPr>
          <w:bCs/>
          <w:i/>
          <w:iCs/>
        </w:rPr>
        <w:t xml:space="preserve"> sans doute l’exclusivité et le brevet sur une découverte </w:t>
      </w:r>
      <w:r>
        <w:rPr>
          <w:bCs/>
          <w:i/>
          <w:iCs/>
        </w:rPr>
        <w:t>empêche</w:t>
      </w:r>
      <w:r w:rsidRPr="006240EA">
        <w:rPr>
          <w:bCs/>
          <w:i/>
          <w:iCs/>
        </w:rPr>
        <w:t>-t-il un autre laboratoire</w:t>
      </w:r>
      <w:r>
        <w:rPr>
          <w:bCs/>
          <w:i/>
          <w:iCs/>
        </w:rPr>
        <w:t xml:space="preserve"> de</w:t>
      </w:r>
      <w:r w:rsidRPr="006240EA">
        <w:rPr>
          <w:bCs/>
          <w:i/>
          <w:iCs/>
        </w:rPr>
        <w:t xml:space="preserve"> </w:t>
      </w:r>
      <w:r>
        <w:rPr>
          <w:bCs/>
          <w:i/>
          <w:iCs/>
        </w:rPr>
        <w:t xml:space="preserve">s’efforcer d’établir </w:t>
      </w:r>
      <w:r w:rsidRPr="006240EA">
        <w:rPr>
          <w:bCs/>
          <w:i/>
          <w:iCs/>
        </w:rPr>
        <w:t>la reproductibilité</w:t>
      </w:r>
      <w:r>
        <w:rPr>
          <w:bCs/>
          <w:i/>
          <w:iCs/>
        </w:rPr>
        <w:t xml:space="preserve"> d’une expérience</w:t>
      </w:r>
      <w:r w:rsidRPr="006240EA">
        <w:rPr>
          <w:bCs/>
          <w:i/>
          <w:iCs/>
        </w:rPr>
        <w:t> ?</w:t>
      </w:r>
    </w:p>
    <w:p w:rsidR="002C42A2" w:rsidRPr="006240EA" w:rsidRDefault="002C42A2" w:rsidP="00375895">
      <w:pPr>
        <w:jc w:val="both"/>
        <w:rPr>
          <w:bCs/>
          <w:i/>
          <w:iCs/>
        </w:rPr>
      </w:pPr>
      <w:r w:rsidRPr="006240EA">
        <w:rPr>
          <w:bCs/>
          <w:i/>
          <w:iCs/>
        </w:rPr>
        <w:tab/>
        <w:t xml:space="preserve">Réponse : Tout à fait vous mettez le doigt sur un point important. Lorsqu’ on veut avoir une bonne publication, il faut être le premier à publier. Si on publie un article sur une expérience déjà décrite dans un article précédent, la publication sera de bien moindre qualité. Donc on fera un investissement sachant qu’on ne va que </w:t>
      </w:r>
      <w:r>
        <w:rPr>
          <w:bCs/>
          <w:i/>
          <w:iCs/>
        </w:rPr>
        <w:t>« </w:t>
      </w:r>
      <w:r w:rsidRPr="006240EA">
        <w:rPr>
          <w:bCs/>
          <w:i/>
          <w:iCs/>
        </w:rPr>
        <w:t>reproduir</w:t>
      </w:r>
      <w:r>
        <w:rPr>
          <w:bCs/>
          <w:i/>
          <w:iCs/>
        </w:rPr>
        <w:t>e»</w:t>
      </w:r>
      <w:r w:rsidRPr="006240EA">
        <w:rPr>
          <w:bCs/>
          <w:i/>
          <w:iCs/>
        </w:rPr>
        <w:t>. C’est un peu dramatique</w:t>
      </w:r>
      <w:r>
        <w:rPr>
          <w:bCs/>
          <w:i/>
          <w:iCs/>
        </w:rPr>
        <w:t xml:space="preserve"> de dire</w:t>
      </w:r>
      <w:r w:rsidRPr="006240EA">
        <w:rPr>
          <w:bCs/>
          <w:i/>
          <w:iCs/>
        </w:rPr>
        <w:t xml:space="preserve"> que l’on ne va que </w:t>
      </w:r>
      <w:r>
        <w:rPr>
          <w:bCs/>
          <w:i/>
          <w:iCs/>
        </w:rPr>
        <w:t>« </w:t>
      </w:r>
      <w:r w:rsidRPr="006240EA">
        <w:rPr>
          <w:bCs/>
          <w:i/>
          <w:iCs/>
        </w:rPr>
        <w:t>reproduire</w:t>
      </w:r>
      <w:r>
        <w:rPr>
          <w:bCs/>
          <w:i/>
          <w:iCs/>
        </w:rPr>
        <w:t> »</w:t>
      </w:r>
      <w:r w:rsidRPr="006240EA">
        <w:rPr>
          <w:bCs/>
          <w:i/>
          <w:iCs/>
        </w:rPr>
        <w:t xml:space="preserve"> mais d’un autre côté reproduire une expérience est essentielle pour affirmer sa véracité. Mais le système implique que la deuxième publication soit moins bien notée pourtant cette reproductibilité est cruciale.</w:t>
      </w:r>
    </w:p>
    <w:p w:rsidR="002C42A2" w:rsidRDefault="002C42A2" w:rsidP="00375895">
      <w:pPr>
        <w:jc w:val="both"/>
        <w:rPr>
          <w:bCs/>
        </w:rPr>
      </w:pPr>
      <w:r>
        <w:rPr>
          <w:bCs/>
        </w:rPr>
        <w:tab/>
        <w:t xml:space="preserve">Aux Etats-Unis, jusqu’à très récemment (à savoir l’élection de Barack Obama qui a changé la donne  en matière de cellules souches aux Etats-Unis), les laboratoires ne devaient disposer que de fonds privés pour travailler sur les cellules souches humaines. Cela limitait de fait de nombreux laboratoires. George W. Bush avait posé des limites à cette recherche sur les CSE humaines pour des raisons religieuses. Maintenant l’Etat américain peut financer des laboratoires spécialisés dans la recherche sur les cellules souches embryonnaires humaines, ce qui permet une certaine indépendance des laboratoires (ceux-ci ne seront pas soumis à un certain contrôle des sociétés privées). </w:t>
      </w:r>
    </w:p>
    <w:p w:rsidR="002C42A2" w:rsidRPr="00ED440B" w:rsidRDefault="002C42A2" w:rsidP="004F2EF1">
      <w:pPr>
        <w:jc w:val="both"/>
        <w:rPr>
          <w:bCs/>
        </w:rPr>
      </w:pPr>
      <w:r>
        <w:rPr>
          <w:bCs/>
        </w:rPr>
        <w:tab/>
        <w:t>L’autre problème éthique du clonage thérapeutique est le r</w:t>
      </w:r>
      <w:r w:rsidRPr="00ED440B">
        <w:rPr>
          <w:bCs/>
        </w:rPr>
        <w:t xml:space="preserve">isque d’ouvrir la porte au clonage reproductif. </w:t>
      </w:r>
    </w:p>
    <w:p w:rsidR="002C42A2" w:rsidRDefault="002C42A2" w:rsidP="001C369F">
      <w:pPr>
        <w:jc w:val="both"/>
        <w:rPr>
          <w:bCs/>
        </w:rPr>
      </w:pPr>
      <w:r>
        <w:rPr>
          <w:bCs/>
        </w:rPr>
        <w:tab/>
      </w:r>
    </w:p>
    <w:p w:rsidR="002C42A2" w:rsidRPr="00375895" w:rsidRDefault="002C42A2" w:rsidP="00375895">
      <w:pPr>
        <w:ind w:firstLine="708"/>
        <w:jc w:val="both"/>
        <w:rPr>
          <w:b/>
        </w:rPr>
      </w:pPr>
      <w:r w:rsidRPr="00375895">
        <w:rPr>
          <w:b/>
        </w:rPr>
        <w:t>DIAPO 19 :</w:t>
      </w:r>
    </w:p>
    <w:p w:rsidR="002C42A2" w:rsidRDefault="002C42A2" w:rsidP="001C369F">
      <w:pPr>
        <w:jc w:val="both"/>
        <w:rPr>
          <w:bCs/>
        </w:rPr>
      </w:pPr>
      <w:r>
        <w:rPr>
          <w:bCs/>
        </w:rPr>
        <w:tab/>
        <w:t xml:space="preserve">Qu’est ce que le clonage reproductif ? C’est créer un embryon à partir d’un kératinocyte. Plutôt que de détruire cet embryon pour isoler des cellules ES indifférenciées, on peut le réimplanter chez une mère porteuse et obtenir un clone de l’individu de départ. Les étapes des deux types de clonage sont assez communes dans un premier temps. D’où le risque potentiel d’accéder au clonage reproductif à partir du clonage thérapeutique. Cela est toutefois interdit par la loi dans tous les pays mais la possibilité existe. Certaines sectes prétendent ainsi avoir réalisé ce clonage reproductif (Cf. les Raéliens !). </w:t>
      </w:r>
    </w:p>
    <w:p w:rsidR="002C42A2" w:rsidRPr="00D73B8D" w:rsidRDefault="002C42A2" w:rsidP="001C369F">
      <w:pPr>
        <w:jc w:val="both"/>
        <w:rPr>
          <w:bCs/>
          <w:i/>
        </w:rPr>
      </w:pPr>
      <w:r>
        <w:rPr>
          <w:bCs/>
        </w:rPr>
        <w:tab/>
      </w:r>
      <w:r w:rsidRPr="00D73B8D">
        <w:rPr>
          <w:bCs/>
          <w:i/>
        </w:rPr>
        <w:t xml:space="preserve">Question : </w:t>
      </w:r>
      <w:r>
        <w:rPr>
          <w:bCs/>
          <w:i/>
        </w:rPr>
        <w:t xml:space="preserve">Le clonage </w:t>
      </w:r>
      <w:r w:rsidRPr="00D73B8D">
        <w:rPr>
          <w:bCs/>
          <w:i/>
        </w:rPr>
        <w:t>reproductif en terme d’organes </w:t>
      </w:r>
      <w:r>
        <w:rPr>
          <w:bCs/>
          <w:i/>
        </w:rPr>
        <w:t>est-il possible</w:t>
      </w:r>
      <w:r w:rsidRPr="00D73B8D">
        <w:rPr>
          <w:bCs/>
          <w:i/>
        </w:rPr>
        <w:t>?</w:t>
      </w:r>
    </w:p>
    <w:p w:rsidR="002C42A2" w:rsidRDefault="002C42A2" w:rsidP="001C369F">
      <w:pPr>
        <w:jc w:val="both"/>
        <w:rPr>
          <w:bCs/>
          <w:i/>
        </w:rPr>
      </w:pPr>
      <w:r w:rsidRPr="00D73B8D">
        <w:rPr>
          <w:bCs/>
          <w:i/>
        </w:rPr>
        <w:tab/>
        <w:t>Réponse : On ne sait pas actuellement recréer des organes, on sait créer un type cellulaire (on peut générer un hépatocyte) mais on ne sait pas recréer un foie entier par exemple.</w:t>
      </w:r>
    </w:p>
    <w:p w:rsidR="002C42A2" w:rsidRPr="00356D3E" w:rsidRDefault="002C42A2" w:rsidP="001C369F">
      <w:pPr>
        <w:jc w:val="both"/>
        <w:rPr>
          <w:b/>
        </w:rPr>
      </w:pPr>
      <w:r>
        <w:rPr>
          <w:bCs/>
        </w:rPr>
        <w:tab/>
      </w:r>
      <w:r w:rsidRPr="00356D3E">
        <w:rPr>
          <w:b/>
        </w:rPr>
        <w:t>DIAPO 20 :</w:t>
      </w:r>
    </w:p>
    <w:p w:rsidR="002C42A2" w:rsidRPr="00D73B8D" w:rsidRDefault="002C42A2" w:rsidP="00D73B8D">
      <w:pPr>
        <w:jc w:val="both"/>
        <w:rPr>
          <w:bCs/>
        </w:rPr>
      </w:pPr>
      <w:r>
        <w:rPr>
          <w:bCs/>
        </w:rPr>
        <w:tab/>
        <w:t>La loi de bioéthique précise en France que le c</w:t>
      </w:r>
      <w:r w:rsidRPr="00D73B8D">
        <w:rPr>
          <w:bCs/>
        </w:rPr>
        <w:t>lonage reproductif est passible de 20 ans de réclusion criminelle (interdiction internationale en cours)</w:t>
      </w:r>
      <w:r>
        <w:rPr>
          <w:bCs/>
        </w:rPr>
        <w:t>. Par contre le clonage thérapeutique est autorisé partiellement avec la p</w:t>
      </w:r>
      <w:r w:rsidRPr="00D73B8D">
        <w:rPr>
          <w:bCs/>
        </w:rPr>
        <w:t xml:space="preserve">ossibilité d’utiliser </w:t>
      </w:r>
      <w:r>
        <w:rPr>
          <w:bCs/>
        </w:rPr>
        <w:t>les embryons surnuméraires ou</w:t>
      </w:r>
      <w:r w:rsidRPr="00D73B8D">
        <w:rPr>
          <w:bCs/>
        </w:rPr>
        <w:t xml:space="preserve"> d’importer des cellules embryon</w:t>
      </w:r>
      <w:r>
        <w:rPr>
          <w:bCs/>
        </w:rPr>
        <w:t>naires humaines générées aux Etats-Unis (mais il existe tellement de restrictions avec ces cellules-là, qu’il n’est pas préférable d’en faire la demande)</w:t>
      </w:r>
      <w:r w:rsidRPr="00D73B8D">
        <w:rPr>
          <w:bCs/>
        </w:rPr>
        <w:t>.</w:t>
      </w:r>
      <w:r w:rsidRPr="00D73B8D">
        <w:rPr>
          <w:b/>
          <w:bCs/>
        </w:rPr>
        <w:t xml:space="preserve"> </w:t>
      </w:r>
    </w:p>
    <w:p w:rsidR="002C42A2" w:rsidRDefault="002C42A2" w:rsidP="001C369F">
      <w:pPr>
        <w:jc w:val="both"/>
        <w:rPr>
          <w:bCs/>
        </w:rPr>
      </w:pPr>
      <w:r>
        <w:rPr>
          <w:bCs/>
        </w:rPr>
        <w:tab/>
        <w:t xml:space="preserve">En Europe la législation est très variable et évolue assez. Certains pays peuvent pratiquer le clonage thérapeutique depuis longtemps : la Grande-Bretagne est pionnière dans ce domaine. Dans certains pays, il y a la possibilité de faire du clonage thérapeutique parce qu’il n’y a pas de loi. Dans d’autres pays, comme l’Italie, il y a une interdiction du clonage thérapeutique.  </w:t>
      </w:r>
    </w:p>
    <w:p w:rsidR="002C42A2" w:rsidRDefault="002C42A2" w:rsidP="001C369F">
      <w:pPr>
        <w:jc w:val="both"/>
        <w:rPr>
          <w:bCs/>
        </w:rPr>
      </w:pPr>
    </w:p>
    <w:p w:rsidR="002C42A2" w:rsidRDefault="002C42A2" w:rsidP="001C369F">
      <w:pPr>
        <w:jc w:val="both"/>
        <w:rPr>
          <w:bCs/>
        </w:rPr>
      </w:pPr>
    </w:p>
    <w:p w:rsidR="002C42A2" w:rsidRDefault="002C42A2" w:rsidP="00AA3564">
      <w:pPr>
        <w:pStyle w:val="ListParagraph"/>
        <w:numPr>
          <w:ilvl w:val="0"/>
          <w:numId w:val="2"/>
        </w:numPr>
        <w:jc w:val="both"/>
      </w:pPr>
      <w:r w:rsidRPr="00AA3564">
        <w:rPr>
          <w:b/>
          <w:bCs/>
        </w:rPr>
        <w:t xml:space="preserve">Les nouvelles alternatives: Les chimères homme-animal et la conversion de fibroblastes de peau en cellules souches multipotentes (iPS). </w:t>
      </w:r>
    </w:p>
    <w:p w:rsidR="002C42A2" w:rsidRDefault="002C42A2" w:rsidP="001C369F">
      <w:pPr>
        <w:jc w:val="both"/>
        <w:rPr>
          <w:bCs/>
        </w:rPr>
      </w:pPr>
    </w:p>
    <w:p w:rsidR="002C42A2" w:rsidRPr="00A107EF" w:rsidRDefault="002C42A2" w:rsidP="001C369F">
      <w:pPr>
        <w:jc w:val="both"/>
        <w:rPr>
          <w:b/>
        </w:rPr>
      </w:pPr>
      <w:r>
        <w:rPr>
          <w:bCs/>
        </w:rPr>
        <w:tab/>
      </w:r>
      <w:r w:rsidRPr="00A107EF">
        <w:rPr>
          <w:b/>
        </w:rPr>
        <w:t>DIAPO 21, 22 et 23 :</w:t>
      </w:r>
    </w:p>
    <w:p w:rsidR="002C42A2" w:rsidRDefault="002C42A2" w:rsidP="001C369F">
      <w:pPr>
        <w:jc w:val="both"/>
        <w:rPr>
          <w:bCs/>
        </w:rPr>
      </w:pPr>
      <w:r>
        <w:rPr>
          <w:bCs/>
        </w:rPr>
        <w:tab/>
        <w:t xml:space="preserve">Etant donné tous les problèmes que posent les cellules souches embryonnaires humaines, on pense de plus en plus à des alternatives à ces cellules. </w:t>
      </w:r>
    </w:p>
    <w:p w:rsidR="002C42A2" w:rsidRDefault="002C42A2" w:rsidP="00A107EF">
      <w:pPr>
        <w:jc w:val="both"/>
        <w:rPr>
          <w:bCs/>
        </w:rPr>
      </w:pPr>
      <w:r>
        <w:rPr>
          <w:bCs/>
        </w:rPr>
        <w:tab/>
        <w:t>Une alternative, qui a fait grand bruit dernièrement et dont on ne parle plus depuis, est la possibilité de créer des embryons chimériques homme-animal. L’un des problèmes est de pouvoir disposer d’un grand nombre d’ovules. On s’est aperçu qu’on peut greffer un noyau de cellule humaine dans un ovule énucléé de vache et générer in vitro un embryon. Les Britanniques ont obtenu l’année dernière la possibilité de générer des embryons chimériques. Cette technique suscite beaucoup d’espoir non pas pour la clinique mais pour étudier le développement in vitro de l’embryon humain. Néanmoins cette perspective a très rapidement été abandonnée parce qu’un article paru en Novembre 2008 a montré la capacité de reprogrammer une cellule somatique, c’est ce qu’on appelle les iPS.</w:t>
      </w:r>
    </w:p>
    <w:p w:rsidR="002C42A2" w:rsidRDefault="002C42A2" w:rsidP="001C369F">
      <w:pPr>
        <w:jc w:val="both"/>
        <w:rPr>
          <w:bCs/>
        </w:rPr>
      </w:pPr>
      <w:r>
        <w:rPr>
          <w:bCs/>
        </w:rPr>
        <w:tab/>
        <w:t>Que sont les iPS ? Le terme est en fait l’acronyme de « inducted pluripotency stem cells ». Ce sont des cellules différenciées de la peau (on s’est rendu compte par la suite qu’elles concernent tous les organes). Des recherches japonaises ont permis à travers une étude précise du génome de mettre en évidence la combinaison de gènes impliquées (4 au total) afin de dédifférencier ces cellules (en l’occurrence des fibroblastes de la peau) en cellules qui présentaient énormément de similitude avec les cellules souches natives : le profil d’expression, la morphologie, la prolifération…</w:t>
      </w:r>
    </w:p>
    <w:p w:rsidR="002C42A2" w:rsidRDefault="002C42A2" w:rsidP="001C369F">
      <w:pPr>
        <w:jc w:val="both"/>
        <w:rPr>
          <w:bCs/>
        </w:rPr>
      </w:pPr>
      <w:r>
        <w:rPr>
          <w:bCs/>
        </w:rPr>
        <w:tab/>
        <w:t>Les 4 gènes sont :</w:t>
      </w:r>
    </w:p>
    <w:p w:rsidR="002C42A2" w:rsidRPr="00D73B8D" w:rsidRDefault="002C42A2" w:rsidP="001C369F">
      <w:pPr>
        <w:jc w:val="both"/>
        <w:rPr>
          <w:bCs/>
        </w:rPr>
      </w:pPr>
      <w:r>
        <w:rPr>
          <w:bCs/>
        </w:rPr>
        <w:tab/>
        <w:t xml:space="preserve">-Oct3/4, gène connu depuis longtemps pour être essentiel à la pluripotence des CSE. Cela a été bien étudié chez la souris et ce qui avait été décrit chez la souris s’est avéré être identique chez l’homme. </w:t>
      </w:r>
    </w:p>
    <w:p w:rsidR="002C42A2" w:rsidRDefault="002C42A2" w:rsidP="001C369F">
      <w:pPr>
        <w:jc w:val="both"/>
        <w:rPr>
          <w:bCs/>
        </w:rPr>
      </w:pPr>
      <w:r>
        <w:rPr>
          <w:bCs/>
        </w:rPr>
        <w:tab/>
        <w:t>-Sox2 est également un gène important pour la pluripotence chez la souris et chez l’homme.</w:t>
      </w:r>
    </w:p>
    <w:p w:rsidR="002C42A2" w:rsidRDefault="002C42A2" w:rsidP="001C369F">
      <w:pPr>
        <w:jc w:val="both"/>
        <w:rPr>
          <w:bCs/>
        </w:rPr>
      </w:pPr>
      <w:r>
        <w:rPr>
          <w:bCs/>
        </w:rPr>
        <w:tab/>
        <w:t>-Klf4</w:t>
      </w:r>
    </w:p>
    <w:p w:rsidR="002C42A2" w:rsidRDefault="002C42A2" w:rsidP="001C369F">
      <w:pPr>
        <w:jc w:val="both"/>
        <w:rPr>
          <w:bCs/>
        </w:rPr>
      </w:pPr>
      <w:r>
        <w:rPr>
          <w:bCs/>
        </w:rPr>
        <w:tab/>
        <w:t>-c-myc</w:t>
      </w:r>
    </w:p>
    <w:p w:rsidR="002C42A2" w:rsidRDefault="002C42A2" w:rsidP="001D4647">
      <w:pPr>
        <w:jc w:val="both"/>
        <w:rPr>
          <w:bCs/>
        </w:rPr>
      </w:pPr>
      <w:r>
        <w:rPr>
          <w:bCs/>
        </w:rPr>
        <w:tab/>
        <w:t xml:space="preserve">Le laboratoire japonais de Yamanaka (sans doute un futur prix Nobel dans les années à venir) a réussi par un nombre de combinaisons très important à identifier 4 gènes suffisants pour reprogrammer un noyau d’une cellule somatique en une cellule ayant toutes les caractéristiques de la cellule embryonnaire. Ces auteurs ont  publié un an auparavant cette technique-là de reprogrammation de cellules somatiques. Mais il n’y a pas eu de suite alors. Ce n’est que l’année suivante (novembre 2008) lorsque cette même équipe a reproduit les mêmes résultats à partir de </w:t>
      </w:r>
      <w:r w:rsidRPr="001D4647">
        <w:rPr>
          <w:bCs/>
          <w:u w:val="single"/>
        </w:rPr>
        <w:t>cellules humaines</w:t>
      </w:r>
      <w:r>
        <w:rPr>
          <w:bCs/>
        </w:rPr>
        <w:t xml:space="preserve"> et que d’autres laboratoires américains ont reproduit ces résultats, que l’engouement est véritablement parti.</w:t>
      </w:r>
    </w:p>
    <w:p w:rsidR="002C42A2" w:rsidRDefault="002C42A2" w:rsidP="001D4647">
      <w:pPr>
        <w:jc w:val="both"/>
        <w:rPr>
          <w:bCs/>
        </w:rPr>
      </w:pPr>
      <w:r>
        <w:rPr>
          <w:bCs/>
        </w:rPr>
        <w:tab/>
        <w:t>Si on fait exprimer ces 4 gènes dans une cellule de peau (en fait on s’aperçoit maintenant que toutes les cellules de l’organisme peuvent être reprogrammées par ce cocktail de facteurs), on peut obtenir des iPS. En effet, si on fait exprimer ces 4 facteurs dits de « reprogrammation », qui sont des facteurs de transcription, dans une cellule de peau, on obtient une cellule qui a toutes les caractéristiques d’une cellule embryonnaire humaine et qu’on appelle iPS. Le terme « inducted » dans iPS est employé ainsi parce que la pluripotence est induite par ces 4 facteurs. Par cette technique iPS, on « bypass » tous les problèmes éthiques évoqués auparavant : on n’a pas besoin de recourir à des ovules, on n’a pas besoin de créer un embryon in vitro pour détruire et obtenir des CSE. D’autre part, on évite</w:t>
      </w:r>
      <w:r w:rsidRPr="001D4647">
        <w:rPr>
          <w:bCs/>
        </w:rPr>
        <w:t xml:space="preserve"> </w:t>
      </w:r>
      <w:r>
        <w:rPr>
          <w:bCs/>
        </w:rPr>
        <w:t>alors la possibilité de s’engager dans la voie du clonage reproductif. Donc c’est un raccourci extraordinaire dans la recherche sur les cellules souches. On peut ensuite induire ces cellules en cellules différenciées. On peut obtenir notamment des neurones (étude réalisée récemment) avec la potentialité de réimplanter ces cellules chez un patient qui en a besoin (cela n’est pas encore réalisé toutefois).</w:t>
      </w:r>
    </w:p>
    <w:p w:rsidR="002C42A2" w:rsidRDefault="002C42A2" w:rsidP="001D4647">
      <w:pPr>
        <w:jc w:val="both"/>
        <w:rPr>
          <w:bCs/>
        </w:rPr>
      </w:pPr>
      <w:r>
        <w:rPr>
          <w:bCs/>
        </w:rPr>
        <w:tab/>
        <w:t xml:space="preserve">Ce domaine des cellules iPS est donc une révolution dans le domaine des cellules souches et dans celui de leur utilisation en clinique. Quelles sont les inconvénients ? Pourquoi cette technique n’est pas encore passée à l’étape clinique ? Parce que parmi ces 4 gènes, il y a le c-myc qui est  un oncogène connu depuis des années. On pensait, il y a peu encore, que c-myc était indispensable pour la reprogrammation. Mais on sait que c-myc est en réalité un oncogène : lorsqu’on transplante ces iPS dans un modèle animal, il y a formation de tumeurs (avec sans doute un rôle important de c-myc. Donc l’enjeu maintenant est de se passer de cet oncogène pour reprogrammer. Klf4 est un facteur de transcription dont la surexpression dans quelques cas pourrait être la cause de tumeurs. On a donc dans ces 4 gènes, 2 gènes pouvant « potentiellement » être des oncogènes : certains articles montrent maintenant qu’on peut reprogrammer ces cellules avec seulement deux facteurs (Oct4 et Sox2). On ne peut pas reprogrammer n’importe quelle cellule néanmoins : un fibroblaste nécessite par exemple les 4 facteurs pour être reprogrammé. En revanche, si on prend des cellules souches adultes type neural (qui ne sont pas aussi pluripotentes que les CSE mais qui ont quand un critère souche : prolifération à l’infini et différenciations variées), on peut se passer d’Klf4 et c-myc pour les reprogrammer. </w:t>
      </w:r>
    </w:p>
    <w:p w:rsidR="002C42A2" w:rsidRDefault="002C42A2" w:rsidP="001C369F">
      <w:pPr>
        <w:jc w:val="both"/>
        <w:rPr>
          <w:bCs/>
        </w:rPr>
      </w:pPr>
      <w:r>
        <w:rPr>
          <w:bCs/>
        </w:rPr>
        <w:tab/>
        <w:t xml:space="preserve">Par contre il reste un problème essentiel : pour introduire ces facteurs, qu’ils soient 2 ou 4, dans une cellule somatique, on est obligé d’utiliser un système qui n’est pas efficace. Le système le plus efficace à l’heure actuelle est le rétrovirus qui « infecte » de manière efficace ces cellules et intègre son génome à celui de la cellule. Le problème est que ce rétrovirus s’intègre dans le génome de la cellule mais d’une manière non maîtrisée (il y a toujours le risque qu’il s’intègre dans une région qui va être dérégulée et donc le risque de former des tumeurs). C’est donc le biais technique de ces iPS. Une amélioration à cela a été apportée par le biais des adénovirus qui s’intègrent à la cellule mais pas à son génome (ils demeurent dans le cytoplasme). On évite ainsi le problème de l’intégration au hasard et de mutation potentielle. </w:t>
      </w:r>
    </w:p>
    <w:p w:rsidR="002C42A2" w:rsidRDefault="002C42A2" w:rsidP="001C369F">
      <w:pPr>
        <w:jc w:val="both"/>
        <w:rPr>
          <w:bCs/>
        </w:rPr>
      </w:pPr>
      <w:r>
        <w:rPr>
          <w:bCs/>
        </w:rPr>
        <w:tab/>
        <w:t xml:space="preserve">L’intégration d’un gène suicide est développée pour tuer les cellules souches qui ne se différencient pas lorsqu’on stimule la différenciation d’une population cellulaire souche. </w:t>
      </w:r>
    </w:p>
    <w:p w:rsidR="002C42A2" w:rsidRDefault="002C42A2" w:rsidP="001C369F">
      <w:pPr>
        <w:jc w:val="both"/>
        <w:rPr>
          <w:bCs/>
        </w:rPr>
      </w:pPr>
    </w:p>
    <w:p w:rsidR="002C42A2" w:rsidRDefault="002C42A2" w:rsidP="001D4647">
      <w:pPr>
        <w:jc w:val="both"/>
        <w:rPr>
          <w:bCs/>
        </w:rPr>
      </w:pPr>
      <w:r>
        <w:rPr>
          <w:bCs/>
        </w:rPr>
        <w:t xml:space="preserve">Il manque les parties : </w:t>
      </w:r>
    </w:p>
    <w:p w:rsidR="002C42A2" w:rsidRDefault="002C42A2" w:rsidP="001D4647">
      <w:pPr>
        <w:ind w:firstLine="360"/>
        <w:jc w:val="both"/>
      </w:pPr>
      <w:r>
        <w:rPr>
          <w:b/>
          <w:bCs/>
        </w:rPr>
        <w:t>4)</w:t>
      </w:r>
      <w:r w:rsidRPr="002F4588">
        <w:rPr>
          <w:b/>
          <w:bCs/>
        </w:rPr>
        <w:t xml:space="preserve"> Les cellules souches adultes: sources, abondance, potentiel thérapeutique.</w:t>
      </w:r>
    </w:p>
    <w:p w:rsidR="002C42A2" w:rsidRPr="00D97008" w:rsidRDefault="002C42A2" w:rsidP="001D4647">
      <w:pPr>
        <w:ind w:left="360"/>
        <w:jc w:val="both"/>
      </w:pPr>
      <w:r>
        <w:rPr>
          <w:b/>
          <w:bCs/>
        </w:rPr>
        <w:t>5)</w:t>
      </w:r>
      <w:r w:rsidRPr="002F4588">
        <w:rPr>
          <w:b/>
          <w:bCs/>
        </w:rPr>
        <w:t xml:space="preserve"> Les cellules souches cancéreuses.</w:t>
      </w:r>
    </w:p>
    <w:p w:rsidR="002C42A2" w:rsidRDefault="002C42A2" w:rsidP="001D4647">
      <w:pPr>
        <w:jc w:val="both"/>
      </w:pPr>
    </w:p>
    <w:p w:rsidR="002C42A2" w:rsidRDefault="002C42A2" w:rsidP="001D4647">
      <w:pPr>
        <w:jc w:val="both"/>
      </w:pPr>
    </w:p>
    <w:p w:rsidR="002C42A2" w:rsidRDefault="002C42A2" w:rsidP="001D4647">
      <w:pPr>
        <w:jc w:val="both"/>
      </w:pPr>
      <w:r>
        <w:t>Veuillez m’en excuser,  bonne révisions !</w:t>
      </w:r>
    </w:p>
    <w:p w:rsidR="002C42A2" w:rsidRPr="00E6368F" w:rsidRDefault="002C42A2" w:rsidP="001C369F">
      <w:pPr>
        <w:jc w:val="both"/>
        <w:rPr>
          <w:bCs/>
        </w:rPr>
      </w:pPr>
    </w:p>
    <w:sectPr w:rsidR="002C42A2" w:rsidRPr="00E6368F" w:rsidSect="00FD36C7">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2A2" w:rsidRDefault="002C42A2">
      <w:r>
        <w:separator/>
      </w:r>
    </w:p>
  </w:endnote>
  <w:endnote w:type="continuationSeparator" w:id="1">
    <w:p w:rsidR="002C42A2" w:rsidRDefault="002C4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2A2" w:rsidRDefault="002C42A2" w:rsidP="00EA64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42A2" w:rsidRDefault="002C42A2" w:rsidP="00F37C1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42A2" w:rsidRDefault="002C42A2" w:rsidP="00EA64B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2C42A2" w:rsidRDefault="002C42A2" w:rsidP="00F37C19">
    <w:pPr>
      <w:pStyle w:val="Footer"/>
      <w:ind w:right="360"/>
      <w:jc w:val="left"/>
      <w:rPr>
        <w:rStyle w:val="PageNumber"/>
      </w:rPr>
    </w:pPr>
    <w:r>
      <w:rPr>
        <w:rStyle w:val="PageNumber"/>
      </w:rPr>
      <w:t>EC Cellules Souches du 27/03/2009. Cours n°7 du Professeur Dani.</w:t>
    </w:r>
  </w:p>
  <w:p w:rsidR="002C42A2" w:rsidRDefault="002C42A2" w:rsidP="00F37C19">
    <w:pPr>
      <w:pStyle w:val="Footer"/>
      <w:ind w:right="360"/>
    </w:pPr>
    <w:r>
      <w:rPr>
        <w:rStyle w:val="PageNumber"/>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2A2" w:rsidRDefault="002C42A2">
      <w:r>
        <w:separator/>
      </w:r>
    </w:p>
  </w:footnote>
  <w:footnote w:type="continuationSeparator" w:id="1">
    <w:p w:rsidR="002C42A2" w:rsidRDefault="002C42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011F"/>
    <w:multiLevelType w:val="hybridMultilevel"/>
    <w:tmpl w:val="1B60BB52"/>
    <w:lvl w:ilvl="0" w:tplc="A1748364">
      <w:start w:val="1"/>
      <w:numFmt w:val="decimal"/>
      <w:lvlText w:val="%1)"/>
      <w:lvlJc w:val="left"/>
      <w:pPr>
        <w:ind w:left="720" w:hanging="360"/>
      </w:pPr>
      <w:rPr>
        <w:rFonts w:cs="Times New Roman"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
    <w:nsid w:val="0E0D38AE"/>
    <w:multiLevelType w:val="hybridMultilevel"/>
    <w:tmpl w:val="1B60BB52"/>
    <w:lvl w:ilvl="0" w:tplc="A1748364">
      <w:start w:val="1"/>
      <w:numFmt w:val="decimal"/>
      <w:lvlText w:val="%1)"/>
      <w:lvlJc w:val="left"/>
      <w:pPr>
        <w:ind w:left="720" w:hanging="360"/>
      </w:pPr>
      <w:rPr>
        <w:rFonts w:cs="Times New Roman"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nsid w:val="28730DB2"/>
    <w:multiLevelType w:val="hybridMultilevel"/>
    <w:tmpl w:val="1B60BB52"/>
    <w:lvl w:ilvl="0" w:tplc="A1748364">
      <w:start w:val="1"/>
      <w:numFmt w:val="decimal"/>
      <w:lvlText w:val="%1)"/>
      <w:lvlJc w:val="left"/>
      <w:pPr>
        <w:ind w:left="720" w:hanging="360"/>
      </w:pPr>
      <w:rPr>
        <w:rFonts w:cs="Times New Roman"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3">
    <w:nsid w:val="3EA61FBD"/>
    <w:multiLevelType w:val="hybridMultilevel"/>
    <w:tmpl w:val="B0C864A4"/>
    <w:lvl w:ilvl="0" w:tplc="879261A2">
      <w:start w:val="1"/>
      <w:numFmt w:val="bullet"/>
      <w:lvlText w:val="-"/>
      <w:lvlJc w:val="left"/>
      <w:pPr>
        <w:tabs>
          <w:tab w:val="num" w:pos="720"/>
        </w:tabs>
        <w:ind w:left="720" w:hanging="360"/>
      </w:pPr>
      <w:rPr>
        <w:rFonts w:ascii="Times New Roman" w:hAnsi="Times New Roman" w:hint="default"/>
      </w:rPr>
    </w:lvl>
    <w:lvl w:ilvl="1" w:tplc="F6DCFB8A" w:tentative="1">
      <w:start w:val="1"/>
      <w:numFmt w:val="bullet"/>
      <w:lvlText w:val="-"/>
      <w:lvlJc w:val="left"/>
      <w:pPr>
        <w:tabs>
          <w:tab w:val="num" w:pos="1440"/>
        </w:tabs>
        <w:ind w:left="1440" w:hanging="360"/>
      </w:pPr>
      <w:rPr>
        <w:rFonts w:ascii="Times New Roman" w:hAnsi="Times New Roman" w:hint="default"/>
      </w:rPr>
    </w:lvl>
    <w:lvl w:ilvl="2" w:tplc="99140D24" w:tentative="1">
      <w:start w:val="1"/>
      <w:numFmt w:val="bullet"/>
      <w:lvlText w:val="-"/>
      <w:lvlJc w:val="left"/>
      <w:pPr>
        <w:tabs>
          <w:tab w:val="num" w:pos="2160"/>
        </w:tabs>
        <w:ind w:left="2160" w:hanging="360"/>
      </w:pPr>
      <w:rPr>
        <w:rFonts w:ascii="Times New Roman" w:hAnsi="Times New Roman" w:hint="default"/>
      </w:rPr>
    </w:lvl>
    <w:lvl w:ilvl="3" w:tplc="6FBC21A4" w:tentative="1">
      <w:start w:val="1"/>
      <w:numFmt w:val="bullet"/>
      <w:lvlText w:val="-"/>
      <w:lvlJc w:val="left"/>
      <w:pPr>
        <w:tabs>
          <w:tab w:val="num" w:pos="2880"/>
        </w:tabs>
        <w:ind w:left="2880" w:hanging="360"/>
      </w:pPr>
      <w:rPr>
        <w:rFonts w:ascii="Times New Roman" w:hAnsi="Times New Roman" w:hint="default"/>
      </w:rPr>
    </w:lvl>
    <w:lvl w:ilvl="4" w:tplc="FDB4AED8" w:tentative="1">
      <w:start w:val="1"/>
      <w:numFmt w:val="bullet"/>
      <w:lvlText w:val="-"/>
      <w:lvlJc w:val="left"/>
      <w:pPr>
        <w:tabs>
          <w:tab w:val="num" w:pos="3600"/>
        </w:tabs>
        <w:ind w:left="3600" w:hanging="360"/>
      </w:pPr>
      <w:rPr>
        <w:rFonts w:ascii="Times New Roman" w:hAnsi="Times New Roman" w:hint="default"/>
      </w:rPr>
    </w:lvl>
    <w:lvl w:ilvl="5" w:tplc="1132F404" w:tentative="1">
      <w:start w:val="1"/>
      <w:numFmt w:val="bullet"/>
      <w:lvlText w:val="-"/>
      <w:lvlJc w:val="left"/>
      <w:pPr>
        <w:tabs>
          <w:tab w:val="num" w:pos="4320"/>
        </w:tabs>
        <w:ind w:left="4320" w:hanging="360"/>
      </w:pPr>
      <w:rPr>
        <w:rFonts w:ascii="Times New Roman" w:hAnsi="Times New Roman" w:hint="default"/>
      </w:rPr>
    </w:lvl>
    <w:lvl w:ilvl="6" w:tplc="F57406B6" w:tentative="1">
      <w:start w:val="1"/>
      <w:numFmt w:val="bullet"/>
      <w:lvlText w:val="-"/>
      <w:lvlJc w:val="left"/>
      <w:pPr>
        <w:tabs>
          <w:tab w:val="num" w:pos="5040"/>
        </w:tabs>
        <w:ind w:left="5040" w:hanging="360"/>
      </w:pPr>
      <w:rPr>
        <w:rFonts w:ascii="Times New Roman" w:hAnsi="Times New Roman" w:hint="default"/>
      </w:rPr>
    </w:lvl>
    <w:lvl w:ilvl="7" w:tplc="BF6C2772" w:tentative="1">
      <w:start w:val="1"/>
      <w:numFmt w:val="bullet"/>
      <w:lvlText w:val="-"/>
      <w:lvlJc w:val="left"/>
      <w:pPr>
        <w:tabs>
          <w:tab w:val="num" w:pos="5760"/>
        </w:tabs>
        <w:ind w:left="5760" w:hanging="360"/>
      </w:pPr>
      <w:rPr>
        <w:rFonts w:ascii="Times New Roman" w:hAnsi="Times New Roman" w:hint="default"/>
      </w:rPr>
    </w:lvl>
    <w:lvl w:ilvl="8" w:tplc="930EE296" w:tentative="1">
      <w:start w:val="1"/>
      <w:numFmt w:val="bullet"/>
      <w:lvlText w:val="-"/>
      <w:lvlJc w:val="left"/>
      <w:pPr>
        <w:tabs>
          <w:tab w:val="num" w:pos="6480"/>
        </w:tabs>
        <w:ind w:left="6480" w:hanging="360"/>
      </w:pPr>
      <w:rPr>
        <w:rFonts w:ascii="Times New Roman" w:hAnsi="Times New Roman" w:hint="default"/>
      </w:rPr>
    </w:lvl>
  </w:abstractNum>
  <w:abstractNum w:abstractNumId="4">
    <w:nsid w:val="4BBA541A"/>
    <w:multiLevelType w:val="hybridMultilevel"/>
    <w:tmpl w:val="80D60C7A"/>
    <w:lvl w:ilvl="0" w:tplc="FB14C4F8">
      <w:start w:val="1"/>
      <w:numFmt w:val="decimal"/>
      <w:lvlText w:val="%1)"/>
      <w:lvlJc w:val="left"/>
      <w:pPr>
        <w:tabs>
          <w:tab w:val="num" w:pos="720"/>
        </w:tabs>
        <w:ind w:left="720" w:hanging="360"/>
      </w:pPr>
      <w:rPr>
        <w:rFonts w:cs="Times New Roman"/>
      </w:rPr>
    </w:lvl>
    <w:lvl w:ilvl="1" w:tplc="131A41EE" w:tentative="1">
      <w:start w:val="1"/>
      <w:numFmt w:val="decimal"/>
      <w:lvlText w:val="%2)"/>
      <w:lvlJc w:val="left"/>
      <w:pPr>
        <w:tabs>
          <w:tab w:val="num" w:pos="1440"/>
        </w:tabs>
        <w:ind w:left="1440" w:hanging="360"/>
      </w:pPr>
      <w:rPr>
        <w:rFonts w:cs="Times New Roman"/>
      </w:rPr>
    </w:lvl>
    <w:lvl w:ilvl="2" w:tplc="AD0C5B8C" w:tentative="1">
      <w:start w:val="1"/>
      <w:numFmt w:val="decimal"/>
      <w:lvlText w:val="%3)"/>
      <w:lvlJc w:val="left"/>
      <w:pPr>
        <w:tabs>
          <w:tab w:val="num" w:pos="2160"/>
        </w:tabs>
        <w:ind w:left="2160" w:hanging="360"/>
      </w:pPr>
      <w:rPr>
        <w:rFonts w:cs="Times New Roman"/>
      </w:rPr>
    </w:lvl>
    <w:lvl w:ilvl="3" w:tplc="5D423A30" w:tentative="1">
      <w:start w:val="1"/>
      <w:numFmt w:val="decimal"/>
      <w:lvlText w:val="%4)"/>
      <w:lvlJc w:val="left"/>
      <w:pPr>
        <w:tabs>
          <w:tab w:val="num" w:pos="2880"/>
        </w:tabs>
        <w:ind w:left="2880" w:hanging="360"/>
      </w:pPr>
      <w:rPr>
        <w:rFonts w:cs="Times New Roman"/>
      </w:rPr>
    </w:lvl>
    <w:lvl w:ilvl="4" w:tplc="D35AC2DE" w:tentative="1">
      <w:start w:val="1"/>
      <w:numFmt w:val="decimal"/>
      <w:lvlText w:val="%5)"/>
      <w:lvlJc w:val="left"/>
      <w:pPr>
        <w:tabs>
          <w:tab w:val="num" w:pos="3600"/>
        </w:tabs>
        <w:ind w:left="3600" w:hanging="360"/>
      </w:pPr>
      <w:rPr>
        <w:rFonts w:cs="Times New Roman"/>
      </w:rPr>
    </w:lvl>
    <w:lvl w:ilvl="5" w:tplc="3E2C74B4" w:tentative="1">
      <w:start w:val="1"/>
      <w:numFmt w:val="decimal"/>
      <w:lvlText w:val="%6)"/>
      <w:lvlJc w:val="left"/>
      <w:pPr>
        <w:tabs>
          <w:tab w:val="num" w:pos="4320"/>
        </w:tabs>
        <w:ind w:left="4320" w:hanging="360"/>
      </w:pPr>
      <w:rPr>
        <w:rFonts w:cs="Times New Roman"/>
      </w:rPr>
    </w:lvl>
    <w:lvl w:ilvl="6" w:tplc="77F0AC5E" w:tentative="1">
      <w:start w:val="1"/>
      <w:numFmt w:val="decimal"/>
      <w:lvlText w:val="%7)"/>
      <w:lvlJc w:val="left"/>
      <w:pPr>
        <w:tabs>
          <w:tab w:val="num" w:pos="5040"/>
        </w:tabs>
        <w:ind w:left="5040" w:hanging="360"/>
      </w:pPr>
      <w:rPr>
        <w:rFonts w:cs="Times New Roman"/>
      </w:rPr>
    </w:lvl>
    <w:lvl w:ilvl="7" w:tplc="402C31E8" w:tentative="1">
      <w:start w:val="1"/>
      <w:numFmt w:val="decimal"/>
      <w:lvlText w:val="%8)"/>
      <w:lvlJc w:val="left"/>
      <w:pPr>
        <w:tabs>
          <w:tab w:val="num" w:pos="5760"/>
        </w:tabs>
        <w:ind w:left="5760" w:hanging="360"/>
      </w:pPr>
      <w:rPr>
        <w:rFonts w:cs="Times New Roman"/>
      </w:rPr>
    </w:lvl>
    <w:lvl w:ilvl="8" w:tplc="0324C1E8" w:tentative="1">
      <w:start w:val="1"/>
      <w:numFmt w:val="decimal"/>
      <w:lvlText w:val="%9)"/>
      <w:lvlJc w:val="left"/>
      <w:pPr>
        <w:tabs>
          <w:tab w:val="num" w:pos="6480"/>
        </w:tabs>
        <w:ind w:left="6480" w:hanging="360"/>
      </w:pPr>
      <w:rPr>
        <w:rFonts w:cs="Times New Roman"/>
      </w:rPr>
    </w:lvl>
  </w:abstractNum>
  <w:abstractNum w:abstractNumId="5">
    <w:nsid w:val="5E1B6A88"/>
    <w:multiLevelType w:val="hybridMultilevel"/>
    <w:tmpl w:val="1B60BB52"/>
    <w:lvl w:ilvl="0" w:tplc="A1748364">
      <w:start w:val="1"/>
      <w:numFmt w:val="decimal"/>
      <w:lvlText w:val="%1)"/>
      <w:lvlJc w:val="left"/>
      <w:pPr>
        <w:ind w:left="720" w:hanging="360"/>
      </w:pPr>
      <w:rPr>
        <w:rFonts w:cs="Times New Roman" w:hint="default"/>
        <w:b/>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E3F75"/>
    <w:rsid w:val="000052C0"/>
    <w:rsid w:val="0003356F"/>
    <w:rsid w:val="00066DA0"/>
    <w:rsid w:val="00093F8E"/>
    <w:rsid w:val="000B1291"/>
    <w:rsid w:val="000D54D3"/>
    <w:rsid w:val="000D6539"/>
    <w:rsid w:val="000F2A46"/>
    <w:rsid w:val="00137238"/>
    <w:rsid w:val="00182052"/>
    <w:rsid w:val="00186DE3"/>
    <w:rsid w:val="001C369F"/>
    <w:rsid w:val="001D105D"/>
    <w:rsid w:val="001D4647"/>
    <w:rsid w:val="0022078D"/>
    <w:rsid w:val="00236920"/>
    <w:rsid w:val="002C42A2"/>
    <w:rsid w:val="002C6A84"/>
    <w:rsid w:val="002F4588"/>
    <w:rsid w:val="00325DDA"/>
    <w:rsid w:val="00326E08"/>
    <w:rsid w:val="003402AD"/>
    <w:rsid w:val="00356D3E"/>
    <w:rsid w:val="00365D55"/>
    <w:rsid w:val="00370110"/>
    <w:rsid w:val="00375895"/>
    <w:rsid w:val="004011F3"/>
    <w:rsid w:val="00451936"/>
    <w:rsid w:val="00451C84"/>
    <w:rsid w:val="004C1005"/>
    <w:rsid w:val="004D38DB"/>
    <w:rsid w:val="004E4806"/>
    <w:rsid w:val="004F2EF1"/>
    <w:rsid w:val="00551D0D"/>
    <w:rsid w:val="0055312D"/>
    <w:rsid w:val="006240EA"/>
    <w:rsid w:val="006713E0"/>
    <w:rsid w:val="00675510"/>
    <w:rsid w:val="006B4972"/>
    <w:rsid w:val="006F1F2F"/>
    <w:rsid w:val="00713D96"/>
    <w:rsid w:val="007153F6"/>
    <w:rsid w:val="007232F6"/>
    <w:rsid w:val="00781968"/>
    <w:rsid w:val="007B7B8A"/>
    <w:rsid w:val="007C3FF7"/>
    <w:rsid w:val="00911F9E"/>
    <w:rsid w:val="0092218E"/>
    <w:rsid w:val="009362DF"/>
    <w:rsid w:val="009462F5"/>
    <w:rsid w:val="00953B36"/>
    <w:rsid w:val="00985C52"/>
    <w:rsid w:val="009B2F41"/>
    <w:rsid w:val="009C0C71"/>
    <w:rsid w:val="009E4DE2"/>
    <w:rsid w:val="00A107EF"/>
    <w:rsid w:val="00A252C5"/>
    <w:rsid w:val="00A53DC2"/>
    <w:rsid w:val="00A74B28"/>
    <w:rsid w:val="00A752C3"/>
    <w:rsid w:val="00AA3564"/>
    <w:rsid w:val="00AB4971"/>
    <w:rsid w:val="00B21B27"/>
    <w:rsid w:val="00B360CC"/>
    <w:rsid w:val="00B448B4"/>
    <w:rsid w:val="00BE2D1B"/>
    <w:rsid w:val="00BE3F75"/>
    <w:rsid w:val="00BF550D"/>
    <w:rsid w:val="00C72AF7"/>
    <w:rsid w:val="00C957C2"/>
    <w:rsid w:val="00CB115A"/>
    <w:rsid w:val="00CC4A8D"/>
    <w:rsid w:val="00D73B8D"/>
    <w:rsid w:val="00D74E5C"/>
    <w:rsid w:val="00D942B9"/>
    <w:rsid w:val="00D97008"/>
    <w:rsid w:val="00E6368F"/>
    <w:rsid w:val="00E9159D"/>
    <w:rsid w:val="00E91860"/>
    <w:rsid w:val="00EA64B3"/>
    <w:rsid w:val="00ED440B"/>
    <w:rsid w:val="00F242E4"/>
    <w:rsid w:val="00F3786A"/>
    <w:rsid w:val="00F37C19"/>
    <w:rsid w:val="00F73E04"/>
    <w:rsid w:val="00FD36C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647"/>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BE3F75"/>
    <w:rPr>
      <w:rFonts w:cs="Times New Roman"/>
      <w:color w:val="0000FF"/>
      <w:u w:val="single"/>
    </w:rPr>
  </w:style>
  <w:style w:type="paragraph" w:styleId="BalloonText">
    <w:name w:val="Balloon Text"/>
    <w:basedOn w:val="Normal"/>
    <w:link w:val="BalloonTextChar"/>
    <w:uiPriority w:val="99"/>
    <w:semiHidden/>
    <w:rsid w:val="0022078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2078D"/>
    <w:rPr>
      <w:rFonts w:ascii="Tahoma" w:hAnsi="Tahoma" w:cs="Tahoma"/>
      <w:sz w:val="16"/>
      <w:szCs w:val="16"/>
      <w:lang w:eastAsia="fr-FR"/>
    </w:rPr>
  </w:style>
  <w:style w:type="paragraph" w:styleId="ListParagraph">
    <w:name w:val="List Paragraph"/>
    <w:basedOn w:val="Normal"/>
    <w:uiPriority w:val="99"/>
    <w:qFormat/>
    <w:rsid w:val="00985C52"/>
    <w:pPr>
      <w:ind w:left="720"/>
      <w:contextualSpacing/>
    </w:pPr>
  </w:style>
  <w:style w:type="paragraph" w:styleId="NormalWeb">
    <w:name w:val="Normal (Web)"/>
    <w:basedOn w:val="Normal"/>
    <w:uiPriority w:val="99"/>
    <w:semiHidden/>
    <w:rsid w:val="00B360CC"/>
    <w:pPr>
      <w:spacing w:before="100" w:beforeAutospacing="1" w:after="100" w:afterAutospacing="1"/>
    </w:pPr>
  </w:style>
  <w:style w:type="paragraph" w:styleId="Footer">
    <w:name w:val="footer"/>
    <w:basedOn w:val="Normal"/>
    <w:link w:val="FooterChar"/>
    <w:uiPriority w:val="99"/>
    <w:rsid w:val="00F37C19"/>
    <w:pPr>
      <w:tabs>
        <w:tab w:val="center" w:pos="4536"/>
        <w:tab w:val="right" w:pos="9072"/>
      </w:tabs>
      <w:jc w:val="both"/>
    </w:pPr>
    <w:rPr>
      <w:rFonts w:ascii="Arial" w:eastAsia="Calibri" w:hAnsi="Arial"/>
      <w:sz w:val="22"/>
    </w:rPr>
  </w:style>
  <w:style w:type="character" w:customStyle="1" w:styleId="FooterChar">
    <w:name w:val="Footer Char"/>
    <w:basedOn w:val="DefaultParagraphFont"/>
    <w:link w:val="Footer"/>
    <w:uiPriority w:val="99"/>
    <w:semiHidden/>
    <w:rsid w:val="00C12652"/>
    <w:rPr>
      <w:rFonts w:ascii="Times New Roman" w:eastAsia="Times New Roman" w:hAnsi="Times New Roman"/>
      <w:sz w:val="24"/>
      <w:szCs w:val="24"/>
    </w:rPr>
  </w:style>
  <w:style w:type="character" w:styleId="PageNumber">
    <w:name w:val="page number"/>
    <w:basedOn w:val="DefaultParagraphFont"/>
    <w:uiPriority w:val="99"/>
    <w:rsid w:val="00F37C19"/>
    <w:rPr>
      <w:rFonts w:cs="Times New Roman"/>
      <w:sz w:val="20"/>
      <w:szCs w:val="20"/>
    </w:rPr>
  </w:style>
  <w:style w:type="paragraph" w:styleId="Header">
    <w:name w:val="header"/>
    <w:basedOn w:val="Normal"/>
    <w:link w:val="HeaderChar"/>
    <w:uiPriority w:val="99"/>
    <w:rsid w:val="00F37C19"/>
    <w:pPr>
      <w:tabs>
        <w:tab w:val="center" w:pos="4536"/>
        <w:tab w:val="right" w:pos="9072"/>
      </w:tabs>
    </w:pPr>
  </w:style>
  <w:style w:type="character" w:customStyle="1" w:styleId="HeaderChar">
    <w:name w:val="Header Char"/>
    <w:basedOn w:val="DefaultParagraphFont"/>
    <w:link w:val="Header"/>
    <w:uiPriority w:val="99"/>
    <w:semiHidden/>
    <w:rsid w:val="00C12652"/>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264528762">
      <w:marLeft w:val="0"/>
      <w:marRight w:val="0"/>
      <w:marTop w:val="0"/>
      <w:marBottom w:val="0"/>
      <w:divBdr>
        <w:top w:val="none" w:sz="0" w:space="0" w:color="auto"/>
        <w:left w:val="none" w:sz="0" w:space="0" w:color="auto"/>
        <w:bottom w:val="none" w:sz="0" w:space="0" w:color="auto"/>
        <w:right w:val="none" w:sz="0" w:space="0" w:color="auto"/>
      </w:divBdr>
    </w:div>
    <w:div w:id="1264528763">
      <w:marLeft w:val="0"/>
      <w:marRight w:val="0"/>
      <w:marTop w:val="0"/>
      <w:marBottom w:val="0"/>
      <w:divBdr>
        <w:top w:val="none" w:sz="0" w:space="0" w:color="auto"/>
        <w:left w:val="none" w:sz="0" w:space="0" w:color="auto"/>
        <w:bottom w:val="none" w:sz="0" w:space="0" w:color="auto"/>
        <w:right w:val="none" w:sz="0" w:space="0" w:color="auto"/>
      </w:divBdr>
      <w:divsChild>
        <w:div w:id="1264528757">
          <w:marLeft w:val="0"/>
          <w:marRight w:val="0"/>
          <w:marTop w:val="288"/>
          <w:marBottom w:val="0"/>
          <w:divBdr>
            <w:top w:val="none" w:sz="0" w:space="0" w:color="auto"/>
            <w:left w:val="none" w:sz="0" w:space="0" w:color="auto"/>
            <w:bottom w:val="none" w:sz="0" w:space="0" w:color="auto"/>
            <w:right w:val="none" w:sz="0" w:space="0" w:color="auto"/>
          </w:divBdr>
        </w:div>
        <w:div w:id="1264528759">
          <w:marLeft w:val="0"/>
          <w:marRight w:val="0"/>
          <w:marTop w:val="288"/>
          <w:marBottom w:val="0"/>
          <w:divBdr>
            <w:top w:val="none" w:sz="0" w:space="0" w:color="auto"/>
            <w:left w:val="none" w:sz="0" w:space="0" w:color="auto"/>
            <w:bottom w:val="none" w:sz="0" w:space="0" w:color="auto"/>
            <w:right w:val="none" w:sz="0" w:space="0" w:color="auto"/>
          </w:divBdr>
        </w:div>
        <w:div w:id="1264528765">
          <w:marLeft w:val="0"/>
          <w:marRight w:val="0"/>
          <w:marTop w:val="288"/>
          <w:marBottom w:val="0"/>
          <w:divBdr>
            <w:top w:val="none" w:sz="0" w:space="0" w:color="auto"/>
            <w:left w:val="none" w:sz="0" w:space="0" w:color="auto"/>
            <w:bottom w:val="none" w:sz="0" w:space="0" w:color="auto"/>
            <w:right w:val="none" w:sz="0" w:space="0" w:color="auto"/>
          </w:divBdr>
        </w:div>
        <w:div w:id="1264528766">
          <w:marLeft w:val="0"/>
          <w:marRight w:val="0"/>
          <w:marTop w:val="288"/>
          <w:marBottom w:val="0"/>
          <w:divBdr>
            <w:top w:val="none" w:sz="0" w:space="0" w:color="auto"/>
            <w:left w:val="none" w:sz="0" w:space="0" w:color="auto"/>
            <w:bottom w:val="none" w:sz="0" w:space="0" w:color="auto"/>
            <w:right w:val="none" w:sz="0" w:space="0" w:color="auto"/>
          </w:divBdr>
        </w:div>
      </w:divsChild>
    </w:div>
    <w:div w:id="1264528764">
      <w:marLeft w:val="0"/>
      <w:marRight w:val="0"/>
      <w:marTop w:val="0"/>
      <w:marBottom w:val="0"/>
      <w:divBdr>
        <w:top w:val="none" w:sz="0" w:space="0" w:color="auto"/>
        <w:left w:val="none" w:sz="0" w:space="0" w:color="auto"/>
        <w:bottom w:val="none" w:sz="0" w:space="0" w:color="auto"/>
        <w:right w:val="none" w:sz="0" w:space="0" w:color="auto"/>
      </w:divBdr>
      <w:divsChild>
        <w:div w:id="1264528758">
          <w:marLeft w:val="720"/>
          <w:marRight w:val="0"/>
          <w:marTop w:val="0"/>
          <w:marBottom w:val="0"/>
          <w:divBdr>
            <w:top w:val="none" w:sz="0" w:space="0" w:color="auto"/>
            <w:left w:val="none" w:sz="0" w:space="0" w:color="auto"/>
            <w:bottom w:val="none" w:sz="0" w:space="0" w:color="auto"/>
            <w:right w:val="none" w:sz="0" w:space="0" w:color="auto"/>
          </w:divBdr>
        </w:div>
        <w:div w:id="1264528760">
          <w:marLeft w:val="720"/>
          <w:marRight w:val="0"/>
          <w:marTop w:val="0"/>
          <w:marBottom w:val="0"/>
          <w:divBdr>
            <w:top w:val="none" w:sz="0" w:space="0" w:color="auto"/>
            <w:left w:val="none" w:sz="0" w:space="0" w:color="auto"/>
            <w:bottom w:val="none" w:sz="0" w:space="0" w:color="auto"/>
            <w:right w:val="none" w:sz="0" w:space="0" w:color="auto"/>
          </w:divBdr>
        </w:div>
        <w:div w:id="1264528761">
          <w:marLeft w:val="720"/>
          <w:marRight w:val="0"/>
          <w:marTop w:val="0"/>
          <w:marBottom w:val="0"/>
          <w:divBdr>
            <w:top w:val="none" w:sz="0" w:space="0" w:color="auto"/>
            <w:left w:val="none" w:sz="0" w:space="0" w:color="auto"/>
            <w:bottom w:val="none" w:sz="0" w:space="0" w:color="auto"/>
            <w:right w:val="none" w:sz="0" w:space="0" w:color="auto"/>
          </w:divBdr>
        </w:div>
      </w:divsChild>
    </w:div>
    <w:div w:id="1264528767">
      <w:marLeft w:val="0"/>
      <w:marRight w:val="0"/>
      <w:marTop w:val="0"/>
      <w:marBottom w:val="0"/>
      <w:divBdr>
        <w:top w:val="none" w:sz="0" w:space="0" w:color="auto"/>
        <w:left w:val="none" w:sz="0" w:space="0" w:color="auto"/>
        <w:bottom w:val="none" w:sz="0" w:space="0" w:color="auto"/>
        <w:right w:val="none" w:sz="0" w:space="0" w:color="auto"/>
      </w:divBdr>
    </w:div>
    <w:div w:id="12645287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ni@unice.f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5772</Words>
  <Characters>-32766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stéphan touati</dc:creator>
  <cp:keywords/>
  <dc:description/>
  <cp:lastModifiedBy>etudiant</cp:lastModifiedBy>
  <cp:revision>2</cp:revision>
  <dcterms:created xsi:type="dcterms:W3CDTF">2009-04-02T12:22:00Z</dcterms:created>
  <dcterms:modified xsi:type="dcterms:W3CDTF">2009-04-02T12:22:00Z</dcterms:modified>
</cp:coreProperties>
</file>