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64D" w:rsidRDefault="00245C51" w:rsidP="00245C51">
      <w:pPr>
        <w:jc w:val="center"/>
        <w:rPr>
          <w:sz w:val="32"/>
          <w:szCs w:val="32"/>
        </w:rPr>
      </w:pPr>
      <w:r w:rsidRPr="00245C51">
        <w:rPr>
          <w:sz w:val="32"/>
          <w:szCs w:val="32"/>
        </w:rPr>
        <w:t>Aspects morphologiques et régulation de l’odontogénèse.</w:t>
      </w:r>
    </w:p>
    <w:p w:rsidR="00245C51" w:rsidRDefault="00245C51" w:rsidP="00245C51">
      <w:pPr>
        <w:jc w:val="center"/>
        <w:rPr>
          <w:sz w:val="32"/>
          <w:szCs w:val="32"/>
        </w:rPr>
      </w:pPr>
    </w:p>
    <w:p w:rsidR="009D14E9" w:rsidRPr="00245C51" w:rsidRDefault="00245C51" w:rsidP="00245C51">
      <w:pPr>
        <w:rPr>
          <w:sz w:val="18"/>
          <w:szCs w:val="18"/>
        </w:rPr>
      </w:pPr>
      <w:r>
        <w:rPr>
          <w:sz w:val="18"/>
          <w:szCs w:val="18"/>
        </w:rPr>
        <w:t xml:space="preserve">Introduction : Une anomalie pendant l’odontogénèse peut provoquer des anomalies de : </w:t>
      </w:r>
      <w:r w:rsidR="009D14E9">
        <w:rPr>
          <w:sz w:val="18"/>
          <w:szCs w:val="18"/>
        </w:rPr>
        <w:t xml:space="preserve">- Forme </w:t>
      </w:r>
      <w:r w:rsidR="009D14E9">
        <w:rPr>
          <w:sz w:val="18"/>
          <w:szCs w:val="18"/>
        </w:rPr>
        <w:br/>
        <w:t xml:space="preserve">                                                                                                                                                                 - Nombre </w:t>
      </w:r>
      <w:r w:rsidR="00270ABD">
        <w:rPr>
          <w:sz w:val="18"/>
          <w:szCs w:val="18"/>
        </w:rPr>
        <w:t>(dents</w:t>
      </w:r>
      <w:r w:rsidR="009D14E9">
        <w:rPr>
          <w:sz w:val="18"/>
          <w:szCs w:val="18"/>
        </w:rPr>
        <w:t xml:space="preserve"> surnuméraires etc</w:t>
      </w:r>
      <w:r w:rsidR="00270ABD">
        <w:rPr>
          <w:sz w:val="18"/>
          <w:szCs w:val="18"/>
        </w:rPr>
        <w:t>...)</w:t>
      </w:r>
      <w:r w:rsidR="009D14E9">
        <w:rPr>
          <w:sz w:val="18"/>
          <w:szCs w:val="18"/>
        </w:rPr>
        <w:br/>
        <w:t xml:space="preserve">                                                                                                                                                                 - De position </w:t>
      </w:r>
      <w:r w:rsidR="00270ABD">
        <w:rPr>
          <w:sz w:val="18"/>
          <w:szCs w:val="18"/>
        </w:rPr>
        <w:t>(dents</w:t>
      </w:r>
      <w:r w:rsidR="009D14E9">
        <w:rPr>
          <w:sz w:val="18"/>
          <w:szCs w:val="18"/>
        </w:rPr>
        <w:t xml:space="preserve"> dans le </w:t>
      </w:r>
      <w:r w:rsidR="00270ABD">
        <w:rPr>
          <w:sz w:val="18"/>
          <w:szCs w:val="18"/>
        </w:rPr>
        <w:t>palais,</w:t>
      </w:r>
      <w:r w:rsidR="009D14E9">
        <w:rPr>
          <w:sz w:val="18"/>
          <w:szCs w:val="18"/>
        </w:rPr>
        <w:t xml:space="preserve"> en position plus lingual etc</w:t>
      </w:r>
      <w:r w:rsidR="00270ABD">
        <w:rPr>
          <w:sz w:val="18"/>
          <w:szCs w:val="18"/>
        </w:rPr>
        <w:t>...)</w:t>
      </w:r>
      <w:r w:rsidR="009D14E9">
        <w:rPr>
          <w:sz w:val="18"/>
          <w:szCs w:val="18"/>
        </w:rPr>
        <w:br/>
        <w:t xml:space="preserve">                                                                                                                                                                 - De structure                    </w:t>
      </w:r>
    </w:p>
    <w:p w:rsidR="00245C51" w:rsidRPr="00D645F6" w:rsidRDefault="009D14E9" w:rsidP="00245C51">
      <w:pPr>
        <w:pStyle w:val="Paragraphedeliste"/>
        <w:numPr>
          <w:ilvl w:val="0"/>
          <w:numId w:val="1"/>
        </w:numPr>
        <w:rPr>
          <w:b/>
          <w:sz w:val="24"/>
          <w:szCs w:val="24"/>
          <w:u w:val="single"/>
        </w:rPr>
      </w:pPr>
      <w:r w:rsidRPr="00D645F6">
        <w:rPr>
          <w:noProof/>
          <w:sz w:val="24"/>
          <w:szCs w:val="24"/>
          <w:lang w:eastAsia="fr-FR"/>
        </w:rPr>
        <w:drawing>
          <wp:anchor distT="0" distB="0" distL="114300" distR="114300" simplePos="0" relativeHeight="251658240" behindDoc="1" locked="0" layoutInCell="1" allowOverlap="1" wp14:anchorId="4D70590F" wp14:editId="6A156E49">
            <wp:simplePos x="0" y="0"/>
            <wp:positionH relativeFrom="column">
              <wp:posOffset>2967355</wp:posOffset>
            </wp:positionH>
            <wp:positionV relativeFrom="paragraph">
              <wp:posOffset>220980</wp:posOffset>
            </wp:positionV>
            <wp:extent cx="2743200" cy="3982720"/>
            <wp:effectExtent l="0" t="0" r="0" b="0"/>
            <wp:wrapTight wrapText="bothSides">
              <wp:wrapPolygon edited="0">
                <wp:start x="0" y="0"/>
                <wp:lineTo x="0" y="21490"/>
                <wp:lineTo x="21450" y="21490"/>
                <wp:lineTo x="21450"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3982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5C51" w:rsidRPr="00D645F6">
        <w:rPr>
          <w:b/>
          <w:sz w:val="24"/>
          <w:szCs w:val="24"/>
          <w:u w:val="single"/>
        </w:rPr>
        <w:t>Mise en place de l’épithélium odontogène :</w:t>
      </w:r>
    </w:p>
    <w:p w:rsidR="009D14E9" w:rsidRDefault="009D14E9" w:rsidP="00245C51">
      <w:pPr>
        <w:rPr>
          <w:sz w:val="18"/>
          <w:szCs w:val="18"/>
        </w:rPr>
      </w:pPr>
    </w:p>
    <w:p w:rsidR="009D14E9" w:rsidRDefault="009D14E9" w:rsidP="00245C51">
      <w:pPr>
        <w:rPr>
          <w:sz w:val="18"/>
          <w:szCs w:val="18"/>
        </w:rPr>
      </w:pPr>
    </w:p>
    <w:p w:rsidR="009D14E9" w:rsidRPr="00D645F6" w:rsidRDefault="009D14E9" w:rsidP="009D14E9">
      <w:pPr>
        <w:jc w:val="center"/>
        <w:rPr>
          <w:sz w:val="20"/>
          <w:szCs w:val="20"/>
        </w:rPr>
      </w:pPr>
      <w:r w:rsidRPr="00D645F6">
        <w:rPr>
          <w:sz w:val="20"/>
          <w:szCs w:val="20"/>
        </w:rPr>
        <w:t xml:space="preserve">A </w:t>
      </w:r>
      <w:r w:rsidRPr="00D645F6">
        <w:rPr>
          <w:b/>
          <w:sz w:val="20"/>
          <w:szCs w:val="20"/>
        </w:rPr>
        <w:t>J. 28</w:t>
      </w:r>
      <w:r w:rsidRPr="00D645F6">
        <w:rPr>
          <w:sz w:val="20"/>
          <w:szCs w:val="20"/>
        </w:rPr>
        <w:t> : Prolifération cellulaire du Ier Arc en processus maxillaire et mandibulaire</w:t>
      </w:r>
      <w:r w:rsidRPr="00D645F6">
        <w:rPr>
          <w:sz w:val="20"/>
          <w:szCs w:val="20"/>
        </w:rPr>
        <w:br/>
      </w:r>
      <w:r w:rsidRPr="00D645F6">
        <w:rPr>
          <w:sz w:val="20"/>
          <w:szCs w:val="20"/>
        </w:rPr>
        <w:br/>
      </w:r>
      <w:r w:rsidRPr="00D645F6">
        <w:rPr>
          <w:sz w:val="20"/>
          <w:szCs w:val="20"/>
        </w:rPr>
        <w:br/>
      </w:r>
      <w:r w:rsidRPr="00D645F6">
        <w:rPr>
          <w:sz w:val="20"/>
          <w:szCs w:val="20"/>
        </w:rPr>
        <w:br/>
      </w:r>
      <w:r w:rsidRPr="00D645F6">
        <w:rPr>
          <w:sz w:val="20"/>
          <w:szCs w:val="20"/>
        </w:rPr>
        <w:br/>
      </w:r>
      <w:r w:rsidRPr="00D645F6">
        <w:rPr>
          <w:sz w:val="20"/>
          <w:szCs w:val="20"/>
        </w:rPr>
        <w:br/>
      </w:r>
      <w:r w:rsidRPr="00D645F6">
        <w:rPr>
          <w:sz w:val="20"/>
          <w:szCs w:val="20"/>
        </w:rPr>
        <w:br/>
      </w:r>
      <w:r w:rsidRPr="00D645F6">
        <w:rPr>
          <w:sz w:val="20"/>
          <w:szCs w:val="20"/>
        </w:rPr>
        <w:br/>
      </w:r>
      <w:r w:rsidRPr="00D645F6">
        <w:rPr>
          <w:b/>
          <w:sz w:val="20"/>
          <w:szCs w:val="20"/>
        </w:rPr>
        <w:t>A J. 30</w:t>
      </w:r>
      <w:r w:rsidRPr="00D645F6">
        <w:rPr>
          <w:sz w:val="20"/>
          <w:szCs w:val="20"/>
        </w:rPr>
        <w:t> : Apparition de l’épithélium odontogène en supérieur à la mandibule et en inférieur maxillaire</w:t>
      </w:r>
    </w:p>
    <w:p w:rsidR="009D14E9" w:rsidRPr="00D645F6" w:rsidRDefault="009D14E9" w:rsidP="009D14E9">
      <w:pPr>
        <w:jc w:val="center"/>
        <w:rPr>
          <w:sz w:val="20"/>
          <w:szCs w:val="20"/>
        </w:rPr>
      </w:pPr>
    </w:p>
    <w:p w:rsidR="009D14E9" w:rsidRPr="00D645F6" w:rsidRDefault="009D14E9" w:rsidP="009D14E9">
      <w:pPr>
        <w:jc w:val="center"/>
        <w:rPr>
          <w:sz w:val="20"/>
          <w:szCs w:val="20"/>
        </w:rPr>
      </w:pPr>
    </w:p>
    <w:p w:rsidR="009D14E9" w:rsidRPr="00D645F6" w:rsidRDefault="009D14E9" w:rsidP="00D645F6">
      <w:pPr>
        <w:rPr>
          <w:sz w:val="20"/>
          <w:szCs w:val="20"/>
        </w:rPr>
      </w:pPr>
    </w:p>
    <w:p w:rsidR="009D14E9" w:rsidRPr="00D645F6" w:rsidRDefault="009D14E9" w:rsidP="009D14E9">
      <w:pPr>
        <w:jc w:val="center"/>
        <w:rPr>
          <w:sz w:val="20"/>
          <w:szCs w:val="20"/>
        </w:rPr>
      </w:pPr>
      <w:r w:rsidRPr="00D645F6">
        <w:rPr>
          <w:sz w:val="20"/>
          <w:szCs w:val="20"/>
        </w:rPr>
        <w:t xml:space="preserve">A </w:t>
      </w:r>
      <w:r w:rsidRPr="00D645F6">
        <w:rPr>
          <w:b/>
          <w:sz w:val="20"/>
          <w:szCs w:val="20"/>
        </w:rPr>
        <w:t>J.35</w:t>
      </w:r>
      <w:r w:rsidRPr="00D645F6">
        <w:rPr>
          <w:sz w:val="20"/>
          <w:szCs w:val="20"/>
        </w:rPr>
        <w:t xml:space="preserve">  La partie antérieure du bourgeon céphalique va proliférer pour donner l’apparition du bourgeon nasal</w:t>
      </w:r>
    </w:p>
    <w:p w:rsidR="009D14E9" w:rsidRPr="00D645F6" w:rsidRDefault="009D14E9" w:rsidP="009D14E9">
      <w:pPr>
        <w:jc w:val="center"/>
        <w:rPr>
          <w:sz w:val="20"/>
          <w:szCs w:val="20"/>
        </w:rPr>
      </w:pPr>
    </w:p>
    <w:p w:rsidR="009D14E9" w:rsidRDefault="00D645F6" w:rsidP="009D14E9">
      <w:pPr>
        <w:jc w:val="center"/>
        <w:rPr>
          <w:sz w:val="20"/>
          <w:szCs w:val="20"/>
        </w:rPr>
      </w:pPr>
      <w:r w:rsidRPr="00D645F6">
        <w:rPr>
          <w:noProof/>
          <w:sz w:val="20"/>
          <w:szCs w:val="20"/>
          <w:lang w:eastAsia="fr-FR"/>
        </w:rPr>
        <w:drawing>
          <wp:anchor distT="0" distB="0" distL="114300" distR="114300" simplePos="0" relativeHeight="251659264" behindDoc="1" locked="0" layoutInCell="1" allowOverlap="1" wp14:anchorId="7942FFE1" wp14:editId="1A5F6249">
            <wp:simplePos x="0" y="0"/>
            <wp:positionH relativeFrom="margin">
              <wp:align>right</wp:align>
            </wp:positionH>
            <wp:positionV relativeFrom="paragraph">
              <wp:posOffset>173355</wp:posOffset>
            </wp:positionV>
            <wp:extent cx="2371725" cy="2468420"/>
            <wp:effectExtent l="0" t="0" r="0" b="8255"/>
            <wp:wrapTight wrapText="bothSides">
              <wp:wrapPolygon edited="0">
                <wp:start x="0" y="0"/>
                <wp:lineTo x="0" y="21506"/>
                <wp:lineTo x="21340" y="21506"/>
                <wp:lineTo x="2134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1725" cy="2468420"/>
                    </a:xfrm>
                    <a:prstGeom prst="rect">
                      <a:avLst/>
                    </a:prstGeom>
                    <a:noFill/>
                    <a:ln>
                      <a:noFill/>
                    </a:ln>
                  </pic:spPr>
                </pic:pic>
              </a:graphicData>
            </a:graphic>
          </wp:anchor>
        </w:drawing>
      </w:r>
    </w:p>
    <w:p w:rsidR="00D645F6" w:rsidRPr="00D645F6" w:rsidRDefault="00D645F6" w:rsidP="009D14E9">
      <w:pPr>
        <w:jc w:val="center"/>
        <w:rPr>
          <w:sz w:val="20"/>
          <w:szCs w:val="20"/>
        </w:rPr>
      </w:pPr>
    </w:p>
    <w:p w:rsidR="009D14E9" w:rsidRPr="00D645F6" w:rsidRDefault="009D14E9" w:rsidP="009D14E9">
      <w:pPr>
        <w:jc w:val="center"/>
        <w:rPr>
          <w:sz w:val="20"/>
          <w:szCs w:val="20"/>
        </w:rPr>
      </w:pPr>
      <w:r w:rsidRPr="00D645F6">
        <w:rPr>
          <w:sz w:val="20"/>
          <w:szCs w:val="20"/>
        </w:rPr>
        <w:t xml:space="preserve">A </w:t>
      </w:r>
      <w:r w:rsidRPr="00D645F6">
        <w:rPr>
          <w:b/>
          <w:sz w:val="20"/>
          <w:szCs w:val="20"/>
        </w:rPr>
        <w:t>J. 36</w:t>
      </w:r>
      <w:r w:rsidRPr="00D645F6">
        <w:rPr>
          <w:sz w:val="20"/>
          <w:szCs w:val="20"/>
        </w:rPr>
        <w:t> : Sur la partie inférieure du bourgeon nasal 2 épithélia odontogènes apparaissent</w:t>
      </w:r>
    </w:p>
    <w:p w:rsidR="009D14E9" w:rsidRPr="00D645F6" w:rsidRDefault="009D14E9" w:rsidP="009D14E9">
      <w:pPr>
        <w:jc w:val="center"/>
        <w:rPr>
          <w:sz w:val="20"/>
          <w:szCs w:val="20"/>
        </w:rPr>
      </w:pPr>
    </w:p>
    <w:p w:rsidR="009D14E9" w:rsidRPr="00D645F6" w:rsidRDefault="009D14E9" w:rsidP="009D14E9">
      <w:pPr>
        <w:jc w:val="center"/>
        <w:rPr>
          <w:sz w:val="20"/>
          <w:szCs w:val="20"/>
        </w:rPr>
      </w:pPr>
    </w:p>
    <w:p w:rsidR="009D14E9" w:rsidRPr="00D645F6" w:rsidRDefault="009D14E9" w:rsidP="009D14E9">
      <w:pPr>
        <w:jc w:val="center"/>
        <w:rPr>
          <w:sz w:val="20"/>
          <w:szCs w:val="20"/>
        </w:rPr>
      </w:pPr>
    </w:p>
    <w:p w:rsidR="009D14E9" w:rsidRPr="00D645F6" w:rsidRDefault="009D14E9" w:rsidP="009D14E9">
      <w:pPr>
        <w:jc w:val="center"/>
        <w:rPr>
          <w:sz w:val="20"/>
          <w:szCs w:val="20"/>
        </w:rPr>
      </w:pPr>
      <w:r w:rsidRPr="00D645F6">
        <w:rPr>
          <w:b/>
          <w:sz w:val="20"/>
          <w:szCs w:val="20"/>
        </w:rPr>
        <w:t>A J. 38</w:t>
      </w:r>
      <w:r w:rsidRPr="00D645F6">
        <w:rPr>
          <w:sz w:val="20"/>
          <w:szCs w:val="20"/>
        </w:rPr>
        <w:t xml:space="preserve"> 1 seul épithélium odontogène par fusion des épithéliums du maxillaire</w:t>
      </w:r>
    </w:p>
    <w:p w:rsidR="009D14E9" w:rsidRPr="00D645F6" w:rsidRDefault="009D14E9" w:rsidP="009D14E9">
      <w:pPr>
        <w:rPr>
          <w:sz w:val="20"/>
          <w:szCs w:val="20"/>
        </w:rPr>
      </w:pPr>
    </w:p>
    <w:p w:rsidR="009D14E9" w:rsidRPr="00D645F6" w:rsidRDefault="009D14E9" w:rsidP="009D14E9">
      <w:pPr>
        <w:rPr>
          <w:sz w:val="20"/>
          <w:szCs w:val="20"/>
        </w:rPr>
      </w:pPr>
    </w:p>
    <w:p w:rsidR="00016ABA" w:rsidRPr="00D645F6" w:rsidRDefault="00016ABA" w:rsidP="009D14E9">
      <w:pPr>
        <w:rPr>
          <w:sz w:val="20"/>
          <w:szCs w:val="20"/>
        </w:rPr>
      </w:pPr>
    </w:p>
    <w:p w:rsidR="00016ABA" w:rsidRPr="00D645F6" w:rsidRDefault="009D14E9" w:rsidP="009D14E9">
      <w:pPr>
        <w:rPr>
          <w:sz w:val="20"/>
          <w:szCs w:val="20"/>
        </w:rPr>
      </w:pPr>
      <w:r w:rsidRPr="00D645F6">
        <w:rPr>
          <w:sz w:val="20"/>
          <w:szCs w:val="20"/>
        </w:rPr>
        <w:t xml:space="preserve">L’épithelium Odontogène </w:t>
      </w:r>
      <w:r w:rsidR="00016ABA" w:rsidRPr="00D645F6">
        <w:rPr>
          <w:sz w:val="20"/>
          <w:szCs w:val="20"/>
        </w:rPr>
        <w:t>est formé par la fusion de 4 épithélia :</w:t>
      </w:r>
      <w:r w:rsidRPr="00D645F6">
        <w:rPr>
          <w:sz w:val="20"/>
          <w:szCs w:val="20"/>
        </w:rPr>
        <w:br w:type="textWrapping" w:clear="all"/>
      </w:r>
      <w:r w:rsidR="00016ABA" w:rsidRPr="00D645F6">
        <w:rPr>
          <w:sz w:val="20"/>
          <w:szCs w:val="20"/>
        </w:rPr>
        <w:t>- 2 venant du procès maxillaire</w:t>
      </w:r>
      <w:r w:rsidR="00016ABA" w:rsidRPr="00D645F6">
        <w:rPr>
          <w:sz w:val="20"/>
          <w:szCs w:val="20"/>
        </w:rPr>
        <w:br/>
        <w:t xml:space="preserve">- 2 venant du bourgeon nasal </w:t>
      </w:r>
    </w:p>
    <w:p w:rsidR="00016ABA" w:rsidRDefault="00016ABA" w:rsidP="009D14E9">
      <w:pPr>
        <w:rPr>
          <w:sz w:val="18"/>
          <w:szCs w:val="18"/>
        </w:rPr>
      </w:pPr>
      <w:r w:rsidRPr="00D645F6">
        <w:rPr>
          <w:sz w:val="20"/>
          <w:szCs w:val="20"/>
        </w:rPr>
        <w:t xml:space="preserve">Au niveau mandibulaire c’est la jonction des 2 épithélia odontogène émanant de la partie supérieure du procès mandibulaire qui donne l’épithélium odontogène mandibulaire </w:t>
      </w:r>
      <w:r w:rsidRPr="00D645F6">
        <w:rPr>
          <w:sz w:val="20"/>
          <w:szCs w:val="20"/>
        </w:rPr>
        <w:br/>
        <w:t xml:space="preserve">Les fentes palatines, labiales et les </w:t>
      </w:r>
      <w:r w:rsidR="00270ABD" w:rsidRPr="00D645F6">
        <w:rPr>
          <w:sz w:val="20"/>
          <w:szCs w:val="20"/>
        </w:rPr>
        <w:t>agénésies</w:t>
      </w:r>
      <w:r w:rsidRPr="00D645F6">
        <w:rPr>
          <w:sz w:val="20"/>
          <w:szCs w:val="20"/>
        </w:rPr>
        <w:t xml:space="preserve"> dentaires proviennent d’un </w:t>
      </w:r>
      <w:r w:rsidR="00FA591D" w:rsidRPr="00D645F6">
        <w:rPr>
          <w:sz w:val="20"/>
          <w:szCs w:val="20"/>
        </w:rPr>
        <w:t>problème</w:t>
      </w:r>
      <w:r w:rsidRPr="00D645F6">
        <w:rPr>
          <w:sz w:val="20"/>
          <w:szCs w:val="20"/>
        </w:rPr>
        <w:t xml:space="preserve"> de fusion des procès maxillaires et nasal.</w:t>
      </w:r>
      <w:r>
        <w:rPr>
          <w:sz w:val="18"/>
          <w:szCs w:val="18"/>
        </w:rPr>
        <w:br/>
      </w:r>
    </w:p>
    <w:p w:rsidR="00016ABA" w:rsidRPr="00D645F6" w:rsidRDefault="00016ABA" w:rsidP="00016ABA">
      <w:pPr>
        <w:pStyle w:val="Paragraphedeliste"/>
        <w:numPr>
          <w:ilvl w:val="0"/>
          <w:numId w:val="1"/>
        </w:numPr>
        <w:rPr>
          <w:b/>
          <w:sz w:val="24"/>
          <w:szCs w:val="24"/>
          <w:u w:val="single"/>
        </w:rPr>
      </w:pPr>
      <w:r w:rsidRPr="00D645F6">
        <w:rPr>
          <w:b/>
          <w:sz w:val="24"/>
          <w:szCs w:val="24"/>
          <w:u w:val="single"/>
        </w:rPr>
        <w:t xml:space="preserve">L’évolution de l’épithélium odontogène </w:t>
      </w:r>
    </w:p>
    <w:p w:rsidR="00016ABA" w:rsidRPr="00D645F6" w:rsidRDefault="00016ABA" w:rsidP="00016ABA">
      <w:pPr>
        <w:rPr>
          <w:sz w:val="20"/>
          <w:szCs w:val="20"/>
        </w:rPr>
      </w:pPr>
      <w:r w:rsidRPr="00D645F6">
        <w:rPr>
          <w:sz w:val="20"/>
          <w:szCs w:val="20"/>
        </w:rPr>
        <w:t xml:space="preserve">En coupe horizontale, c’est une lame continue en forme de fer à cheval tapissée par l’épithélium buccal </w:t>
      </w:r>
    </w:p>
    <w:p w:rsidR="00016ABA" w:rsidRPr="00D645F6" w:rsidRDefault="00016ABA" w:rsidP="00016ABA">
      <w:pPr>
        <w:rPr>
          <w:sz w:val="20"/>
          <w:szCs w:val="20"/>
        </w:rPr>
      </w:pPr>
      <w:r w:rsidRPr="00D645F6">
        <w:rPr>
          <w:sz w:val="20"/>
          <w:szCs w:val="20"/>
        </w:rPr>
        <w:t>En coupe frontal c’est un épaississement de l’épithélium buccal.</w:t>
      </w:r>
      <w:r w:rsidRPr="00D645F6">
        <w:rPr>
          <w:sz w:val="20"/>
          <w:szCs w:val="20"/>
        </w:rPr>
        <w:br/>
        <w:t xml:space="preserve">En coupe frontal, cet épaississement épithélial va </w:t>
      </w:r>
      <w:r w:rsidR="00FA591D" w:rsidRPr="00D645F6">
        <w:rPr>
          <w:sz w:val="20"/>
          <w:szCs w:val="20"/>
        </w:rPr>
        <w:t>proliférer</w:t>
      </w:r>
      <w:r w:rsidRPr="00D645F6">
        <w:rPr>
          <w:sz w:val="20"/>
          <w:szCs w:val="20"/>
        </w:rPr>
        <w:t xml:space="preserve"> et s’enfoncer dans l’ectomésenchyme </w:t>
      </w:r>
      <w:r w:rsidR="00270ABD" w:rsidRPr="00D645F6">
        <w:rPr>
          <w:sz w:val="20"/>
          <w:szCs w:val="20"/>
        </w:rPr>
        <w:t>sous-jacent</w:t>
      </w:r>
      <w:r w:rsidRPr="00D645F6">
        <w:rPr>
          <w:sz w:val="20"/>
          <w:szCs w:val="20"/>
        </w:rPr>
        <w:t xml:space="preserve">. </w:t>
      </w:r>
      <w:r w:rsidRPr="00D645F6">
        <w:rPr>
          <w:sz w:val="20"/>
          <w:szCs w:val="20"/>
        </w:rPr>
        <w:br/>
        <w:t xml:space="preserve">La lame dentaire sera à </w:t>
      </w:r>
      <w:r w:rsidR="00270ABD" w:rsidRPr="00D645F6">
        <w:rPr>
          <w:sz w:val="20"/>
          <w:szCs w:val="20"/>
        </w:rPr>
        <w:t>l’origine</w:t>
      </w:r>
      <w:r w:rsidRPr="00D645F6">
        <w:rPr>
          <w:sz w:val="20"/>
          <w:szCs w:val="20"/>
        </w:rPr>
        <w:t xml:space="preserve"> des arcades dentaires mandibulaires et maxillaires</w:t>
      </w:r>
      <w:r w:rsidRPr="00D645F6">
        <w:rPr>
          <w:sz w:val="20"/>
          <w:szCs w:val="20"/>
        </w:rPr>
        <w:br/>
        <w:t xml:space="preserve">L’épithélium Odontogène va proliférer dans l’ectomésenchyme et former 2 lames épithéliales  continues : </w:t>
      </w:r>
      <w:r w:rsidRPr="00D645F6">
        <w:rPr>
          <w:sz w:val="20"/>
          <w:szCs w:val="20"/>
        </w:rPr>
        <w:br/>
        <w:t xml:space="preserve">- Une lame vestibulaire : les cellules subiront une apoptose pour former le futur vestibule </w:t>
      </w:r>
      <w:r w:rsidRPr="00D645F6">
        <w:rPr>
          <w:sz w:val="20"/>
          <w:szCs w:val="20"/>
        </w:rPr>
        <w:br/>
        <w:t xml:space="preserve">- Une lame dentaire au niveau </w:t>
      </w:r>
      <w:r w:rsidR="00FA591D" w:rsidRPr="00D645F6">
        <w:rPr>
          <w:sz w:val="20"/>
          <w:szCs w:val="20"/>
        </w:rPr>
        <w:t xml:space="preserve">au niveau de laquelle vont se former les placodes à l’origine des futurs germes dentaires qui donneront les dents temporaires encore appelées dents </w:t>
      </w:r>
      <w:r w:rsidR="00270ABD" w:rsidRPr="00D645F6">
        <w:rPr>
          <w:sz w:val="20"/>
          <w:szCs w:val="20"/>
        </w:rPr>
        <w:t>déciduales</w:t>
      </w:r>
      <w:r w:rsidR="00FA591D" w:rsidRPr="00D645F6">
        <w:rPr>
          <w:sz w:val="20"/>
          <w:szCs w:val="20"/>
        </w:rPr>
        <w:t xml:space="preserve"> ou lactéales</w:t>
      </w:r>
    </w:p>
    <w:p w:rsidR="00FA591D" w:rsidRPr="00D645F6" w:rsidRDefault="00FA591D" w:rsidP="00016ABA">
      <w:pPr>
        <w:rPr>
          <w:sz w:val="20"/>
          <w:szCs w:val="20"/>
        </w:rPr>
      </w:pPr>
      <w:r w:rsidRPr="00D645F6">
        <w:rPr>
          <w:sz w:val="20"/>
          <w:szCs w:val="20"/>
        </w:rPr>
        <w:t xml:space="preserve">Ces </w:t>
      </w:r>
      <w:proofErr w:type="spellStart"/>
      <w:r w:rsidRPr="00D645F6">
        <w:rPr>
          <w:sz w:val="20"/>
          <w:szCs w:val="20"/>
        </w:rPr>
        <w:t>placodes</w:t>
      </w:r>
      <w:proofErr w:type="spellEnd"/>
      <w:r w:rsidRPr="00D645F6">
        <w:rPr>
          <w:sz w:val="20"/>
          <w:szCs w:val="20"/>
        </w:rPr>
        <w:t xml:space="preserve"> dentaires sont au nombre de 10 par arcade dentaire et apparaissent comme des petits renflements appendus à la lame dentaire par un cordon épithélial appelé lame dentaire primaire</w:t>
      </w:r>
      <w:r w:rsidRPr="00D645F6">
        <w:rPr>
          <w:sz w:val="20"/>
          <w:szCs w:val="20"/>
        </w:rPr>
        <w:br/>
        <w:t xml:space="preserve">C’est à partir de cette lame dentaire primaire que va se développer la lame dentaire secondaire à l’origine des 16 dents définitives par arcade. </w:t>
      </w:r>
    </w:p>
    <w:p w:rsidR="00FA591D" w:rsidRPr="00D645F6" w:rsidRDefault="00FA591D" w:rsidP="00FA591D">
      <w:pPr>
        <w:pStyle w:val="Paragraphedeliste"/>
        <w:numPr>
          <w:ilvl w:val="0"/>
          <w:numId w:val="2"/>
        </w:numPr>
        <w:rPr>
          <w:b/>
          <w:i/>
        </w:rPr>
      </w:pPr>
      <w:r w:rsidRPr="00D645F6">
        <w:rPr>
          <w:b/>
          <w:i/>
        </w:rPr>
        <w:t>Epithélium Odontogène</w:t>
      </w:r>
    </w:p>
    <w:p w:rsidR="00FA591D" w:rsidRPr="00D645F6" w:rsidRDefault="00FA591D" w:rsidP="00FA591D">
      <w:pPr>
        <w:rPr>
          <w:sz w:val="20"/>
          <w:szCs w:val="20"/>
        </w:rPr>
      </w:pPr>
      <w:r w:rsidRPr="00D645F6">
        <w:rPr>
          <w:sz w:val="20"/>
          <w:szCs w:val="20"/>
        </w:rPr>
        <w:t>L’</w:t>
      </w:r>
      <w:proofErr w:type="spellStart"/>
      <w:r w:rsidRPr="00D645F6">
        <w:rPr>
          <w:sz w:val="20"/>
          <w:szCs w:val="20"/>
        </w:rPr>
        <w:t>epithélium</w:t>
      </w:r>
      <w:proofErr w:type="spellEnd"/>
      <w:r w:rsidRPr="00D645F6">
        <w:rPr>
          <w:sz w:val="20"/>
          <w:szCs w:val="20"/>
        </w:rPr>
        <w:t xml:space="preserve"> </w:t>
      </w:r>
      <w:proofErr w:type="spellStart"/>
      <w:r w:rsidRPr="00D645F6">
        <w:rPr>
          <w:sz w:val="20"/>
          <w:szCs w:val="20"/>
        </w:rPr>
        <w:t>odontogène</w:t>
      </w:r>
      <w:proofErr w:type="spellEnd"/>
      <w:r w:rsidRPr="00D645F6">
        <w:rPr>
          <w:sz w:val="20"/>
          <w:szCs w:val="20"/>
        </w:rPr>
        <w:t xml:space="preserve"> se distingue histologiquement de l’épithélium buccal par l’augmentation de strates cellulaires. Cette augmentation de strates cellulaire est causée par la modification de l’orientation du fuseau mitotique avec une plaque équatorial non plus perpendiculaire mais parallèle à la lame basale</w:t>
      </w:r>
      <w:r w:rsidRPr="00D645F6">
        <w:rPr>
          <w:sz w:val="20"/>
          <w:szCs w:val="20"/>
        </w:rPr>
        <w:br/>
      </w:r>
      <w:r w:rsidRPr="00D645F6">
        <w:rPr>
          <w:sz w:val="20"/>
          <w:szCs w:val="20"/>
        </w:rPr>
        <w:br/>
        <w:t xml:space="preserve">L’ectomésenchyme subit lui une densification cellulaire non pas par l’augmentation du nombre de division cellulaire mais par : </w:t>
      </w:r>
      <w:r w:rsidRPr="00D645F6">
        <w:rPr>
          <w:sz w:val="20"/>
          <w:szCs w:val="20"/>
        </w:rPr>
        <w:br/>
        <w:t xml:space="preserve">- Migration des CCNs </w:t>
      </w:r>
      <w:r w:rsidRPr="00D645F6">
        <w:rPr>
          <w:sz w:val="20"/>
          <w:szCs w:val="20"/>
        </w:rPr>
        <w:br/>
        <w:t>- diminution de la synthèse matricielle</w:t>
      </w:r>
    </w:p>
    <w:p w:rsidR="00FA591D" w:rsidRPr="00D645F6" w:rsidRDefault="00D645F6" w:rsidP="00FA591D">
      <w:pPr>
        <w:rPr>
          <w:sz w:val="20"/>
          <w:szCs w:val="20"/>
        </w:rPr>
      </w:pPr>
      <w:r w:rsidRPr="00D645F6">
        <w:rPr>
          <w:noProof/>
          <w:sz w:val="20"/>
          <w:szCs w:val="20"/>
          <w:lang w:eastAsia="fr-FR"/>
        </w:rPr>
        <w:drawing>
          <wp:anchor distT="0" distB="0" distL="114300" distR="114300" simplePos="0" relativeHeight="251660288" behindDoc="1" locked="0" layoutInCell="1" allowOverlap="1" wp14:anchorId="3B865A5D" wp14:editId="2C456539">
            <wp:simplePos x="0" y="0"/>
            <wp:positionH relativeFrom="column">
              <wp:posOffset>3110230</wp:posOffset>
            </wp:positionH>
            <wp:positionV relativeFrom="paragraph">
              <wp:posOffset>122555</wp:posOffset>
            </wp:positionV>
            <wp:extent cx="3143250" cy="2327564"/>
            <wp:effectExtent l="0" t="0" r="0" b="0"/>
            <wp:wrapTight wrapText="bothSides">
              <wp:wrapPolygon edited="0">
                <wp:start x="0" y="0"/>
                <wp:lineTo x="0" y="21394"/>
                <wp:lineTo x="21469" y="21394"/>
                <wp:lineTo x="21469"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0" cy="2327564"/>
                    </a:xfrm>
                    <a:prstGeom prst="rect">
                      <a:avLst/>
                    </a:prstGeom>
                    <a:noFill/>
                    <a:ln>
                      <a:noFill/>
                    </a:ln>
                  </pic:spPr>
                </pic:pic>
              </a:graphicData>
            </a:graphic>
          </wp:anchor>
        </w:drawing>
      </w:r>
      <w:r w:rsidR="00FA591D" w:rsidRPr="00D645F6">
        <w:rPr>
          <w:sz w:val="20"/>
          <w:szCs w:val="20"/>
        </w:rPr>
        <w:t xml:space="preserve">Par des expériences de dissociation/ réassociation, LUMSDEN a conclu que les placodes proviennent d’un dialogue entre épithélium odontogène et ectomésenchyme se divisant en 3 phases : </w:t>
      </w:r>
    </w:p>
    <w:p w:rsidR="00D645F6" w:rsidRPr="00D645F6" w:rsidRDefault="00D645F6" w:rsidP="00D645F6">
      <w:pPr>
        <w:pStyle w:val="Paragraphedeliste"/>
        <w:numPr>
          <w:ilvl w:val="0"/>
          <w:numId w:val="3"/>
        </w:numPr>
        <w:rPr>
          <w:sz w:val="20"/>
          <w:szCs w:val="20"/>
        </w:rPr>
      </w:pPr>
      <w:r w:rsidRPr="00D645F6">
        <w:rPr>
          <w:sz w:val="20"/>
          <w:szCs w:val="20"/>
        </w:rPr>
        <w:t>A</w:t>
      </w:r>
      <w:r w:rsidRPr="00D645F6">
        <w:rPr>
          <w:b/>
          <w:sz w:val="20"/>
          <w:szCs w:val="20"/>
        </w:rPr>
        <w:t>. Initiation</w:t>
      </w:r>
      <w:r w:rsidRPr="00D645F6">
        <w:rPr>
          <w:sz w:val="20"/>
          <w:szCs w:val="20"/>
        </w:rPr>
        <w:t xml:space="preserve"> </w:t>
      </w:r>
      <w:r w:rsidRPr="00D645F6">
        <w:rPr>
          <w:sz w:val="20"/>
          <w:szCs w:val="20"/>
        </w:rPr>
        <w:br/>
        <w:t>détermination du site par induction ectomésenchyme par l’épithélium odontogène</w:t>
      </w:r>
    </w:p>
    <w:p w:rsidR="00D645F6" w:rsidRPr="00D645F6" w:rsidRDefault="00D645F6" w:rsidP="00D645F6">
      <w:pPr>
        <w:pStyle w:val="Paragraphedeliste"/>
        <w:rPr>
          <w:sz w:val="20"/>
          <w:szCs w:val="20"/>
        </w:rPr>
      </w:pPr>
      <w:r w:rsidRPr="00D645F6">
        <w:rPr>
          <w:sz w:val="20"/>
          <w:szCs w:val="20"/>
        </w:rPr>
        <w:t xml:space="preserve">Détermination de l’identité dentaire par l’action du mésenchyme sur l’épithélium odontogène </w:t>
      </w:r>
    </w:p>
    <w:p w:rsidR="00D645F6" w:rsidRPr="00D645F6" w:rsidRDefault="00D645F6" w:rsidP="00D645F6">
      <w:pPr>
        <w:pStyle w:val="Paragraphedeliste"/>
        <w:numPr>
          <w:ilvl w:val="0"/>
          <w:numId w:val="3"/>
        </w:numPr>
        <w:rPr>
          <w:sz w:val="20"/>
          <w:szCs w:val="20"/>
        </w:rPr>
      </w:pPr>
      <w:r w:rsidRPr="00D645F6">
        <w:rPr>
          <w:sz w:val="20"/>
          <w:szCs w:val="20"/>
        </w:rPr>
        <w:t xml:space="preserve">B. </w:t>
      </w:r>
      <w:r w:rsidRPr="00D645F6">
        <w:rPr>
          <w:b/>
          <w:sz w:val="20"/>
          <w:szCs w:val="20"/>
        </w:rPr>
        <w:t>Détermination de la forme</w:t>
      </w:r>
      <w:r w:rsidRPr="00D645F6">
        <w:rPr>
          <w:sz w:val="20"/>
          <w:szCs w:val="20"/>
        </w:rPr>
        <w:t xml:space="preserve"> </w:t>
      </w:r>
    </w:p>
    <w:p w:rsidR="00D645F6" w:rsidRPr="00D645F6" w:rsidRDefault="00D645F6" w:rsidP="00D645F6">
      <w:pPr>
        <w:pStyle w:val="Paragraphedeliste"/>
        <w:numPr>
          <w:ilvl w:val="0"/>
          <w:numId w:val="3"/>
        </w:numPr>
        <w:rPr>
          <w:b/>
          <w:sz w:val="20"/>
          <w:szCs w:val="20"/>
        </w:rPr>
      </w:pPr>
      <w:r w:rsidRPr="00D645F6">
        <w:rPr>
          <w:sz w:val="20"/>
          <w:szCs w:val="20"/>
        </w:rPr>
        <w:t xml:space="preserve">C. </w:t>
      </w:r>
      <w:r w:rsidRPr="00D645F6">
        <w:rPr>
          <w:b/>
          <w:sz w:val="20"/>
          <w:szCs w:val="20"/>
        </w:rPr>
        <w:t xml:space="preserve">Différenciation cellulaire </w:t>
      </w:r>
    </w:p>
    <w:p w:rsidR="00D645F6" w:rsidRDefault="00D645F6" w:rsidP="00D645F6">
      <w:pPr>
        <w:rPr>
          <w:b/>
          <w:sz w:val="18"/>
          <w:szCs w:val="18"/>
        </w:rPr>
      </w:pPr>
    </w:p>
    <w:p w:rsidR="00DF6482" w:rsidRDefault="00D645F6" w:rsidP="00D645F6">
      <w:pPr>
        <w:rPr>
          <w:sz w:val="20"/>
          <w:szCs w:val="20"/>
        </w:rPr>
      </w:pPr>
      <w:r>
        <w:rPr>
          <w:sz w:val="20"/>
          <w:szCs w:val="20"/>
        </w:rPr>
        <w:t xml:space="preserve">Les </w:t>
      </w:r>
      <w:proofErr w:type="spellStart"/>
      <w:r>
        <w:rPr>
          <w:sz w:val="20"/>
          <w:szCs w:val="20"/>
        </w:rPr>
        <w:t>placodes</w:t>
      </w:r>
      <w:proofErr w:type="spellEnd"/>
      <w:r>
        <w:rPr>
          <w:sz w:val="20"/>
          <w:szCs w:val="20"/>
        </w:rPr>
        <w:t xml:space="preserve"> dentaires proviennent </w:t>
      </w:r>
      <w:r w:rsidRPr="00DF6482">
        <w:rPr>
          <w:b/>
          <w:sz w:val="20"/>
          <w:szCs w:val="20"/>
        </w:rPr>
        <w:t>d’un dialogue entre un épithélium et un ectomésenchyme</w:t>
      </w:r>
      <w:r>
        <w:rPr>
          <w:sz w:val="20"/>
          <w:szCs w:val="20"/>
        </w:rPr>
        <w:t xml:space="preserve"> que l’on définira comme un mésenchyme où des cellules des crêtes </w:t>
      </w:r>
      <w:r>
        <w:rPr>
          <w:sz w:val="20"/>
          <w:szCs w:val="20"/>
        </w:rPr>
        <w:lastRenderedPageBreak/>
        <w:t>neurales (</w:t>
      </w:r>
      <w:proofErr w:type="spellStart"/>
      <w:r>
        <w:rPr>
          <w:sz w:val="20"/>
          <w:szCs w:val="20"/>
        </w:rPr>
        <w:t>CCNs</w:t>
      </w:r>
      <w:proofErr w:type="spellEnd"/>
      <w:r>
        <w:rPr>
          <w:sz w:val="20"/>
          <w:szCs w:val="20"/>
        </w:rPr>
        <w:t>) ont migré.</w:t>
      </w:r>
      <w:r>
        <w:rPr>
          <w:sz w:val="20"/>
          <w:szCs w:val="20"/>
        </w:rPr>
        <w:br/>
        <w:t xml:space="preserve">Développement d’organe dentaire que si les CCNs sont face à un épithélium Compétent </w:t>
      </w:r>
      <w:r>
        <w:rPr>
          <w:sz w:val="20"/>
          <w:szCs w:val="20"/>
        </w:rPr>
        <w:br/>
        <w:t xml:space="preserve">Il existe une interaction cellulaire entre l’épithélium buccal et les CCN qui ont migré dans le Ier arc pharyngé aboutissant à la formation de placodes dentaires. L’organe dentaire est le résultat </w:t>
      </w:r>
      <w:r w:rsidR="00DF6482">
        <w:rPr>
          <w:sz w:val="20"/>
          <w:szCs w:val="20"/>
        </w:rPr>
        <w:t>de différents homéogenes exprimes par les CCN sous l’induction instructive des cellules de l’épithélium buccal.</w:t>
      </w:r>
      <w:r w:rsidR="00DF6482">
        <w:rPr>
          <w:sz w:val="20"/>
          <w:szCs w:val="20"/>
        </w:rPr>
        <w:br/>
        <w:t>Au niveau de la</w:t>
      </w:r>
      <w:r w:rsidR="00DF6482" w:rsidRPr="00DF6482">
        <w:rPr>
          <w:b/>
          <w:sz w:val="20"/>
          <w:szCs w:val="20"/>
        </w:rPr>
        <w:t xml:space="preserve"> tête</w:t>
      </w:r>
      <w:r w:rsidR="00DF6482">
        <w:rPr>
          <w:sz w:val="20"/>
          <w:szCs w:val="20"/>
        </w:rPr>
        <w:t xml:space="preserve">, les cellules des crêtes neurales expriment des </w:t>
      </w:r>
      <w:r w:rsidR="00270ABD">
        <w:rPr>
          <w:sz w:val="20"/>
          <w:szCs w:val="20"/>
        </w:rPr>
        <w:t>gènes appelés «</w:t>
      </w:r>
      <w:r w:rsidR="00DF6482" w:rsidRPr="00DF6482">
        <w:rPr>
          <w:b/>
          <w:sz w:val="20"/>
          <w:szCs w:val="20"/>
        </w:rPr>
        <w:t xml:space="preserve"> para HOX » ou « Divergents » « Non-Hox »</w:t>
      </w:r>
      <w:r w:rsidR="00DF6482">
        <w:rPr>
          <w:sz w:val="20"/>
          <w:szCs w:val="20"/>
        </w:rPr>
        <w:t xml:space="preserve"> qui sont le support de l’organisation de la partie céphalique.</w:t>
      </w:r>
      <w:r w:rsidR="00DF6482">
        <w:rPr>
          <w:sz w:val="20"/>
          <w:szCs w:val="20"/>
        </w:rPr>
        <w:br/>
        <w:t xml:space="preserve">Les gènes </w:t>
      </w:r>
      <w:r w:rsidR="00DF6482" w:rsidRPr="00DF6482">
        <w:rPr>
          <w:b/>
          <w:sz w:val="20"/>
          <w:szCs w:val="20"/>
        </w:rPr>
        <w:t>HOX</w:t>
      </w:r>
      <w:r w:rsidR="00DF6482">
        <w:rPr>
          <w:sz w:val="20"/>
          <w:szCs w:val="20"/>
        </w:rPr>
        <w:t xml:space="preserve"> représentent eux le support génétique du </w:t>
      </w:r>
      <w:r w:rsidR="00DF6482" w:rsidRPr="00DF6482">
        <w:rPr>
          <w:b/>
          <w:sz w:val="20"/>
          <w:szCs w:val="20"/>
        </w:rPr>
        <w:t>développement du corps dans son entier à l’exception de la tête.</w:t>
      </w:r>
      <w:r w:rsidR="00DF6482" w:rsidRPr="00DF6482">
        <w:rPr>
          <w:sz w:val="20"/>
          <w:szCs w:val="20"/>
        </w:rPr>
        <w:br/>
      </w:r>
      <w:r w:rsidR="00DF6482">
        <w:rPr>
          <w:sz w:val="20"/>
          <w:szCs w:val="20"/>
        </w:rPr>
        <w:t xml:space="preserve">Les </w:t>
      </w:r>
      <w:r w:rsidR="00270ABD">
        <w:rPr>
          <w:sz w:val="20"/>
          <w:szCs w:val="20"/>
        </w:rPr>
        <w:t>gènes</w:t>
      </w:r>
      <w:r w:rsidR="00DF6482">
        <w:rPr>
          <w:sz w:val="20"/>
          <w:szCs w:val="20"/>
        </w:rPr>
        <w:t xml:space="preserve"> NON HOX qui migrent dans le Ier arc pharyngé proviennent des Rhombomères 1 et 2 et de la partie postérieure du mésencéphale.</w:t>
      </w:r>
      <w:r w:rsidR="00DF6482">
        <w:rPr>
          <w:sz w:val="20"/>
          <w:szCs w:val="20"/>
        </w:rPr>
        <w:br/>
      </w:r>
      <w:r w:rsidR="00DF6482">
        <w:rPr>
          <w:sz w:val="20"/>
          <w:szCs w:val="20"/>
        </w:rPr>
        <w:br/>
        <w:t xml:space="preserve">Quelle que soit la dent, le mécanisme biologique est identique mais la combinatoire d’homeogenes et la signalisation épithéliale sont différents d’un type de dent à un autre </w:t>
      </w:r>
      <w:r w:rsidR="00DF6482">
        <w:rPr>
          <w:sz w:val="20"/>
          <w:szCs w:val="20"/>
        </w:rPr>
        <w:br/>
        <w:t>Les phénomènes de morphogenèse et de différenciation cellulaire sont sous le contrôle d’un module de signalisation récurent</w:t>
      </w:r>
      <w:r w:rsidR="00DF6482">
        <w:rPr>
          <w:sz w:val="20"/>
          <w:szCs w:val="20"/>
        </w:rPr>
        <w:br/>
      </w:r>
      <w:r w:rsidR="00DF6482">
        <w:rPr>
          <w:sz w:val="20"/>
          <w:szCs w:val="20"/>
        </w:rPr>
        <w:br/>
        <w:t xml:space="preserve">Chacune de </w:t>
      </w:r>
      <w:r w:rsidR="00DF6482" w:rsidRPr="00DF6482">
        <w:rPr>
          <w:b/>
          <w:sz w:val="20"/>
          <w:szCs w:val="20"/>
        </w:rPr>
        <w:t xml:space="preserve">ces placodes </w:t>
      </w:r>
      <w:r w:rsidR="00270ABD" w:rsidRPr="00DF6482">
        <w:rPr>
          <w:b/>
          <w:sz w:val="20"/>
          <w:szCs w:val="20"/>
        </w:rPr>
        <w:t>évoluera</w:t>
      </w:r>
      <w:r w:rsidR="00DF6482" w:rsidRPr="00DF6482">
        <w:rPr>
          <w:b/>
          <w:sz w:val="20"/>
          <w:szCs w:val="20"/>
        </w:rPr>
        <w:t xml:space="preserve"> d’une </w:t>
      </w:r>
      <w:r w:rsidR="00270ABD" w:rsidRPr="00DF6482">
        <w:rPr>
          <w:b/>
          <w:sz w:val="20"/>
          <w:szCs w:val="20"/>
        </w:rPr>
        <w:t>façon</w:t>
      </w:r>
      <w:r w:rsidR="00DF6482" w:rsidRPr="00DF6482">
        <w:rPr>
          <w:b/>
          <w:sz w:val="20"/>
          <w:szCs w:val="20"/>
        </w:rPr>
        <w:t xml:space="preserve"> identique histologiquement quelle que soit sa localisation sur cette lame dentaire jusqu’au stade de cloche.</w:t>
      </w:r>
      <w:r w:rsidR="00DF6482">
        <w:rPr>
          <w:sz w:val="20"/>
          <w:szCs w:val="20"/>
        </w:rPr>
        <w:br/>
        <w:t xml:space="preserve">3 stades vont être </w:t>
      </w:r>
      <w:r w:rsidR="00270ABD">
        <w:rPr>
          <w:sz w:val="20"/>
          <w:szCs w:val="20"/>
        </w:rPr>
        <w:t>décrits</w:t>
      </w:r>
      <w:r w:rsidR="00DF6482">
        <w:rPr>
          <w:sz w:val="20"/>
          <w:szCs w:val="20"/>
        </w:rPr>
        <w:t xml:space="preserve"> : </w:t>
      </w:r>
    </w:p>
    <w:p w:rsidR="00DF6482" w:rsidRDefault="00DF6482" w:rsidP="00DF6482">
      <w:pPr>
        <w:pStyle w:val="Paragraphedeliste"/>
        <w:numPr>
          <w:ilvl w:val="0"/>
          <w:numId w:val="4"/>
        </w:numPr>
        <w:rPr>
          <w:sz w:val="20"/>
          <w:szCs w:val="20"/>
        </w:rPr>
      </w:pPr>
      <w:r>
        <w:rPr>
          <w:sz w:val="20"/>
          <w:szCs w:val="20"/>
        </w:rPr>
        <w:t xml:space="preserve">Stade du Bourgeon </w:t>
      </w:r>
    </w:p>
    <w:p w:rsidR="00DF6482" w:rsidRDefault="00DF6482" w:rsidP="00DF6482">
      <w:pPr>
        <w:pStyle w:val="Paragraphedeliste"/>
        <w:numPr>
          <w:ilvl w:val="0"/>
          <w:numId w:val="4"/>
        </w:numPr>
        <w:rPr>
          <w:sz w:val="20"/>
          <w:szCs w:val="20"/>
        </w:rPr>
      </w:pPr>
      <w:r>
        <w:rPr>
          <w:sz w:val="20"/>
          <w:szCs w:val="20"/>
        </w:rPr>
        <w:t xml:space="preserve">Stade de Cupule </w:t>
      </w:r>
    </w:p>
    <w:p w:rsidR="00DF6482" w:rsidRDefault="00DF6482" w:rsidP="00E62062">
      <w:pPr>
        <w:pStyle w:val="Paragraphedeliste"/>
        <w:numPr>
          <w:ilvl w:val="0"/>
          <w:numId w:val="4"/>
        </w:numPr>
        <w:rPr>
          <w:sz w:val="20"/>
          <w:szCs w:val="20"/>
        </w:rPr>
      </w:pPr>
      <w:r>
        <w:rPr>
          <w:sz w:val="20"/>
          <w:szCs w:val="20"/>
        </w:rPr>
        <w:t>Stade de Cloche</w:t>
      </w:r>
    </w:p>
    <w:p w:rsidR="00E62062" w:rsidRDefault="00E62062" w:rsidP="00E62062">
      <w:pPr>
        <w:rPr>
          <w:sz w:val="20"/>
          <w:szCs w:val="20"/>
        </w:rPr>
      </w:pPr>
    </w:p>
    <w:p w:rsidR="00E62062" w:rsidRPr="00377863" w:rsidRDefault="00E62062" w:rsidP="007A42A7">
      <w:pPr>
        <w:pStyle w:val="Paragraphedeliste"/>
        <w:numPr>
          <w:ilvl w:val="0"/>
          <w:numId w:val="7"/>
        </w:numPr>
        <w:rPr>
          <w:sz w:val="20"/>
          <w:szCs w:val="20"/>
          <w:u w:val="single"/>
        </w:rPr>
      </w:pPr>
      <w:r w:rsidRPr="00377863">
        <w:rPr>
          <w:sz w:val="20"/>
          <w:szCs w:val="20"/>
          <w:u w:val="single"/>
        </w:rPr>
        <w:t xml:space="preserve">Stade du bourgeon </w:t>
      </w:r>
    </w:p>
    <w:p w:rsidR="00377863" w:rsidRDefault="00390299" w:rsidP="00377863">
      <w:pPr>
        <w:rPr>
          <w:sz w:val="20"/>
          <w:szCs w:val="20"/>
        </w:rPr>
      </w:pPr>
      <w:r>
        <w:rPr>
          <w:noProof/>
          <w:sz w:val="20"/>
          <w:szCs w:val="20"/>
          <w:lang w:eastAsia="fr-FR"/>
        </w:rPr>
        <w:drawing>
          <wp:anchor distT="0" distB="0" distL="114300" distR="114300" simplePos="0" relativeHeight="251661312" behindDoc="1" locked="0" layoutInCell="1" allowOverlap="1" wp14:anchorId="1A7DE4E3" wp14:editId="6AC287D1">
            <wp:simplePos x="0" y="0"/>
            <wp:positionH relativeFrom="margin">
              <wp:posOffset>4127500</wp:posOffset>
            </wp:positionH>
            <wp:positionV relativeFrom="paragraph">
              <wp:posOffset>7620</wp:posOffset>
            </wp:positionV>
            <wp:extent cx="1533525" cy="1644650"/>
            <wp:effectExtent l="0" t="0" r="9525" b="0"/>
            <wp:wrapTight wrapText="bothSides">
              <wp:wrapPolygon edited="0">
                <wp:start x="0" y="0"/>
                <wp:lineTo x="0" y="21266"/>
                <wp:lineTo x="21466" y="21266"/>
                <wp:lineTo x="21466"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352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7863" w:rsidRPr="00377863">
        <w:rPr>
          <w:b/>
          <w:sz w:val="20"/>
          <w:szCs w:val="20"/>
        </w:rPr>
        <w:t>Partie épithéliale</w:t>
      </w:r>
      <w:r w:rsidR="00377863" w:rsidRPr="00377863">
        <w:rPr>
          <w:b/>
          <w:sz w:val="20"/>
          <w:szCs w:val="20"/>
        </w:rPr>
        <w:br/>
      </w:r>
      <w:r w:rsidR="00377863" w:rsidRPr="00377863">
        <w:sym w:font="Wingdings" w:char="F0E0"/>
      </w:r>
      <w:r w:rsidR="00377863" w:rsidRPr="00377863">
        <w:rPr>
          <w:sz w:val="20"/>
          <w:szCs w:val="20"/>
        </w:rPr>
        <w:t xml:space="preserve"> C’est un cylindre qui s’enfonce dans l’</w:t>
      </w:r>
      <w:r w:rsidR="00270ABD" w:rsidRPr="00377863">
        <w:rPr>
          <w:sz w:val="20"/>
          <w:szCs w:val="20"/>
        </w:rPr>
        <w:t>ectomésenchyme</w:t>
      </w:r>
      <w:r w:rsidR="00377863" w:rsidRPr="00377863">
        <w:rPr>
          <w:sz w:val="20"/>
          <w:szCs w:val="20"/>
        </w:rPr>
        <w:br/>
        <w:t xml:space="preserve">A la fin du stade de bourgeon : on observe dans la partie apicale du </w:t>
      </w:r>
      <w:r w:rsidR="00270ABD" w:rsidRPr="00377863">
        <w:rPr>
          <w:sz w:val="20"/>
          <w:szCs w:val="20"/>
        </w:rPr>
        <w:t>cylindre,</w:t>
      </w:r>
      <w:r w:rsidR="00377863" w:rsidRPr="00377863">
        <w:rPr>
          <w:sz w:val="20"/>
          <w:szCs w:val="20"/>
        </w:rPr>
        <w:t xml:space="preserve"> le Nœud de l’Email Primaire </w:t>
      </w:r>
      <w:r w:rsidR="00270ABD" w:rsidRPr="00377863">
        <w:rPr>
          <w:sz w:val="20"/>
          <w:szCs w:val="20"/>
        </w:rPr>
        <w:t xml:space="preserve">(NEP) </w:t>
      </w:r>
      <w:r w:rsidR="00377863" w:rsidRPr="00377863">
        <w:rPr>
          <w:sz w:val="20"/>
          <w:szCs w:val="20"/>
        </w:rPr>
        <w:br/>
        <w:t xml:space="preserve">Ce NEP </w:t>
      </w:r>
      <w:r w:rsidR="00270ABD" w:rsidRPr="00377863">
        <w:rPr>
          <w:sz w:val="20"/>
          <w:szCs w:val="20"/>
        </w:rPr>
        <w:t>joue</w:t>
      </w:r>
      <w:r w:rsidR="00377863" w:rsidRPr="00377863">
        <w:rPr>
          <w:sz w:val="20"/>
          <w:szCs w:val="20"/>
        </w:rPr>
        <w:t xml:space="preserve"> un </w:t>
      </w:r>
      <w:r w:rsidR="00270ABD" w:rsidRPr="00377863">
        <w:rPr>
          <w:sz w:val="20"/>
          <w:szCs w:val="20"/>
        </w:rPr>
        <w:t>rôle</w:t>
      </w:r>
      <w:r w:rsidR="00377863" w:rsidRPr="00377863">
        <w:rPr>
          <w:sz w:val="20"/>
          <w:szCs w:val="20"/>
        </w:rPr>
        <w:t xml:space="preserve"> analogue à la crête apicale ectodermique dans le développement du membre constitué de cellules identiques aux autres mais exprimant des facteurs de transcriptions des molécules de signalisation particulière </w:t>
      </w:r>
      <w:r w:rsidR="00377863" w:rsidRPr="00377863">
        <w:rPr>
          <w:sz w:val="20"/>
          <w:szCs w:val="20"/>
        </w:rPr>
        <w:br/>
        <w:t>En coupe de l’extérieur à l’intérieur :</w:t>
      </w:r>
    </w:p>
    <w:p w:rsidR="00377863" w:rsidRDefault="00390299" w:rsidP="00377863">
      <w:pPr>
        <w:pStyle w:val="Paragraphedeliste"/>
        <w:numPr>
          <w:ilvl w:val="0"/>
          <w:numId w:val="9"/>
        </w:numPr>
        <w:rPr>
          <w:sz w:val="20"/>
          <w:szCs w:val="20"/>
        </w:rPr>
      </w:pPr>
      <w:r w:rsidRPr="007A42A7">
        <w:rPr>
          <w:noProof/>
          <w:sz w:val="20"/>
          <w:szCs w:val="20"/>
          <w:u w:val="single"/>
          <w:lang w:eastAsia="fr-FR"/>
        </w:rPr>
        <w:drawing>
          <wp:anchor distT="0" distB="0" distL="114300" distR="114300" simplePos="0" relativeHeight="251662336" behindDoc="1" locked="0" layoutInCell="1" allowOverlap="1" wp14:anchorId="314C3393" wp14:editId="53635043">
            <wp:simplePos x="0" y="0"/>
            <wp:positionH relativeFrom="margin">
              <wp:align>right</wp:align>
            </wp:positionH>
            <wp:positionV relativeFrom="paragraph">
              <wp:posOffset>3175</wp:posOffset>
            </wp:positionV>
            <wp:extent cx="1560195" cy="1152525"/>
            <wp:effectExtent l="0" t="0" r="1905" b="9525"/>
            <wp:wrapTight wrapText="bothSides">
              <wp:wrapPolygon edited="0">
                <wp:start x="0" y="0"/>
                <wp:lineTo x="0" y="21421"/>
                <wp:lineTo x="21363" y="21421"/>
                <wp:lineTo x="21363"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195"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7863">
        <w:rPr>
          <w:sz w:val="20"/>
          <w:szCs w:val="20"/>
        </w:rPr>
        <w:t xml:space="preserve">Membrane basale </w:t>
      </w:r>
    </w:p>
    <w:p w:rsidR="00377863" w:rsidRDefault="00377863" w:rsidP="00377863">
      <w:pPr>
        <w:pStyle w:val="Paragraphedeliste"/>
        <w:numPr>
          <w:ilvl w:val="0"/>
          <w:numId w:val="9"/>
        </w:numPr>
        <w:rPr>
          <w:sz w:val="20"/>
          <w:szCs w:val="20"/>
        </w:rPr>
      </w:pPr>
      <w:r>
        <w:rPr>
          <w:sz w:val="20"/>
          <w:szCs w:val="20"/>
        </w:rPr>
        <w:t>Cellules basales</w:t>
      </w:r>
    </w:p>
    <w:p w:rsidR="00377863" w:rsidRDefault="00377863" w:rsidP="00377863">
      <w:pPr>
        <w:pStyle w:val="Paragraphedeliste"/>
        <w:numPr>
          <w:ilvl w:val="0"/>
          <w:numId w:val="9"/>
        </w:numPr>
        <w:rPr>
          <w:sz w:val="20"/>
          <w:szCs w:val="20"/>
        </w:rPr>
      </w:pPr>
      <w:r>
        <w:rPr>
          <w:sz w:val="20"/>
          <w:szCs w:val="20"/>
        </w:rPr>
        <w:t xml:space="preserve">Cellules de remplissage </w:t>
      </w:r>
    </w:p>
    <w:p w:rsidR="00377863" w:rsidRDefault="00377863" w:rsidP="00377863">
      <w:pPr>
        <w:pStyle w:val="Paragraphedeliste"/>
        <w:numPr>
          <w:ilvl w:val="0"/>
          <w:numId w:val="9"/>
        </w:numPr>
        <w:rPr>
          <w:sz w:val="20"/>
          <w:szCs w:val="20"/>
        </w:rPr>
      </w:pPr>
      <w:r>
        <w:rPr>
          <w:sz w:val="20"/>
          <w:szCs w:val="20"/>
        </w:rPr>
        <w:t xml:space="preserve">Membrane basale </w:t>
      </w:r>
    </w:p>
    <w:p w:rsidR="00377863" w:rsidRDefault="00377863" w:rsidP="00377863">
      <w:pPr>
        <w:rPr>
          <w:sz w:val="20"/>
          <w:szCs w:val="20"/>
        </w:rPr>
      </w:pPr>
      <w:r>
        <w:rPr>
          <w:sz w:val="20"/>
          <w:szCs w:val="20"/>
        </w:rPr>
        <w:br/>
      </w:r>
      <w:r w:rsidRPr="00377863">
        <w:rPr>
          <w:b/>
          <w:sz w:val="20"/>
          <w:szCs w:val="20"/>
        </w:rPr>
        <w:t xml:space="preserve">Partie </w:t>
      </w:r>
      <w:proofErr w:type="spellStart"/>
      <w:r w:rsidRPr="00377863">
        <w:rPr>
          <w:b/>
          <w:sz w:val="20"/>
          <w:szCs w:val="20"/>
        </w:rPr>
        <w:t>ecto</w:t>
      </w:r>
      <w:proofErr w:type="spellEnd"/>
      <w:r w:rsidRPr="00377863">
        <w:rPr>
          <w:b/>
          <w:sz w:val="20"/>
          <w:szCs w:val="20"/>
        </w:rPr>
        <w:t xml:space="preserve">-mésenchymateuse et </w:t>
      </w:r>
      <w:r w:rsidR="00270ABD" w:rsidRPr="00377863">
        <w:rPr>
          <w:b/>
          <w:sz w:val="20"/>
          <w:szCs w:val="20"/>
        </w:rPr>
        <w:t>partie</w:t>
      </w:r>
      <w:r w:rsidRPr="00377863">
        <w:rPr>
          <w:b/>
          <w:sz w:val="20"/>
          <w:szCs w:val="20"/>
        </w:rPr>
        <w:t xml:space="preserve"> périphérique :</w:t>
      </w:r>
      <w:r w:rsidRPr="00377863">
        <w:rPr>
          <w:b/>
          <w:sz w:val="20"/>
          <w:szCs w:val="20"/>
        </w:rPr>
        <w:br/>
      </w:r>
      <w:r w:rsidR="00343CAF" w:rsidRPr="00343CAF">
        <w:rPr>
          <w:sz w:val="20"/>
          <w:szCs w:val="20"/>
        </w:rPr>
        <w:sym w:font="Wingdings" w:char="F0E0"/>
      </w:r>
      <w:r w:rsidR="00343CAF">
        <w:rPr>
          <w:sz w:val="20"/>
          <w:szCs w:val="20"/>
        </w:rPr>
        <w:t xml:space="preserve"> </w:t>
      </w:r>
      <w:r>
        <w:rPr>
          <w:sz w:val="20"/>
          <w:szCs w:val="20"/>
        </w:rPr>
        <w:t xml:space="preserve">Mal </w:t>
      </w:r>
      <w:r w:rsidR="00270ABD">
        <w:rPr>
          <w:sz w:val="20"/>
          <w:szCs w:val="20"/>
        </w:rPr>
        <w:t>délimitée,</w:t>
      </w:r>
      <w:r>
        <w:rPr>
          <w:sz w:val="20"/>
          <w:szCs w:val="20"/>
        </w:rPr>
        <w:t xml:space="preserve"> faible matrice extracellulaire entrainant une forte densité cellulaire </w:t>
      </w:r>
      <w:proofErr w:type="spellStart"/>
      <w:r>
        <w:rPr>
          <w:sz w:val="20"/>
          <w:szCs w:val="20"/>
        </w:rPr>
        <w:t>ecto</w:t>
      </w:r>
      <w:proofErr w:type="spellEnd"/>
      <w:r>
        <w:rPr>
          <w:sz w:val="20"/>
          <w:szCs w:val="20"/>
        </w:rPr>
        <w:t xml:space="preserve">-mésenchymateuse </w:t>
      </w:r>
    </w:p>
    <w:p w:rsidR="00377863" w:rsidRDefault="00377863" w:rsidP="00377863">
      <w:pPr>
        <w:pStyle w:val="Paragraphedeliste"/>
        <w:numPr>
          <w:ilvl w:val="0"/>
          <w:numId w:val="7"/>
        </w:numPr>
        <w:rPr>
          <w:sz w:val="20"/>
          <w:szCs w:val="20"/>
          <w:u w:val="single"/>
        </w:rPr>
      </w:pPr>
      <w:r w:rsidRPr="00377863">
        <w:rPr>
          <w:sz w:val="20"/>
          <w:szCs w:val="20"/>
          <w:u w:val="single"/>
        </w:rPr>
        <w:t>Stade de cupule</w:t>
      </w:r>
    </w:p>
    <w:p w:rsidR="00343CAF" w:rsidRDefault="00377863" w:rsidP="00377863">
      <w:pPr>
        <w:pStyle w:val="Paragraphedeliste"/>
        <w:numPr>
          <w:ilvl w:val="0"/>
          <w:numId w:val="10"/>
        </w:numPr>
        <w:rPr>
          <w:i/>
          <w:sz w:val="20"/>
          <w:szCs w:val="20"/>
        </w:rPr>
      </w:pPr>
      <w:r w:rsidRPr="00343CAF">
        <w:rPr>
          <w:i/>
          <w:sz w:val="20"/>
          <w:szCs w:val="20"/>
        </w:rPr>
        <w:t>Cupule jeune</w:t>
      </w:r>
    </w:p>
    <w:p w:rsidR="00C07A11" w:rsidRDefault="00343CAF" w:rsidP="00343CAF">
      <w:pPr>
        <w:rPr>
          <w:sz w:val="20"/>
          <w:szCs w:val="20"/>
        </w:rPr>
      </w:pPr>
      <w:r w:rsidRPr="00343CAF">
        <w:rPr>
          <w:b/>
          <w:sz w:val="20"/>
          <w:szCs w:val="20"/>
        </w:rPr>
        <w:t>Partie épithéliale</w:t>
      </w:r>
      <w:r>
        <w:rPr>
          <w:sz w:val="20"/>
          <w:szCs w:val="20"/>
        </w:rPr>
        <w:br/>
      </w:r>
      <w:r w:rsidRPr="00343CAF">
        <w:rPr>
          <w:sz w:val="20"/>
          <w:szCs w:val="20"/>
        </w:rPr>
        <w:sym w:font="Wingdings" w:char="F0E0"/>
      </w:r>
      <w:r>
        <w:rPr>
          <w:sz w:val="20"/>
          <w:szCs w:val="20"/>
        </w:rPr>
        <w:t xml:space="preserve"> Se nomme organe de l’émail </w:t>
      </w:r>
      <w:r>
        <w:rPr>
          <w:sz w:val="20"/>
          <w:szCs w:val="20"/>
        </w:rPr>
        <w:br/>
        <w:t xml:space="preserve">Le NEP est toujours </w:t>
      </w:r>
      <w:r w:rsidR="00C07A11">
        <w:rPr>
          <w:sz w:val="20"/>
          <w:szCs w:val="20"/>
        </w:rPr>
        <w:t>présent</w:t>
      </w:r>
    </w:p>
    <w:p w:rsidR="00C07A11" w:rsidRDefault="00390299" w:rsidP="00343CAF">
      <w:pPr>
        <w:rPr>
          <w:sz w:val="20"/>
          <w:szCs w:val="20"/>
        </w:rPr>
      </w:pPr>
      <w:r>
        <w:rPr>
          <w:noProof/>
          <w:sz w:val="20"/>
          <w:szCs w:val="20"/>
          <w:lang w:eastAsia="fr-FR"/>
        </w:rPr>
        <w:lastRenderedPageBreak/>
        <w:drawing>
          <wp:anchor distT="0" distB="0" distL="114300" distR="114300" simplePos="0" relativeHeight="251663360" behindDoc="1" locked="0" layoutInCell="1" allowOverlap="1" wp14:anchorId="659C2C0E" wp14:editId="3352F00D">
            <wp:simplePos x="0" y="0"/>
            <wp:positionH relativeFrom="column">
              <wp:posOffset>3691255</wp:posOffset>
            </wp:positionH>
            <wp:positionV relativeFrom="paragraph">
              <wp:posOffset>89535</wp:posOffset>
            </wp:positionV>
            <wp:extent cx="2124075" cy="1809750"/>
            <wp:effectExtent l="0" t="0" r="9525" b="0"/>
            <wp:wrapTight wrapText="bothSides">
              <wp:wrapPolygon edited="0">
                <wp:start x="0" y="0"/>
                <wp:lineTo x="0" y="21373"/>
                <wp:lineTo x="21503" y="21373"/>
                <wp:lineTo x="21503"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4075" cy="1809750"/>
                    </a:xfrm>
                    <a:prstGeom prst="rect">
                      <a:avLst/>
                    </a:prstGeom>
                    <a:noFill/>
                    <a:ln>
                      <a:noFill/>
                    </a:ln>
                  </pic:spPr>
                </pic:pic>
              </a:graphicData>
            </a:graphic>
          </wp:anchor>
        </w:drawing>
      </w:r>
      <w:r w:rsidR="00343CAF">
        <w:rPr>
          <w:sz w:val="20"/>
          <w:szCs w:val="20"/>
        </w:rPr>
        <w:t xml:space="preserve"> </w:t>
      </w:r>
      <w:r w:rsidR="00343CAF">
        <w:rPr>
          <w:sz w:val="20"/>
          <w:szCs w:val="20"/>
        </w:rPr>
        <w:br/>
        <w:t xml:space="preserve">En coupe de l’extérieur </w:t>
      </w:r>
      <w:r w:rsidR="00C07A11">
        <w:rPr>
          <w:sz w:val="20"/>
          <w:szCs w:val="20"/>
        </w:rPr>
        <w:t xml:space="preserve">vers l’intérieur :  </w:t>
      </w:r>
    </w:p>
    <w:p w:rsidR="00C07A11" w:rsidRDefault="00C07A11" w:rsidP="00C07A11">
      <w:pPr>
        <w:pStyle w:val="Paragraphedeliste"/>
        <w:numPr>
          <w:ilvl w:val="0"/>
          <w:numId w:val="11"/>
        </w:numPr>
        <w:rPr>
          <w:sz w:val="20"/>
          <w:szCs w:val="20"/>
        </w:rPr>
      </w:pPr>
      <w:r>
        <w:rPr>
          <w:sz w:val="20"/>
          <w:szCs w:val="20"/>
        </w:rPr>
        <w:t xml:space="preserve">Membrane basale </w:t>
      </w:r>
    </w:p>
    <w:p w:rsidR="00C07A11" w:rsidRDefault="00C07A11" w:rsidP="00C07A11">
      <w:pPr>
        <w:pStyle w:val="Paragraphedeliste"/>
        <w:numPr>
          <w:ilvl w:val="0"/>
          <w:numId w:val="11"/>
        </w:numPr>
        <w:rPr>
          <w:sz w:val="20"/>
          <w:szCs w:val="20"/>
        </w:rPr>
      </w:pPr>
      <w:r>
        <w:rPr>
          <w:sz w:val="20"/>
          <w:szCs w:val="20"/>
        </w:rPr>
        <w:t>EDE : Epithélium dentaire externe = 1 couche cellulaire</w:t>
      </w:r>
    </w:p>
    <w:p w:rsidR="00C07A11" w:rsidRDefault="00270ABD" w:rsidP="00C07A11">
      <w:pPr>
        <w:pStyle w:val="Paragraphedeliste"/>
        <w:numPr>
          <w:ilvl w:val="0"/>
          <w:numId w:val="11"/>
        </w:numPr>
        <w:rPr>
          <w:sz w:val="20"/>
          <w:szCs w:val="20"/>
        </w:rPr>
      </w:pPr>
      <w:r>
        <w:rPr>
          <w:sz w:val="20"/>
          <w:szCs w:val="20"/>
        </w:rPr>
        <w:t>Cellules</w:t>
      </w:r>
      <w:r w:rsidR="00C07A11">
        <w:rPr>
          <w:sz w:val="20"/>
          <w:szCs w:val="20"/>
        </w:rPr>
        <w:t xml:space="preserve"> de remplissage </w:t>
      </w:r>
    </w:p>
    <w:p w:rsidR="00C07A11" w:rsidRDefault="00C07A11" w:rsidP="00C07A11">
      <w:pPr>
        <w:pStyle w:val="Paragraphedeliste"/>
        <w:numPr>
          <w:ilvl w:val="0"/>
          <w:numId w:val="11"/>
        </w:numPr>
        <w:rPr>
          <w:sz w:val="20"/>
          <w:szCs w:val="20"/>
        </w:rPr>
      </w:pPr>
      <w:r>
        <w:rPr>
          <w:sz w:val="20"/>
          <w:szCs w:val="20"/>
        </w:rPr>
        <w:t xml:space="preserve">NEP </w:t>
      </w:r>
    </w:p>
    <w:p w:rsidR="00C07A11" w:rsidRDefault="00C07A11" w:rsidP="00C07A11">
      <w:pPr>
        <w:pStyle w:val="Paragraphedeliste"/>
        <w:numPr>
          <w:ilvl w:val="0"/>
          <w:numId w:val="11"/>
        </w:numPr>
        <w:rPr>
          <w:sz w:val="20"/>
          <w:szCs w:val="20"/>
        </w:rPr>
      </w:pPr>
      <w:r>
        <w:rPr>
          <w:sz w:val="20"/>
          <w:szCs w:val="20"/>
        </w:rPr>
        <w:t xml:space="preserve">EDI : epithélium Dentaire Interne = 1 couche cellulaire </w:t>
      </w:r>
    </w:p>
    <w:p w:rsidR="00377863" w:rsidRDefault="00C07A11" w:rsidP="00C07A11">
      <w:pPr>
        <w:rPr>
          <w:sz w:val="20"/>
          <w:szCs w:val="20"/>
        </w:rPr>
      </w:pPr>
      <w:r w:rsidRPr="00C07A11">
        <w:rPr>
          <w:b/>
          <w:sz w:val="20"/>
          <w:szCs w:val="20"/>
        </w:rPr>
        <w:t xml:space="preserve">Partie </w:t>
      </w:r>
      <w:proofErr w:type="spellStart"/>
      <w:r w:rsidRPr="00C07A11">
        <w:rPr>
          <w:b/>
          <w:sz w:val="20"/>
          <w:szCs w:val="20"/>
        </w:rPr>
        <w:t>ecto</w:t>
      </w:r>
      <w:proofErr w:type="spellEnd"/>
      <w:r w:rsidRPr="00C07A11">
        <w:rPr>
          <w:b/>
          <w:sz w:val="20"/>
          <w:szCs w:val="20"/>
        </w:rPr>
        <w:t xml:space="preserve">-mésenchymateuse </w:t>
      </w:r>
      <w:r w:rsidR="00377863" w:rsidRPr="00C07A11">
        <w:rPr>
          <w:b/>
          <w:sz w:val="20"/>
          <w:szCs w:val="20"/>
        </w:rPr>
        <w:br/>
      </w:r>
      <w:r w:rsidRPr="00C07A11">
        <w:rPr>
          <w:sz w:val="20"/>
          <w:szCs w:val="20"/>
        </w:rPr>
        <w:sym w:font="Wingdings" w:char="F0E0"/>
      </w:r>
      <w:r>
        <w:rPr>
          <w:sz w:val="20"/>
          <w:szCs w:val="20"/>
        </w:rPr>
        <w:t xml:space="preserve"> En regard : apparition d’une vascularisation SANS organisation particulière </w:t>
      </w:r>
    </w:p>
    <w:p w:rsidR="00C07A11" w:rsidRDefault="00C07A11" w:rsidP="00C07A11">
      <w:pPr>
        <w:rPr>
          <w:sz w:val="20"/>
          <w:szCs w:val="20"/>
        </w:rPr>
      </w:pPr>
      <w:r w:rsidRPr="00C07A11">
        <w:rPr>
          <w:b/>
          <w:sz w:val="20"/>
          <w:szCs w:val="20"/>
        </w:rPr>
        <w:t>Partie périphérique du mésenchyme</w:t>
      </w:r>
      <w:r>
        <w:rPr>
          <w:b/>
          <w:sz w:val="20"/>
          <w:szCs w:val="20"/>
        </w:rPr>
        <w:br/>
      </w:r>
      <w:r w:rsidRPr="00C07A11">
        <w:rPr>
          <w:sz w:val="20"/>
          <w:szCs w:val="20"/>
        </w:rPr>
        <w:sym w:font="Wingdings" w:char="F0E0"/>
      </w:r>
      <w:r>
        <w:rPr>
          <w:sz w:val="20"/>
          <w:szCs w:val="20"/>
        </w:rPr>
        <w:t xml:space="preserve"> Une organisation cellulaire périphérique se forme créant le sac folliculaire</w:t>
      </w:r>
      <w:r>
        <w:rPr>
          <w:sz w:val="20"/>
          <w:szCs w:val="20"/>
        </w:rPr>
        <w:br/>
        <w:t>Il commence à s’individualiser sous forme de strates cellulaires relativement inorganisées</w:t>
      </w:r>
    </w:p>
    <w:p w:rsidR="00C07A11" w:rsidRPr="00C07A11" w:rsidRDefault="00C07A11" w:rsidP="00C07A11">
      <w:pPr>
        <w:pStyle w:val="Paragraphedeliste"/>
        <w:numPr>
          <w:ilvl w:val="0"/>
          <w:numId w:val="10"/>
        </w:numPr>
        <w:rPr>
          <w:i/>
          <w:sz w:val="20"/>
          <w:szCs w:val="20"/>
        </w:rPr>
      </w:pPr>
      <w:r w:rsidRPr="00C07A11">
        <w:rPr>
          <w:i/>
          <w:sz w:val="20"/>
          <w:szCs w:val="20"/>
        </w:rPr>
        <w:t xml:space="preserve">Stade de cupule </w:t>
      </w:r>
      <w:r w:rsidR="00270ABD" w:rsidRPr="00C07A11">
        <w:rPr>
          <w:i/>
          <w:sz w:val="20"/>
          <w:szCs w:val="20"/>
        </w:rPr>
        <w:t>âgée</w:t>
      </w:r>
      <w:r w:rsidRPr="00C07A11">
        <w:rPr>
          <w:i/>
          <w:sz w:val="20"/>
          <w:szCs w:val="20"/>
        </w:rPr>
        <w:t xml:space="preserve"> </w:t>
      </w:r>
    </w:p>
    <w:p w:rsidR="00C07A11" w:rsidRDefault="00390299" w:rsidP="00D645F6">
      <w:pPr>
        <w:rPr>
          <w:sz w:val="20"/>
          <w:szCs w:val="20"/>
        </w:rPr>
      </w:pPr>
      <w:r>
        <w:rPr>
          <w:noProof/>
          <w:sz w:val="20"/>
          <w:szCs w:val="20"/>
          <w:lang w:eastAsia="fr-FR"/>
        </w:rPr>
        <w:drawing>
          <wp:anchor distT="0" distB="0" distL="114300" distR="114300" simplePos="0" relativeHeight="251664384" behindDoc="1" locked="0" layoutInCell="1" allowOverlap="1" wp14:anchorId="06E101D8" wp14:editId="01107F22">
            <wp:simplePos x="0" y="0"/>
            <wp:positionH relativeFrom="margin">
              <wp:align>right</wp:align>
            </wp:positionH>
            <wp:positionV relativeFrom="paragraph">
              <wp:posOffset>287020</wp:posOffset>
            </wp:positionV>
            <wp:extent cx="2162175" cy="2047875"/>
            <wp:effectExtent l="0" t="0" r="9525" b="9525"/>
            <wp:wrapTight wrapText="bothSides">
              <wp:wrapPolygon edited="0">
                <wp:start x="0" y="0"/>
                <wp:lineTo x="0" y="21500"/>
                <wp:lineTo x="21505" y="21500"/>
                <wp:lineTo x="21505"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2175" cy="2047875"/>
                    </a:xfrm>
                    <a:prstGeom prst="rect">
                      <a:avLst/>
                    </a:prstGeom>
                    <a:noFill/>
                    <a:ln>
                      <a:noFill/>
                    </a:ln>
                  </pic:spPr>
                </pic:pic>
              </a:graphicData>
            </a:graphic>
          </wp:anchor>
        </w:drawing>
      </w:r>
      <w:r w:rsidR="00C07A11" w:rsidRPr="00C07A11">
        <w:rPr>
          <w:b/>
          <w:sz w:val="20"/>
          <w:szCs w:val="20"/>
        </w:rPr>
        <w:t xml:space="preserve">Partie épithéliale </w:t>
      </w:r>
      <w:r w:rsidR="00C07A11">
        <w:rPr>
          <w:b/>
          <w:sz w:val="20"/>
          <w:szCs w:val="20"/>
        </w:rPr>
        <w:br/>
      </w:r>
      <w:r w:rsidR="00C07A11" w:rsidRPr="00C07A11">
        <w:rPr>
          <w:sz w:val="20"/>
          <w:szCs w:val="20"/>
        </w:rPr>
        <w:sym w:font="Wingdings" w:char="F0E0"/>
      </w:r>
      <w:r w:rsidR="00C07A11">
        <w:rPr>
          <w:sz w:val="20"/>
          <w:szCs w:val="20"/>
        </w:rPr>
        <w:t xml:space="preserve"> Disparition du NEP </w:t>
      </w:r>
      <w:r w:rsidR="00C07A11">
        <w:rPr>
          <w:sz w:val="20"/>
          <w:szCs w:val="20"/>
        </w:rPr>
        <w:br/>
        <w:t xml:space="preserve">Les cellules de remplissage subissent des changements morphologiques : </w:t>
      </w:r>
      <w:r w:rsidR="00C07A11">
        <w:rPr>
          <w:sz w:val="20"/>
          <w:szCs w:val="20"/>
        </w:rPr>
        <w:br/>
        <w:t xml:space="preserve">- Elles expriment des </w:t>
      </w:r>
      <w:proofErr w:type="spellStart"/>
      <w:r w:rsidR="00C07A11">
        <w:rPr>
          <w:sz w:val="20"/>
          <w:szCs w:val="20"/>
        </w:rPr>
        <w:t>glycoaminoglycanes</w:t>
      </w:r>
      <w:proofErr w:type="spellEnd"/>
      <w:r w:rsidR="00C07A11">
        <w:rPr>
          <w:sz w:val="20"/>
          <w:szCs w:val="20"/>
        </w:rPr>
        <w:t xml:space="preserve"> </w:t>
      </w:r>
      <w:r w:rsidR="00270ABD">
        <w:rPr>
          <w:sz w:val="20"/>
          <w:szCs w:val="20"/>
        </w:rPr>
        <w:t>(très</w:t>
      </w:r>
      <w:r w:rsidR="00C07A11">
        <w:rPr>
          <w:sz w:val="20"/>
          <w:szCs w:val="20"/>
        </w:rPr>
        <w:t xml:space="preserve"> hydrophile) </w:t>
      </w:r>
      <w:r w:rsidR="00C07A11">
        <w:rPr>
          <w:sz w:val="20"/>
          <w:szCs w:val="20"/>
        </w:rPr>
        <w:br/>
        <w:t xml:space="preserve">- Entré de l’eau et dissociation des cellules qui restent liées uniquement par desmosomes </w:t>
      </w:r>
      <w:r w:rsidR="00C07A11" w:rsidRPr="00C07A11">
        <w:rPr>
          <w:sz w:val="20"/>
          <w:szCs w:val="20"/>
        </w:rPr>
        <w:sym w:font="Wingdings" w:char="F0E0"/>
      </w:r>
      <w:r w:rsidR="00C07A11">
        <w:rPr>
          <w:sz w:val="20"/>
          <w:szCs w:val="20"/>
        </w:rPr>
        <w:t xml:space="preserve"> donne le Réticulum étoilé </w:t>
      </w:r>
      <w:r w:rsidR="001B1751">
        <w:rPr>
          <w:sz w:val="20"/>
          <w:szCs w:val="20"/>
        </w:rPr>
        <w:t>(RE</w:t>
      </w:r>
      <w:r w:rsidR="00270ABD">
        <w:rPr>
          <w:sz w:val="20"/>
          <w:szCs w:val="20"/>
        </w:rPr>
        <w:t xml:space="preserve">) </w:t>
      </w:r>
      <w:r w:rsidR="00C07A11">
        <w:rPr>
          <w:sz w:val="20"/>
          <w:szCs w:val="20"/>
        </w:rPr>
        <w:br/>
        <w:t xml:space="preserve">L’ EDI : les cellules s’allongent et prennent une morphologie caractéristique </w:t>
      </w:r>
    </w:p>
    <w:p w:rsidR="00C07A11" w:rsidRDefault="00C07A11" w:rsidP="00D645F6">
      <w:pPr>
        <w:rPr>
          <w:sz w:val="20"/>
          <w:szCs w:val="20"/>
        </w:rPr>
      </w:pPr>
      <w:r w:rsidRPr="00C07A11">
        <w:rPr>
          <w:b/>
          <w:sz w:val="20"/>
          <w:szCs w:val="20"/>
        </w:rPr>
        <w:t xml:space="preserve">Partie </w:t>
      </w:r>
      <w:proofErr w:type="spellStart"/>
      <w:r w:rsidRPr="00C07A11">
        <w:rPr>
          <w:b/>
          <w:sz w:val="20"/>
          <w:szCs w:val="20"/>
        </w:rPr>
        <w:t>ecto</w:t>
      </w:r>
      <w:proofErr w:type="spellEnd"/>
      <w:r w:rsidRPr="00C07A11">
        <w:rPr>
          <w:b/>
          <w:sz w:val="20"/>
          <w:szCs w:val="20"/>
        </w:rPr>
        <w:t xml:space="preserve">-mésenchymateuse </w:t>
      </w:r>
      <w:r>
        <w:rPr>
          <w:b/>
          <w:sz w:val="20"/>
          <w:szCs w:val="20"/>
        </w:rPr>
        <w:br/>
      </w:r>
      <w:r w:rsidRPr="00C07A11">
        <w:rPr>
          <w:sz w:val="20"/>
          <w:szCs w:val="20"/>
        </w:rPr>
        <w:sym w:font="Wingdings" w:char="F0E0"/>
      </w:r>
      <w:r>
        <w:rPr>
          <w:sz w:val="20"/>
          <w:szCs w:val="20"/>
        </w:rPr>
        <w:t xml:space="preserve"> Elle s’appelle la papille ecto mésenchymateuse </w:t>
      </w:r>
      <w:r>
        <w:rPr>
          <w:sz w:val="20"/>
          <w:szCs w:val="20"/>
        </w:rPr>
        <w:br/>
        <w:t xml:space="preserve">Une vascularisation semble beaucoup mieux s’organiser et l’innervation débute </w:t>
      </w:r>
    </w:p>
    <w:p w:rsidR="00C07A11" w:rsidRDefault="00C07A11" w:rsidP="00D645F6">
      <w:pPr>
        <w:rPr>
          <w:sz w:val="20"/>
          <w:szCs w:val="20"/>
        </w:rPr>
      </w:pPr>
      <w:r w:rsidRPr="00C07A11">
        <w:rPr>
          <w:b/>
          <w:sz w:val="20"/>
          <w:szCs w:val="20"/>
        </w:rPr>
        <w:t xml:space="preserve">Partie Périphérique </w:t>
      </w:r>
      <w:r>
        <w:rPr>
          <w:b/>
          <w:sz w:val="20"/>
          <w:szCs w:val="20"/>
        </w:rPr>
        <w:br/>
      </w:r>
      <w:r>
        <w:rPr>
          <w:sz w:val="20"/>
          <w:szCs w:val="20"/>
        </w:rPr>
        <w:t xml:space="preserve">Le sac folliculaire s’organise en strates cellulaires </w:t>
      </w:r>
    </w:p>
    <w:p w:rsidR="00C07A11" w:rsidRDefault="001B1751" w:rsidP="001B1751">
      <w:pPr>
        <w:pStyle w:val="Paragraphedeliste"/>
        <w:numPr>
          <w:ilvl w:val="0"/>
          <w:numId w:val="7"/>
        </w:numPr>
        <w:rPr>
          <w:sz w:val="20"/>
          <w:szCs w:val="20"/>
          <w:u w:val="single"/>
        </w:rPr>
      </w:pPr>
      <w:r w:rsidRPr="001B1751">
        <w:rPr>
          <w:sz w:val="20"/>
          <w:szCs w:val="20"/>
          <w:u w:val="single"/>
        </w:rPr>
        <w:t>Stade de cloche</w:t>
      </w:r>
    </w:p>
    <w:p w:rsidR="001B1751" w:rsidRDefault="00882CF9" w:rsidP="001B1751">
      <w:pPr>
        <w:rPr>
          <w:sz w:val="20"/>
          <w:szCs w:val="20"/>
        </w:rPr>
      </w:pPr>
      <w:bookmarkStart w:id="0" w:name="_GoBack"/>
      <w:r>
        <w:rPr>
          <w:noProof/>
          <w:sz w:val="20"/>
          <w:szCs w:val="20"/>
          <w:lang w:eastAsia="fr-FR"/>
        </w:rPr>
        <w:drawing>
          <wp:anchor distT="0" distB="0" distL="114300" distR="114300" simplePos="0" relativeHeight="251665408" behindDoc="1" locked="0" layoutInCell="1" allowOverlap="1" wp14:anchorId="421CBDA0" wp14:editId="63A38787">
            <wp:simplePos x="0" y="0"/>
            <wp:positionH relativeFrom="column">
              <wp:posOffset>4805680</wp:posOffset>
            </wp:positionH>
            <wp:positionV relativeFrom="paragraph">
              <wp:posOffset>124460</wp:posOffset>
            </wp:positionV>
            <wp:extent cx="1762125" cy="2362200"/>
            <wp:effectExtent l="0" t="0" r="9525" b="0"/>
            <wp:wrapTight wrapText="bothSides">
              <wp:wrapPolygon edited="0">
                <wp:start x="0" y="0"/>
                <wp:lineTo x="0" y="21426"/>
                <wp:lineTo x="21483" y="21426"/>
                <wp:lineTo x="21483"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2125" cy="2362200"/>
                    </a:xfrm>
                    <a:prstGeom prst="rect">
                      <a:avLst/>
                    </a:prstGeom>
                    <a:noFill/>
                    <a:ln>
                      <a:noFill/>
                    </a:ln>
                  </pic:spPr>
                </pic:pic>
              </a:graphicData>
            </a:graphic>
          </wp:anchor>
        </w:drawing>
      </w:r>
      <w:bookmarkEnd w:id="0"/>
      <w:r w:rsidR="00270ABD" w:rsidRPr="001B1751">
        <w:rPr>
          <w:b/>
          <w:sz w:val="20"/>
          <w:szCs w:val="20"/>
        </w:rPr>
        <w:t>Partie</w:t>
      </w:r>
      <w:r w:rsidR="001B1751" w:rsidRPr="001B1751">
        <w:rPr>
          <w:b/>
          <w:sz w:val="20"/>
          <w:szCs w:val="20"/>
        </w:rPr>
        <w:t xml:space="preserve"> épithéliale </w:t>
      </w:r>
      <w:r w:rsidR="001B1751">
        <w:rPr>
          <w:b/>
          <w:sz w:val="20"/>
          <w:szCs w:val="20"/>
        </w:rPr>
        <w:br/>
      </w:r>
      <w:r w:rsidR="001B1751" w:rsidRPr="001B1751">
        <w:rPr>
          <w:sz w:val="20"/>
          <w:szCs w:val="20"/>
        </w:rPr>
        <w:sym w:font="Wingdings" w:char="F0E0"/>
      </w:r>
      <w:r w:rsidR="001B1751">
        <w:rPr>
          <w:sz w:val="20"/>
          <w:szCs w:val="20"/>
        </w:rPr>
        <w:t xml:space="preserve"> Le stratum intermédium apparaît entre le RE et l’EDI </w:t>
      </w:r>
      <w:r w:rsidR="001B1751">
        <w:rPr>
          <w:sz w:val="20"/>
          <w:szCs w:val="20"/>
        </w:rPr>
        <w:br/>
        <w:t xml:space="preserve">Les Nœuds d’émail Secondaires </w:t>
      </w:r>
      <w:r w:rsidR="00270ABD">
        <w:rPr>
          <w:sz w:val="20"/>
          <w:szCs w:val="20"/>
        </w:rPr>
        <w:t>(NES</w:t>
      </w:r>
      <w:r w:rsidR="001B1751">
        <w:rPr>
          <w:sz w:val="20"/>
          <w:szCs w:val="20"/>
        </w:rPr>
        <w:t xml:space="preserve">) apparaissent </w:t>
      </w:r>
      <w:r w:rsidR="00270ABD">
        <w:rPr>
          <w:sz w:val="20"/>
          <w:szCs w:val="20"/>
        </w:rPr>
        <w:t>(elles</w:t>
      </w:r>
      <w:r w:rsidR="001B1751">
        <w:rPr>
          <w:sz w:val="20"/>
          <w:szCs w:val="20"/>
        </w:rPr>
        <w:t xml:space="preserve"> donneront plus tard les </w:t>
      </w:r>
      <w:r w:rsidR="00270ABD">
        <w:rPr>
          <w:sz w:val="20"/>
          <w:szCs w:val="20"/>
        </w:rPr>
        <w:t>cuspides)</w:t>
      </w:r>
      <w:r w:rsidR="001B1751">
        <w:rPr>
          <w:sz w:val="20"/>
          <w:szCs w:val="20"/>
        </w:rPr>
        <w:t xml:space="preserve"> </w:t>
      </w:r>
      <w:r w:rsidR="001B1751">
        <w:rPr>
          <w:sz w:val="20"/>
          <w:szCs w:val="20"/>
        </w:rPr>
        <w:br/>
        <w:t xml:space="preserve">EDI : les cellules s’allongent encore plus : elles donnent les améloblastes </w:t>
      </w:r>
      <w:r w:rsidR="001B1751">
        <w:rPr>
          <w:sz w:val="20"/>
          <w:szCs w:val="20"/>
        </w:rPr>
        <w:br/>
      </w:r>
      <w:r w:rsidR="00270ABD">
        <w:rPr>
          <w:sz w:val="20"/>
          <w:szCs w:val="20"/>
        </w:rPr>
        <w:t>Accolement</w:t>
      </w:r>
      <w:r w:rsidR="001B1751">
        <w:rPr>
          <w:sz w:val="20"/>
          <w:szCs w:val="20"/>
        </w:rPr>
        <w:t xml:space="preserve"> périphérique de l’EDE et EDI = donne la gaine d’Hertwig </w:t>
      </w:r>
    </w:p>
    <w:p w:rsidR="001B1751" w:rsidRDefault="001B1751" w:rsidP="001B1751">
      <w:pPr>
        <w:rPr>
          <w:sz w:val="20"/>
          <w:szCs w:val="20"/>
        </w:rPr>
      </w:pPr>
      <w:r w:rsidRPr="001B1751">
        <w:rPr>
          <w:b/>
          <w:sz w:val="20"/>
          <w:szCs w:val="20"/>
        </w:rPr>
        <w:t xml:space="preserve">Partie ectomésenchymateuse </w:t>
      </w:r>
      <w:r>
        <w:rPr>
          <w:b/>
          <w:sz w:val="20"/>
          <w:szCs w:val="20"/>
        </w:rPr>
        <w:br/>
      </w:r>
      <w:r w:rsidRPr="001B1751">
        <w:rPr>
          <w:sz w:val="20"/>
          <w:szCs w:val="20"/>
        </w:rPr>
        <w:sym w:font="Wingdings" w:char="F0E0"/>
      </w:r>
      <w:r>
        <w:rPr>
          <w:sz w:val="20"/>
          <w:szCs w:val="20"/>
        </w:rPr>
        <w:t xml:space="preserve"> L’innervation et la vascularisation se développent </w:t>
      </w:r>
      <w:r>
        <w:rPr>
          <w:sz w:val="20"/>
          <w:szCs w:val="20"/>
        </w:rPr>
        <w:br/>
        <w:t xml:space="preserve">Des cellules en face de l’EDI se </w:t>
      </w:r>
      <w:r w:rsidR="00270ABD">
        <w:rPr>
          <w:sz w:val="20"/>
          <w:szCs w:val="20"/>
        </w:rPr>
        <w:t>développent</w:t>
      </w:r>
      <w:r>
        <w:rPr>
          <w:sz w:val="20"/>
          <w:szCs w:val="20"/>
        </w:rPr>
        <w:t xml:space="preserve"> et se différencient en Odontoblastes </w:t>
      </w:r>
      <w:r>
        <w:rPr>
          <w:sz w:val="20"/>
          <w:szCs w:val="20"/>
        </w:rPr>
        <w:br/>
        <w:t xml:space="preserve">La gouttière pré-osseuse </w:t>
      </w:r>
      <w:r w:rsidR="00270ABD">
        <w:rPr>
          <w:sz w:val="20"/>
          <w:szCs w:val="20"/>
        </w:rPr>
        <w:t>préexistante</w:t>
      </w:r>
      <w:r>
        <w:rPr>
          <w:sz w:val="20"/>
          <w:szCs w:val="20"/>
        </w:rPr>
        <w:t xml:space="preserve"> forment des cryptes osseuses dans lesquelles chaque dent est individualisée </w:t>
      </w:r>
    </w:p>
    <w:p w:rsidR="001B1751" w:rsidRPr="00270ABD" w:rsidRDefault="001B1751" w:rsidP="001B1751">
      <w:pPr>
        <w:rPr>
          <w:b/>
          <w:sz w:val="20"/>
          <w:szCs w:val="20"/>
        </w:rPr>
      </w:pPr>
      <w:r w:rsidRPr="001B1751">
        <w:rPr>
          <w:b/>
          <w:sz w:val="20"/>
          <w:szCs w:val="20"/>
        </w:rPr>
        <w:t>Partie Périphérique</w:t>
      </w:r>
      <w:r>
        <w:rPr>
          <w:b/>
          <w:sz w:val="20"/>
          <w:szCs w:val="20"/>
        </w:rPr>
        <w:br/>
      </w:r>
      <w:r>
        <w:rPr>
          <w:sz w:val="20"/>
          <w:szCs w:val="20"/>
        </w:rPr>
        <w:t>Le sac folliculaire donnera le desmodonte = ligament parodontal= ligament dento-alvéolaire</w:t>
      </w:r>
      <w:r>
        <w:rPr>
          <w:sz w:val="20"/>
          <w:szCs w:val="20"/>
        </w:rPr>
        <w:br/>
        <w:t xml:space="preserve">C’est au stade de cloche que se forme la lame dentaire secondaire </w:t>
      </w:r>
      <w:r w:rsidR="00270ABD">
        <w:rPr>
          <w:sz w:val="20"/>
          <w:szCs w:val="20"/>
        </w:rPr>
        <w:t>(germes</w:t>
      </w:r>
      <w:r>
        <w:rPr>
          <w:sz w:val="20"/>
          <w:szCs w:val="20"/>
        </w:rPr>
        <w:t xml:space="preserve"> des dents </w:t>
      </w:r>
      <w:r w:rsidR="00270ABD">
        <w:rPr>
          <w:sz w:val="20"/>
          <w:szCs w:val="20"/>
        </w:rPr>
        <w:t>permanentes)</w:t>
      </w:r>
      <w:r>
        <w:rPr>
          <w:sz w:val="20"/>
          <w:szCs w:val="20"/>
        </w:rPr>
        <w:t xml:space="preserve"> chez l’être humain </w:t>
      </w:r>
      <w:r>
        <w:rPr>
          <w:sz w:val="20"/>
          <w:szCs w:val="20"/>
        </w:rPr>
        <w:br/>
      </w:r>
      <w:r w:rsidRPr="00270ABD">
        <w:rPr>
          <w:b/>
          <w:sz w:val="20"/>
          <w:szCs w:val="20"/>
        </w:rPr>
        <w:t xml:space="preserve">Il se forme une lame dentaire secondaire à partir de la lame dentaire primaire de chacun des germes </w:t>
      </w:r>
      <w:r w:rsidRPr="00270ABD">
        <w:rPr>
          <w:b/>
          <w:sz w:val="20"/>
          <w:szCs w:val="20"/>
        </w:rPr>
        <w:lastRenderedPageBreak/>
        <w:t xml:space="preserve">temporaire sauf les 4 </w:t>
      </w:r>
      <w:r w:rsidR="00270ABD" w:rsidRPr="00270ABD">
        <w:rPr>
          <w:b/>
          <w:sz w:val="20"/>
          <w:szCs w:val="20"/>
        </w:rPr>
        <w:t>dernières</w:t>
      </w:r>
      <w:r w:rsidRPr="00270ABD">
        <w:rPr>
          <w:b/>
          <w:sz w:val="20"/>
          <w:szCs w:val="20"/>
        </w:rPr>
        <w:t xml:space="preserve"> dents qui proviennent de la lame dentaire primaire de la </w:t>
      </w:r>
      <w:r w:rsidR="00270ABD" w:rsidRPr="00270ABD">
        <w:rPr>
          <w:b/>
          <w:sz w:val="20"/>
          <w:szCs w:val="20"/>
        </w:rPr>
        <w:t>dernière</w:t>
      </w:r>
      <w:r w:rsidRPr="00270ABD">
        <w:rPr>
          <w:b/>
          <w:sz w:val="20"/>
          <w:szCs w:val="20"/>
        </w:rPr>
        <w:t xml:space="preserve"> dent lactéal </w:t>
      </w:r>
      <w:r w:rsidR="00270ABD">
        <w:rPr>
          <w:b/>
          <w:sz w:val="20"/>
          <w:szCs w:val="20"/>
        </w:rPr>
        <w:t>/ ! \</w:t>
      </w:r>
    </w:p>
    <w:p w:rsidR="001B1751" w:rsidRDefault="001A12E6" w:rsidP="001A12E6">
      <w:pPr>
        <w:pStyle w:val="Paragraphedeliste"/>
        <w:numPr>
          <w:ilvl w:val="0"/>
          <w:numId w:val="1"/>
        </w:numPr>
        <w:rPr>
          <w:b/>
          <w:sz w:val="24"/>
          <w:szCs w:val="24"/>
          <w:u w:val="single"/>
        </w:rPr>
      </w:pPr>
      <w:r w:rsidRPr="001A12E6">
        <w:rPr>
          <w:b/>
          <w:sz w:val="24"/>
          <w:szCs w:val="24"/>
          <w:u w:val="single"/>
        </w:rPr>
        <w:t>Déterminants de la morphogénèse dentaire</w:t>
      </w:r>
    </w:p>
    <w:p w:rsidR="001A12E6" w:rsidRDefault="007458D3" w:rsidP="001A12E6">
      <w:pPr>
        <w:rPr>
          <w:sz w:val="20"/>
          <w:szCs w:val="20"/>
        </w:rPr>
      </w:pPr>
      <w:r>
        <w:rPr>
          <w:sz w:val="20"/>
          <w:szCs w:val="20"/>
        </w:rPr>
        <w:t xml:space="preserve">La </w:t>
      </w:r>
      <w:r w:rsidR="00270ABD">
        <w:rPr>
          <w:sz w:val="20"/>
          <w:szCs w:val="20"/>
        </w:rPr>
        <w:t>morphogénèse</w:t>
      </w:r>
      <w:r>
        <w:rPr>
          <w:sz w:val="20"/>
          <w:szCs w:val="20"/>
        </w:rPr>
        <w:t xml:space="preserve"> est déterminée précocement </w:t>
      </w:r>
      <w:r w:rsidR="00270ABD">
        <w:rPr>
          <w:sz w:val="20"/>
          <w:szCs w:val="20"/>
        </w:rPr>
        <w:t>grâce</w:t>
      </w:r>
      <w:r>
        <w:rPr>
          <w:sz w:val="20"/>
          <w:szCs w:val="20"/>
        </w:rPr>
        <w:t xml:space="preserve"> à l’initiation effectué par les homéocodes </w:t>
      </w:r>
      <w:r>
        <w:rPr>
          <w:sz w:val="20"/>
          <w:szCs w:val="20"/>
        </w:rPr>
        <w:br/>
        <w:t xml:space="preserve">La croissance est ensuite différentiel par la mise en place de 3 centres de signalisation </w:t>
      </w:r>
      <w:r w:rsidR="00270ABD">
        <w:rPr>
          <w:sz w:val="20"/>
          <w:szCs w:val="20"/>
        </w:rPr>
        <w:t>épithéliaux</w:t>
      </w:r>
      <w:r>
        <w:rPr>
          <w:sz w:val="20"/>
          <w:szCs w:val="20"/>
        </w:rPr>
        <w:t xml:space="preserve"> </w:t>
      </w:r>
    </w:p>
    <w:p w:rsidR="00424F36" w:rsidRDefault="00424F36" w:rsidP="001A12E6">
      <w:pPr>
        <w:rPr>
          <w:sz w:val="20"/>
          <w:szCs w:val="20"/>
        </w:rPr>
      </w:pPr>
    </w:p>
    <w:p w:rsidR="007458D3" w:rsidRDefault="007458D3" w:rsidP="007458D3">
      <w:pPr>
        <w:pStyle w:val="Paragraphedeliste"/>
        <w:numPr>
          <w:ilvl w:val="0"/>
          <w:numId w:val="13"/>
        </w:numPr>
        <w:rPr>
          <w:sz w:val="20"/>
          <w:szCs w:val="20"/>
        </w:rPr>
      </w:pPr>
      <w:r>
        <w:rPr>
          <w:sz w:val="20"/>
          <w:szCs w:val="20"/>
        </w:rPr>
        <w:t xml:space="preserve">Centre de signalisation </w:t>
      </w:r>
    </w:p>
    <w:p w:rsidR="007458D3" w:rsidRDefault="00270ABD" w:rsidP="007458D3">
      <w:pPr>
        <w:rPr>
          <w:sz w:val="20"/>
          <w:szCs w:val="20"/>
        </w:rPr>
      </w:pPr>
      <w:r>
        <w:rPr>
          <w:sz w:val="20"/>
          <w:szCs w:val="20"/>
        </w:rPr>
        <w:t>Le</w:t>
      </w:r>
      <w:r w:rsidR="007458D3">
        <w:rPr>
          <w:sz w:val="20"/>
          <w:szCs w:val="20"/>
        </w:rPr>
        <w:t xml:space="preserve"> développement histologique du germe dentaire est intimement lié à la formation de centres de signalisation qui au niveau dentaire sont appelés centre de signalisation </w:t>
      </w:r>
      <w:r>
        <w:rPr>
          <w:sz w:val="20"/>
          <w:szCs w:val="20"/>
        </w:rPr>
        <w:t>précoce,</w:t>
      </w:r>
      <w:r w:rsidR="00424F36">
        <w:rPr>
          <w:sz w:val="20"/>
          <w:szCs w:val="20"/>
        </w:rPr>
        <w:t xml:space="preserve"> NEP et NES </w:t>
      </w:r>
    </w:p>
    <w:p w:rsidR="00424F36" w:rsidRDefault="00424F36" w:rsidP="007458D3">
      <w:pPr>
        <w:rPr>
          <w:sz w:val="20"/>
          <w:szCs w:val="20"/>
        </w:rPr>
      </w:pPr>
      <w:r>
        <w:rPr>
          <w:sz w:val="20"/>
          <w:szCs w:val="20"/>
        </w:rPr>
        <w:t>Un centre de signalisation est une structure cellulaire transitoire responsable de la synthèse de facteur de transcription et de molécules de signalisation déterminant localement l’activité cellulaire d’un territoire tissulaire.</w:t>
      </w:r>
      <w:r>
        <w:rPr>
          <w:sz w:val="20"/>
          <w:szCs w:val="20"/>
        </w:rPr>
        <w:br/>
        <w:t xml:space="preserve">Au niveau du germe dentaire il y en a 3 : </w:t>
      </w:r>
    </w:p>
    <w:p w:rsidR="00424F36" w:rsidRDefault="00424F36" w:rsidP="00424F36">
      <w:pPr>
        <w:pStyle w:val="Paragraphedeliste"/>
        <w:numPr>
          <w:ilvl w:val="0"/>
          <w:numId w:val="14"/>
        </w:numPr>
        <w:rPr>
          <w:sz w:val="20"/>
          <w:szCs w:val="20"/>
        </w:rPr>
      </w:pPr>
      <w:r>
        <w:rPr>
          <w:sz w:val="20"/>
          <w:szCs w:val="20"/>
        </w:rPr>
        <w:t xml:space="preserve">Un </w:t>
      </w:r>
      <w:r w:rsidRPr="00424F36">
        <w:rPr>
          <w:b/>
          <w:sz w:val="20"/>
          <w:szCs w:val="20"/>
        </w:rPr>
        <w:t xml:space="preserve">centre </w:t>
      </w:r>
      <w:r w:rsidR="00270ABD" w:rsidRPr="00424F36">
        <w:rPr>
          <w:b/>
          <w:sz w:val="20"/>
          <w:szCs w:val="20"/>
        </w:rPr>
        <w:t>précoce</w:t>
      </w:r>
      <w:r>
        <w:rPr>
          <w:sz w:val="20"/>
          <w:szCs w:val="20"/>
        </w:rPr>
        <w:t xml:space="preserve"> </w:t>
      </w:r>
      <w:r w:rsidR="00270ABD">
        <w:rPr>
          <w:sz w:val="20"/>
          <w:szCs w:val="20"/>
        </w:rPr>
        <w:t>(au</w:t>
      </w:r>
      <w:r>
        <w:rPr>
          <w:sz w:val="20"/>
          <w:szCs w:val="20"/>
        </w:rPr>
        <w:t xml:space="preserve"> niveau de la lame dentaire, permettant le bourgeonnement épithélial et la formation de </w:t>
      </w:r>
      <w:proofErr w:type="spellStart"/>
      <w:r w:rsidR="00270ABD">
        <w:rPr>
          <w:sz w:val="20"/>
          <w:szCs w:val="20"/>
        </w:rPr>
        <w:t>placode</w:t>
      </w:r>
      <w:proofErr w:type="spellEnd"/>
      <w:r w:rsidR="00270ABD">
        <w:rPr>
          <w:sz w:val="20"/>
          <w:szCs w:val="20"/>
        </w:rPr>
        <w:t>)</w:t>
      </w:r>
    </w:p>
    <w:p w:rsidR="00424F36" w:rsidRDefault="00424F36" w:rsidP="00424F36">
      <w:pPr>
        <w:pStyle w:val="Paragraphedeliste"/>
        <w:numPr>
          <w:ilvl w:val="0"/>
          <w:numId w:val="14"/>
        </w:numPr>
        <w:rPr>
          <w:sz w:val="20"/>
          <w:szCs w:val="20"/>
        </w:rPr>
      </w:pPr>
      <w:r>
        <w:rPr>
          <w:sz w:val="20"/>
          <w:szCs w:val="20"/>
        </w:rPr>
        <w:t xml:space="preserve">Un second centre : </w:t>
      </w:r>
      <w:r w:rsidRPr="00424F36">
        <w:rPr>
          <w:b/>
          <w:sz w:val="20"/>
          <w:szCs w:val="20"/>
        </w:rPr>
        <w:t>NEP</w:t>
      </w:r>
      <w:r>
        <w:rPr>
          <w:sz w:val="20"/>
          <w:szCs w:val="20"/>
        </w:rPr>
        <w:t xml:space="preserve"> </w:t>
      </w:r>
      <w:r w:rsidR="00270ABD">
        <w:rPr>
          <w:sz w:val="20"/>
          <w:szCs w:val="20"/>
        </w:rPr>
        <w:t>(apparait</w:t>
      </w:r>
      <w:r>
        <w:rPr>
          <w:sz w:val="20"/>
          <w:szCs w:val="20"/>
        </w:rPr>
        <w:t xml:space="preserve"> au stade terminal de bourgeon actif 24-36h et disparait début de la cupule) Il y en a </w:t>
      </w:r>
      <w:r w:rsidRPr="00424F36">
        <w:rPr>
          <w:b/>
          <w:sz w:val="20"/>
          <w:szCs w:val="20"/>
        </w:rPr>
        <w:t>UN seul PAR DENT</w:t>
      </w:r>
      <w:r>
        <w:rPr>
          <w:sz w:val="20"/>
          <w:szCs w:val="20"/>
        </w:rPr>
        <w:t xml:space="preserve"> </w:t>
      </w:r>
    </w:p>
    <w:p w:rsidR="00424F36" w:rsidRDefault="00424F36" w:rsidP="00424F36">
      <w:pPr>
        <w:pStyle w:val="Paragraphedeliste"/>
        <w:numPr>
          <w:ilvl w:val="0"/>
          <w:numId w:val="14"/>
        </w:numPr>
        <w:rPr>
          <w:sz w:val="20"/>
          <w:szCs w:val="20"/>
        </w:rPr>
      </w:pPr>
      <w:r>
        <w:rPr>
          <w:sz w:val="20"/>
          <w:szCs w:val="20"/>
        </w:rPr>
        <w:t xml:space="preserve">Troisième centre : </w:t>
      </w:r>
      <w:r w:rsidRPr="00424F36">
        <w:rPr>
          <w:b/>
          <w:sz w:val="20"/>
          <w:szCs w:val="20"/>
        </w:rPr>
        <w:t>NES</w:t>
      </w:r>
      <w:r>
        <w:rPr>
          <w:sz w:val="20"/>
          <w:szCs w:val="20"/>
        </w:rPr>
        <w:t xml:space="preserve"> </w:t>
      </w:r>
      <w:r w:rsidR="00270ABD">
        <w:rPr>
          <w:sz w:val="20"/>
          <w:szCs w:val="20"/>
        </w:rPr>
        <w:t>(apparait</w:t>
      </w:r>
      <w:r>
        <w:rPr>
          <w:sz w:val="20"/>
          <w:szCs w:val="20"/>
        </w:rPr>
        <w:t xml:space="preserve"> au stade de </w:t>
      </w:r>
      <w:r w:rsidR="00270ABD">
        <w:rPr>
          <w:sz w:val="20"/>
          <w:szCs w:val="20"/>
        </w:rPr>
        <w:t>cloche)</w:t>
      </w:r>
      <w:r>
        <w:rPr>
          <w:sz w:val="20"/>
          <w:szCs w:val="20"/>
        </w:rPr>
        <w:t xml:space="preserve">. Leur nombre </w:t>
      </w:r>
      <w:r w:rsidR="00270ABD">
        <w:rPr>
          <w:sz w:val="20"/>
          <w:szCs w:val="20"/>
        </w:rPr>
        <w:t>dépend</w:t>
      </w:r>
      <w:r>
        <w:rPr>
          <w:sz w:val="20"/>
          <w:szCs w:val="20"/>
        </w:rPr>
        <w:t xml:space="preserve"> du nombre de cuspides. Elle </w:t>
      </w:r>
      <w:r w:rsidR="00270ABD" w:rsidRPr="00424F36">
        <w:rPr>
          <w:b/>
          <w:sz w:val="20"/>
          <w:szCs w:val="20"/>
        </w:rPr>
        <w:t>détermine</w:t>
      </w:r>
      <w:r w:rsidRPr="00424F36">
        <w:rPr>
          <w:b/>
          <w:sz w:val="20"/>
          <w:szCs w:val="20"/>
        </w:rPr>
        <w:t xml:space="preserve"> la morphologie dentaire</w:t>
      </w:r>
      <w:r>
        <w:rPr>
          <w:sz w:val="20"/>
          <w:szCs w:val="20"/>
        </w:rPr>
        <w:t xml:space="preserve">. A partir de ces </w:t>
      </w:r>
      <w:r w:rsidR="00270ABD">
        <w:rPr>
          <w:sz w:val="20"/>
          <w:szCs w:val="20"/>
        </w:rPr>
        <w:t>NES,</w:t>
      </w:r>
      <w:r>
        <w:rPr>
          <w:sz w:val="20"/>
          <w:szCs w:val="20"/>
        </w:rPr>
        <w:t xml:space="preserve"> vont s’effectuer les phénomènes de diffusion cellulaire. En son sein, des molécules vont diffuser pour soit stimuler la prolifération de l’ectomésenchyme ou de l’épithélium, soit stimuler l’apoptose au niveau du NES</w:t>
      </w:r>
    </w:p>
    <w:p w:rsidR="00424F36" w:rsidRDefault="00424F36" w:rsidP="00424F36">
      <w:pPr>
        <w:rPr>
          <w:sz w:val="20"/>
          <w:szCs w:val="20"/>
        </w:rPr>
      </w:pPr>
    </w:p>
    <w:p w:rsidR="00424F36" w:rsidRDefault="00424F36" w:rsidP="00424F36">
      <w:pPr>
        <w:pStyle w:val="Paragraphedeliste"/>
        <w:numPr>
          <w:ilvl w:val="0"/>
          <w:numId w:val="13"/>
        </w:numPr>
        <w:rPr>
          <w:sz w:val="20"/>
          <w:szCs w:val="20"/>
        </w:rPr>
      </w:pPr>
      <w:r>
        <w:rPr>
          <w:sz w:val="20"/>
          <w:szCs w:val="20"/>
        </w:rPr>
        <w:t xml:space="preserve">Morphologie et cinétique de formation de pointes cuspidiennes </w:t>
      </w:r>
    </w:p>
    <w:p w:rsidR="000732A2" w:rsidRDefault="00424F36" w:rsidP="00424F36">
      <w:pPr>
        <w:rPr>
          <w:sz w:val="20"/>
          <w:szCs w:val="20"/>
        </w:rPr>
      </w:pPr>
      <w:r>
        <w:rPr>
          <w:sz w:val="20"/>
          <w:szCs w:val="20"/>
        </w:rPr>
        <w:t xml:space="preserve">C’est au stade de cloche que l’acquisition de la morphologie se </w:t>
      </w:r>
      <w:r w:rsidR="00270ABD">
        <w:rPr>
          <w:sz w:val="20"/>
          <w:szCs w:val="20"/>
        </w:rPr>
        <w:t>fait.</w:t>
      </w:r>
      <w:r>
        <w:rPr>
          <w:sz w:val="20"/>
          <w:szCs w:val="20"/>
        </w:rPr>
        <w:br/>
        <w:t xml:space="preserve">A un moment donné, un endroit donné de l’EDI va sortir du cycle mitotique, ceci va entrainer une croissance différentiel de la cloche et donc former des plis </w:t>
      </w:r>
      <w:r>
        <w:rPr>
          <w:sz w:val="20"/>
          <w:szCs w:val="20"/>
        </w:rPr>
        <w:br/>
        <w:t xml:space="preserve">Ces plis de plus en plus prononcés au fur et à mesure que le reste de la cloche prolifère, vont former des pointes cuspidiennes </w:t>
      </w:r>
      <w:r>
        <w:rPr>
          <w:sz w:val="20"/>
          <w:szCs w:val="20"/>
        </w:rPr>
        <w:br/>
        <w:t xml:space="preserve">Les différentes zones d’arrêt de prolifération </w:t>
      </w:r>
      <w:r w:rsidR="000732A2">
        <w:rPr>
          <w:sz w:val="20"/>
          <w:szCs w:val="20"/>
        </w:rPr>
        <w:t>cellulaire n’étant pas synchrone, la formation des cuspides est différentes ( le 1</w:t>
      </w:r>
      <w:r w:rsidR="000732A2" w:rsidRPr="000732A2">
        <w:rPr>
          <w:sz w:val="20"/>
          <w:szCs w:val="20"/>
          <w:vertAlign w:val="superscript"/>
        </w:rPr>
        <w:t>er</w:t>
      </w:r>
      <w:r w:rsidR="000732A2">
        <w:rPr>
          <w:sz w:val="20"/>
          <w:szCs w:val="20"/>
        </w:rPr>
        <w:t xml:space="preserve"> pli formant la cuspide la plus haute ) </w:t>
      </w:r>
    </w:p>
    <w:p w:rsidR="000732A2" w:rsidRDefault="000732A2" w:rsidP="000732A2">
      <w:pPr>
        <w:pStyle w:val="Paragraphedeliste"/>
        <w:numPr>
          <w:ilvl w:val="0"/>
          <w:numId w:val="13"/>
        </w:numPr>
        <w:rPr>
          <w:sz w:val="20"/>
          <w:szCs w:val="20"/>
        </w:rPr>
      </w:pPr>
      <w:r>
        <w:rPr>
          <w:sz w:val="20"/>
          <w:szCs w:val="20"/>
        </w:rPr>
        <w:t xml:space="preserve">Théorie du module </w:t>
      </w:r>
    </w:p>
    <w:p w:rsidR="000732A2" w:rsidRDefault="000732A2" w:rsidP="000732A2">
      <w:pPr>
        <w:rPr>
          <w:sz w:val="20"/>
          <w:szCs w:val="20"/>
        </w:rPr>
      </w:pPr>
      <w:r>
        <w:rPr>
          <w:sz w:val="20"/>
          <w:szCs w:val="20"/>
        </w:rPr>
        <w:t xml:space="preserve">Elle a été </w:t>
      </w:r>
      <w:r w:rsidR="00270ABD">
        <w:rPr>
          <w:sz w:val="20"/>
          <w:szCs w:val="20"/>
        </w:rPr>
        <w:t>établie</w:t>
      </w:r>
      <w:r>
        <w:rPr>
          <w:sz w:val="20"/>
          <w:szCs w:val="20"/>
        </w:rPr>
        <w:t xml:space="preserve"> par </w:t>
      </w:r>
      <w:proofErr w:type="spellStart"/>
      <w:r>
        <w:rPr>
          <w:sz w:val="20"/>
          <w:szCs w:val="20"/>
        </w:rPr>
        <w:t>Jernvall</w:t>
      </w:r>
      <w:proofErr w:type="spellEnd"/>
      <w:r>
        <w:rPr>
          <w:sz w:val="20"/>
          <w:szCs w:val="20"/>
        </w:rPr>
        <w:t xml:space="preserve"> et Thesleff en 2000 et toujours d’actualité.</w:t>
      </w:r>
      <w:r>
        <w:rPr>
          <w:sz w:val="20"/>
          <w:szCs w:val="20"/>
        </w:rPr>
        <w:br/>
      </w:r>
      <w:r w:rsidR="00270ABD">
        <w:rPr>
          <w:sz w:val="20"/>
          <w:szCs w:val="20"/>
        </w:rPr>
        <w:t>Ils</w:t>
      </w:r>
      <w:r>
        <w:rPr>
          <w:sz w:val="20"/>
          <w:szCs w:val="20"/>
        </w:rPr>
        <w:t xml:space="preserve"> ont identifié un module commun de signalisation à toutes les dents formé de l’interaction épithélio-mésenchymateuse </w:t>
      </w:r>
      <w:r>
        <w:rPr>
          <w:sz w:val="20"/>
          <w:szCs w:val="20"/>
        </w:rPr>
        <w:br/>
        <w:t xml:space="preserve">La répétition de ce module permettrait la mise en place à la fois du </w:t>
      </w:r>
      <w:r w:rsidR="00270ABD">
        <w:rPr>
          <w:sz w:val="20"/>
          <w:szCs w:val="20"/>
        </w:rPr>
        <w:t>site,</w:t>
      </w:r>
      <w:r>
        <w:rPr>
          <w:sz w:val="20"/>
          <w:szCs w:val="20"/>
        </w:rPr>
        <w:t xml:space="preserve"> de l’</w:t>
      </w:r>
      <w:r w:rsidR="00270ABD">
        <w:rPr>
          <w:sz w:val="20"/>
          <w:szCs w:val="20"/>
        </w:rPr>
        <w:t>identité</w:t>
      </w:r>
      <w:r>
        <w:rPr>
          <w:sz w:val="20"/>
          <w:szCs w:val="20"/>
        </w:rPr>
        <w:t xml:space="preserve"> et de la morphologie dentaire </w:t>
      </w:r>
    </w:p>
    <w:p w:rsidR="000732A2" w:rsidRDefault="000732A2" w:rsidP="000732A2">
      <w:pPr>
        <w:rPr>
          <w:sz w:val="20"/>
          <w:szCs w:val="20"/>
        </w:rPr>
      </w:pPr>
      <w:r>
        <w:rPr>
          <w:sz w:val="20"/>
          <w:szCs w:val="20"/>
        </w:rPr>
        <w:t>Etapes et action du module :</w:t>
      </w:r>
    </w:p>
    <w:p w:rsidR="000732A2" w:rsidRDefault="000732A2" w:rsidP="000732A2">
      <w:pPr>
        <w:pStyle w:val="Paragraphedeliste"/>
        <w:numPr>
          <w:ilvl w:val="0"/>
          <w:numId w:val="15"/>
        </w:numPr>
        <w:rPr>
          <w:sz w:val="20"/>
          <w:szCs w:val="20"/>
        </w:rPr>
      </w:pPr>
      <w:r>
        <w:rPr>
          <w:sz w:val="20"/>
          <w:szCs w:val="20"/>
        </w:rPr>
        <w:t xml:space="preserve">Le module met en place une région à potentiel odontogénique </w:t>
      </w:r>
    </w:p>
    <w:p w:rsidR="000732A2" w:rsidRDefault="000732A2" w:rsidP="000732A2">
      <w:pPr>
        <w:pStyle w:val="Paragraphedeliste"/>
        <w:rPr>
          <w:sz w:val="20"/>
          <w:szCs w:val="20"/>
        </w:rPr>
      </w:pPr>
      <w:r>
        <w:rPr>
          <w:sz w:val="20"/>
          <w:szCs w:val="20"/>
        </w:rPr>
        <w:t xml:space="preserve">Cette région mène à la formation de la lame dentaire = Stade d’INITIATION </w:t>
      </w:r>
    </w:p>
    <w:p w:rsidR="000732A2" w:rsidRDefault="000732A2" w:rsidP="000732A2">
      <w:pPr>
        <w:pStyle w:val="Paragraphedeliste"/>
        <w:rPr>
          <w:sz w:val="20"/>
          <w:szCs w:val="20"/>
        </w:rPr>
      </w:pPr>
      <w:r>
        <w:rPr>
          <w:sz w:val="20"/>
          <w:szCs w:val="20"/>
        </w:rPr>
        <w:t xml:space="preserve">Lors de l’initiation des sites différents se développent selon la localisation </w:t>
      </w:r>
      <w:r>
        <w:rPr>
          <w:sz w:val="20"/>
          <w:szCs w:val="20"/>
        </w:rPr>
        <w:br/>
      </w:r>
      <w:r w:rsidR="00270ABD">
        <w:rPr>
          <w:sz w:val="20"/>
          <w:szCs w:val="20"/>
        </w:rPr>
        <w:t>Toujours</w:t>
      </w:r>
      <w:r>
        <w:rPr>
          <w:sz w:val="20"/>
          <w:szCs w:val="20"/>
        </w:rPr>
        <w:t xml:space="preserve"> et pendant </w:t>
      </w:r>
      <w:r w:rsidR="00270ABD">
        <w:rPr>
          <w:sz w:val="20"/>
          <w:szCs w:val="20"/>
        </w:rPr>
        <w:t>l’INITIATION,</w:t>
      </w:r>
      <w:r>
        <w:rPr>
          <w:sz w:val="20"/>
          <w:szCs w:val="20"/>
        </w:rPr>
        <w:t xml:space="preserve"> sous l’influence des centres de signalisation se forment les placodes dentaires </w:t>
      </w:r>
    </w:p>
    <w:p w:rsidR="000732A2" w:rsidRDefault="000732A2" w:rsidP="000732A2">
      <w:pPr>
        <w:pStyle w:val="Paragraphedeliste"/>
        <w:rPr>
          <w:sz w:val="20"/>
          <w:szCs w:val="20"/>
        </w:rPr>
      </w:pPr>
      <w:r>
        <w:rPr>
          <w:sz w:val="20"/>
          <w:szCs w:val="20"/>
        </w:rPr>
        <w:t>Puis sous ‘induction de centre de signalisation Primaire (NEP) bourgeon arrive au stade de Cloche à la fin</w:t>
      </w:r>
    </w:p>
    <w:p w:rsidR="00424F36" w:rsidRPr="000732A2" w:rsidRDefault="000732A2" w:rsidP="000732A2">
      <w:pPr>
        <w:pStyle w:val="Paragraphedeliste"/>
        <w:rPr>
          <w:sz w:val="20"/>
          <w:szCs w:val="20"/>
        </w:rPr>
      </w:pPr>
      <w:r>
        <w:rPr>
          <w:sz w:val="20"/>
          <w:szCs w:val="20"/>
        </w:rPr>
        <w:lastRenderedPageBreak/>
        <w:t xml:space="preserve">Enfin la morphologie dentaire est acquise </w:t>
      </w:r>
      <w:r w:rsidR="00270ABD">
        <w:rPr>
          <w:sz w:val="20"/>
          <w:szCs w:val="20"/>
        </w:rPr>
        <w:t>grâce</w:t>
      </w:r>
      <w:r>
        <w:rPr>
          <w:sz w:val="20"/>
          <w:szCs w:val="20"/>
        </w:rPr>
        <w:t xml:space="preserve"> aux nœuds de </w:t>
      </w:r>
      <w:r w:rsidR="00270ABD">
        <w:rPr>
          <w:sz w:val="20"/>
          <w:szCs w:val="20"/>
        </w:rPr>
        <w:t>l’émail</w:t>
      </w:r>
      <w:r>
        <w:rPr>
          <w:sz w:val="20"/>
          <w:szCs w:val="20"/>
        </w:rPr>
        <w:t xml:space="preserve"> secondaire. </w:t>
      </w:r>
      <w:r w:rsidR="00424F36" w:rsidRPr="000732A2">
        <w:rPr>
          <w:sz w:val="20"/>
          <w:szCs w:val="20"/>
        </w:rPr>
        <w:br/>
      </w:r>
    </w:p>
    <w:p w:rsidR="00DF6482" w:rsidRPr="00DF6482" w:rsidRDefault="00DF6482" w:rsidP="00D645F6">
      <w:pPr>
        <w:rPr>
          <w:sz w:val="20"/>
          <w:szCs w:val="20"/>
        </w:rPr>
      </w:pPr>
    </w:p>
    <w:p w:rsidR="00FA591D" w:rsidRPr="00016ABA" w:rsidRDefault="00FA591D" w:rsidP="00016ABA">
      <w:pPr>
        <w:rPr>
          <w:sz w:val="18"/>
          <w:szCs w:val="18"/>
        </w:rPr>
      </w:pPr>
    </w:p>
    <w:p w:rsidR="009D14E9" w:rsidRPr="00245C51" w:rsidRDefault="009D14E9" w:rsidP="009D14E9">
      <w:pPr>
        <w:jc w:val="right"/>
        <w:rPr>
          <w:sz w:val="18"/>
          <w:szCs w:val="18"/>
        </w:rPr>
      </w:pPr>
    </w:p>
    <w:sectPr w:rsidR="009D14E9" w:rsidRPr="00245C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90B" w:rsidRDefault="009C290B" w:rsidP="00270ABD">
      <w:pPr>
        <w:spacing w:after="0" w:line="240" w:lineRule="auto"/>
      </w:pPr>
      <w:r>
        <w:separator/>
      </w:r>
    </w:p>
  </w:endnote>
  <w:endnote w:type="continuationSeparator" w:id="0">
    <w:p w:rsidR="009C290B" w:rsidRDefault="009C290B" w:rsidP="00270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90B" w:rsidRDefault="009C290B" w:rsidP="00270ABD">
      <w:pPr>
        <w:spacing w:after="0" w:line="240" w:lineRule="auto"/>
      </w:pPr>
      <w:r>
        <w:separator/>
      </w:r>
    </w:p>
  </w:footnote>
  <w:footnote w:type="continuationSeparator" w:id="0">
    <w:p w:rsidR="009C290B" w:rsidRDefault="009C290B" w:rsidP="00270A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C430A"/>
    <w:multiLevelType w:val="hybridMultilevel"/>
    <w:tmpl w:val="648CCDFE"/>
    <w:lvl w:ilvl="0" w:tplc="45FA0E7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EC375F0"/>
    <w:multiLevelType w:val="hybridMultilevel"/>
    <w:tmpl w:val="067E8CBE"/>
    <w:lvl w:ilvl="0" w:tplc="EE084EA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899610A"/>
    <w:multiLevelType w:val="hybridMultilevel"/>
    <w:tmpl w:val="6EEA83EE"/>
    <w:lvl w:ilvl="0" w:tplc="F9305F4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ABC21E6"/>
    <w:multiLevelType w:val="hybridMultilevel"/>
    <w:tmpl w:val="7506DAC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1C46ECC"/>
    <w:multiLevelType w:val="hybridMultilevel"/>
    <w:tmpl w:val="0D6C60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4247BA5"/>
    <w:multiLevelType w:val="hybridMultilevel"/>
    <w:tmpl w:val="6A885ED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2E461CB"/>
    <w:multiLevelType w:val="hybridMultilevel"/>
    <w:tmpl w:val="DF92A62C"/>
    <w:lvl w:ilvl="0" w:tplc="18D294CC">
      <w:start w:val="1"/>
      <w:numFmt w:val="lowerLetter"/>
      <w:lvlText w:val="%1)"/>
      <w:lvlJc w:val="left"/>
      <w:pPr>
        <w:ind w:left="1260" w:hanging="360"/>
      </w:pPr>
      <w:rPr>
        <w:rFonts w:hint="default"/>
        <w:u w:val="none"/>
      </w:rPr>
    </w:lvl>
    <w:lvl w:ilvl="1" w:tplc="040C0019" w:tentative="1">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7">
    <w:nsid w:val="49B739D4"/>
    <w:multiLevelType w:val="hybridMultilevel"/>
    <w:tmpl w:val="752A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D1F5EB9"/>
    <w:multiLevelType w:val="hybridMultilevel"/>
    <w:tmpl w:val="4562183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77147D5"/>
    <w:multiLevelType w:val="hybridMultilevel"/>
    <w:tmpl w:val="DBD88D8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E4D75D3"/>
    <w:multiLevelType w:val="hybridMultilevel"/>
    <w:tmpl w:val="88441A08"/>
    <w:lvl w:ilvl="0" w:tplc="B3F65B72">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EEE0B82"/>
    <w:multiLevelType w:val="hybridMultilevel"/>
    <w:tmpl w:val="B886930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E0574B8"/>
    <w:multiLevelType w:val="hybridMultilevel"/>
    <w:tmpl w:val="203876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41A5F09"/>
    <w:multiLevelType w:val="hybridMultilevel"/>
    <w:tmpl w:val="56124E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FE70718"/>
    <w:multiLevelType w:val="hybridMultilevel"/>
    <w:tmpl w:val="9962E634"/>
    <w:lvl w:ilvl="0" w:tplc="FA10C2E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2"/>
  </w:num>
  <w:num w:numId="3">
    <w:abstractNumId w:val="7"/>
  </w:num>
  <w:num w:numId="4">
    <w:abstractNumId w:val="13"/>
  </w:num>
  <w:num w:numId="5">
    <w:abstractNumId w:val="14"/>
  </w:num>
  <w:num w:numId="6">
    <w:abstractNumId w:val="0"/>
  </w:num>
  <w:num w:numId="7">
    <w:abstractNumId w:val="1"/>
  </w:num>
  <w:num w:numId="8">
    <w:abstractNumId w:val="5"/>
  </w:num>
  <w:num w:numId="9">
    <w:abstractNumId w:val="9"/>
  </w:num>
  <w:num w:numId="10">
    <w:abstractNumId w:val="6"/>
  </w:num>
  <w:num w:numId="11">
    <w:abstractNumId w:val="3"/>
  </w:num>
  <w:num w:numId="12">
    <w:abstractNumId w:val="11"/>
  </w:num>
  <w:num w:numId="13">
    <w:abstractNumId w:val="4"/>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C51"/>
    <w:rsid w:val="00016ABA"/>
    <w:rsid w:val="000732A2"/>
    <w:rsid w:val="001A12E6"/>
    <w:rsid w:val="001B1751"/>
    <w:rsid w:val="00245C51"/>
    <w:rsid w:val="00270ABD"/>
    <w:rsid w:val="00343CAF"/>
    <w:rsid w:val="00377863"/>
    <w:rsid w:val="00390299"/>
    <w:rsid w:val="00424F36"/>
    <w:rsid w:val="007458D3"/>
    <w:rsid w:val="007A42A7"/>
    <w:rsid w:val="00882CF9"/>
    <w:rsid w:val="009C290B"/>
    <w:rsid w:val="009D14E9"/>
    <w:rsid w:val="00C07A11"/>
    <w:rsid w:val="00D645F6"/>
    <w:rsid w:val="00DF6482"/>
    <w:rsid w:val="00E62062"/>
    <w:rsid w:val="00ED164D"/>
    <w:rsid w:val="00FA59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EBC991-06DB-4D09-A38D-AF8F966AA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45C51"/>
    <w:pPr>
      <w:ind w:left="720"/>
      <w:contextualSpacing/>
    </w:pPr>
  </w:style>
  <w:style w:type="paragraph" w:styleId="En-tte">
    <w:name w:val="header"/>
    <w:basedOn w:val="Normal"/>
    <w:link w:val="En-tteCar"/>
    <w:uiPriority w:val="99"/>
    <w:unhideWhenUsed/>
    <w:rsid w:val="00270ABD"/>
    <w:pPr>
      <w:tabs>
        <w:tab w:val="center" w:pos="4536"/>
        <w:tab w:val="right" w:pos="9072"/>
      </w:tabs>
      <w:spacing w:after="0" w:line="240" w:lineRule="auto"/>
    </w:pPr>
  </w:style>
  <w:style w:type="character" w:customStyle="1" w:styleId="En-tteCar">
    <w:name w:val="En-tête Car"/>
    <w:basedOn w:val="Policepardfaut"/>
    <w:link w:val="En-tte"/>
    <w:uiPriority w:val="99"/>
    <w:rsid w:val="00270ABD"/>
  </w:style>
  <w:style w:type="paragraph" w:styleId="Pieddepage">
    <w:name w:val="footer"/>
    <w:basedOn w:val="Normal"/>
    <w:link w:val="PieddepageCar"/>
    <w:uiPriority w:val="99"/>
    <w:unhideWhenUsed/>
    <w:rsid w:val="00270AB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70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6</Pages>
  <Words>1733</Words>
  <Characters>9536</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Thibault</dc:creator>
  <cp:keywords/>
  <dc:description/>
  <cp:lastModifiedBy>Thibault</cp:lastModifiedBy>
  <cp:revision>2</cp:revision>
  <dcterms:created xsi:type="dcterms:W3CDTF">2014-04-28T14:52:00Z</dcterms:created>
  <dcterms:modified xsi:type="dcterms:W3CDTF">2014-04-28T18:21:00Z</dcterms:modified>
</cp:coreProperties>
</file>