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65" w:rsidRPr="00166486" w:rsidRDefault="00036B65" w:rsidP="00166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Fonts w:ascii="Arial" w:hAnsi="Arial" w:cs="Arial"/>
          <w:b/>
          <w:u w:val="single"/>
        </w:rPr>
      </w:pPr>
      <w:r w:rsidRPr="00166486">
        <w:rPr>
          <w:rFonts w:ascii="Arial" w:hAnsi="Arial" w:cs="Arial"/>
          <w:b/>
          <w:u w:val="single"/>
        </w:rPr>
        <w:t>Marqueurs cardiaques</w:t>
      </w:r>
    </w:p>
    <w:p w:rsidR="00036B65" w:rsidRPr="00166486" w:rsidRDefault="00036B65">
      <w:pPr>
        <w:contextualSpacing/>
        <w:rPr>
          <w:rFonts w:ascii="Arial" w:hAnsi="Arial" w:cs="Arial"/>
        </w:rPr>
      </w:pPr>
    </w:p>
    <w:p w:rsidR="00167D43" w:rsidRPr="00166486" w:rsidRDefault="00167D43">
      <w:pPr>
        <w:contextualSpacing/>
        <w:rPr>
          <w:rFonts w:ascii="Arial" w:hAnsi="Arial" w:cs="Arial"/>
          <w:b/>
          <w:u w:val="single"/>
        </w:rPr>
      </w:pPr>
      <w:r w:rsidRPr="00166486">
        <w:rPr>
          <w:rFonts w:ascii="Arial" w:hAnsi="Arial" w:cs="Arial"/>
          <w:b/>
          <w:u w:val="single"/>
        </w:rPr>
        <w:t>Marqueurs biologique des cardiopathies ischémiques</w:t>
      </w:r>
    </w:p>
    <w:p w:rsidR="00167D43" w:rsidRPr="00166486" w:rsidRDefault="00167D43">
      <w:pPr>
        <w:contextualSpacing/>
        <w:rPr>
          <w:rFonts w:ascii="Arial" w:hAnsi="Arial" w:cs="Arial"/>
        </w:rPr>
      </w:pPr>
    </w:p>
    <w:p w:rsidR="00D22C15" w:rsidRDefault="00D22C15" w:rsidP="00166486">
      <w:pPr>
        <w:contextualSpacing/>
        <w:rPr>
          <w:rFonts w:ascii="Arial" w:hAnsi="Arial" w:cs="Arial"/>
          <w:b/>
          <w:sz w:val="18"/>
          <w:szCs w:val="18"/>
          <w:u w:val="single"/>
        </w:rPr>
        <w:sectPr w:rsidR="00D22C15" w:rsidSect="00166486">
          <w:footerReference w:type="default" r:id="rId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61A07" w:rsidRPr="00166486" w:rsidRDefault="00166486" w:rsidP="00166486">
      <w:pPr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166486">
        <w:rPr>
          <w:rFonts w:ascii="Arial" w:hAnsi="Arial" w:cs="Arial"/>
          <w:b/>
          <w:sz w:val="18"/>
          <w:szCs w:val="18"/>
          <w:u w:val="single"/>
        </w:rPr>
        <w:lastRenderedPageBreak/>
        <w:t>Rappel</w:t>
      </w:r>
      <w:r w:rsidR="001E52E9" w:rsidRPr="00166486">
        <w:rPr>
          <w:rFonts w:ascii="Arial" w:hAnsi="Arial" w:cs="Arial"/>
          <w:b/>
          <w:sz w:val="18"/>
          <w:szCs w:val="18"/>
          <w:u w:val="single"/>
        </w:rPr>
        <w:t> </w:t>
      </w:r>
      <w:r w:rsidRPr="00166486">
        <w:rPr>
          <w:rFonts w:ascii="Arial" w:hAnsi="Arial" w:cs="Arial"/>
          <w:b/>
          <w:sz w:val="18"/>
          <w:szCs w:val="18"/>
          <w:u w:val="single"/>
        </w:rPr>
        <w:t>IDM :</w:t>
      </w:r>
    </w:p>
    <w:p w:rsidR="00166486" w:rsidRPr="00166486" w:rsidRDefault="00166486" w:rsidP="00166486">
      <w:pPr>
        <w:contextualSpacing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Clinique</w:t>
      </w:r>
      <w:r w:rsidR="001E52E9" w:rsidRPr="00166486">
        <w:rPr>
          <w:rFonts w:ascii="Arial" w:hAnsi="Arial" w:cs="Arial"/>
          <w:sz w:val="18"/>
          <w:szCs w:val="18"/>
        </w:rPr>
        <w:t xml:space="preserve"> : douleur rétrosternale angoissante, constrictive, irradiant dans les </w:t>
      </w:r>
      <w:r w:rsidRPr="00166486">
        <w:rPr>
          <w:rFonts w:ascii="Arial" w:hAnsi="Arial" w:cs="Arial"/>
          <w:sz w:val="18"/>
          <w:szCs w:val="18"/>
        </w:rPr>
        <w:t>mâchoires</w:t>
      </w:r>
      <w:r w:rsidR="001E52E9" w:rsidRPr="00166486">
        <w:rPr>
          <w:rFonts w:ascii="Arial" w:hAnsi="Arial" w:cs="Arial"/>
          <w:sz w:val="18"/>
          <w:szCs w:val="18"/>
        </w:rPr>
        <w:t xml:space="preserve"> et le membre </w:t>
      </w:r>
      <w:r w:rsidRPr="00166486">
        <w:rPr>
          <w:rFonts w:ascii="Arial" w:hAnsi="Arial" w:cs="Arial"/>
          <w:sz w:val="18"/>
          <w:szCs w:val="18"/>
        </w:rPr>
        <w:t>supérieur</w:t>
      </w:r>
      <w:r w:rsidR="001E52E9" w:rsidRPr="00166486">
        <w:rPr>
          <w:rFonts w:ascii="Arial" w:hAnsi="Arial" w:cs="Arial"/>
          <w:sz w:val="18"/>
          <w:szCs w:val="18"/>
        </w:rPr>
        <w:t xml:space="preserve"> gauche, durant plus de 20 minutes et ne cédant pas à la trinitrine.</w:t>
      </w:r>
    </w:p>
    <w:p w:rsidR="00166486" w:rsidRPr="00166486" w:rsidRDefault="001E52E9" w:rsidP="00166486">
      <w:pPr>
        <w:contextualSpacing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ECG : sus décalage du segment ST et une onde Q</w:t>
      </w:r>
    </w:p>
    <w:p w:rsidR="0079148C" w:rsidRDefault="001E52E9" w:rsidP="00AD63E3">
      <w:pPr>
        <w:contextualSpacing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Marqueurs biologiques</w:t>
      </w:r>
    </w:p>
    <w:p w:rsidR="00AD63E3" w:rsidRDefault="00AD63E3" w:rsidP="00AD63E3">
      <w:pPr>
        <w:contextualSpacing/>
        <w:rPr>
          <w:rFonts w:ascii="Arial" w:hAnsi="Arial" w:cs="Arial"/>
          <w:sz w:val="18"/>
          <w:szCs w:val="18"/>
        </w:rPr>
      </w:pPr>
    </w:p>
    <w:p w:rsidR="00AD63E3" w:rsidRPr="00AD63E3" w:rsidRDefault="00AD63E3" w:rsidP="00AD63E3">
      <w:pPr>
        <w:contextualSpacing/>
        <w:rPr>
          <w:rFonts w:ascii="Arial" w:hAnsi="Arial" w:cs="Arial"/>
          <w:sz w:val="18"/>
          <w:szCs w:val="18"/>
        </w:rPr>
      </w:pPr>
    </w:p>
    <w:p w:rsidR="0079148C" w:rsidRDefault="0079148C" w:rsidP="001C3222">
      <w:pPr>
        <w:pStyle w:val="ListParagraph"/>
        <w:ind w:left="0"/>
        <w:jc w:val="center"/>
        <w:rPr>
          <w:rFonts w:ascii="Arial" w:hAnsi="Arial" w:cs="Arial"/>
          <w:b/>
          <w:bdr w:val="single" w:sz="4" w:space="0" w:color="auto"/>
        </w:rPr>
      </w:pPr>
      <w:r w:rsidRPr="00166486">
        <w:rPr>
          <w:rFonts w:ascii="Arial" w:hAnsi="Arial" w:cs="Arial"/>
          <w:b/>
          <w:bdr w:val="single" w:sz="4" w:space="0" w:color="auto"/>
        </w:rPr>
        <w:t>Myoglobine</w:t>
      </w:r>
    </w:p>
    <w:p w:rsidR="00AD63E3" w:rsidRDefault="00AD63E3" w:rsidP="001C3222">
      <w:pPr>
        <w:pStyle w:val="ListParagraph"/>
        <w:ind w:left="0"/>
        <w:jc w:val="center"/>
        <w:rPr>
          <w:rFonts w:ascii="Arial" w:hAnsi="Arial" w:cs="Arial"/>
          <w:b/>
          <w:bdr w:val="single" w:sz="4" w:space="0" w:color="auto"/>
        </w:rPr>
      </w:pPr>
    </w:p>
    <w:p w:rsidR="00AD63E3" w:rsidRPr="00166486" w:rsidRDefault="00AD63E3" w:rsidP="001C3222">
      <w:pPr>
        <w:pStyle w:val="ListParagraph"/>
        <w:ind w:left="0"/>
        <w:jc w:val="center"/>
        <w:rPr>
          <w:rFonts w:ascii="Arial" w:hAnsi="Arial" w:cs="Arial"/>
          <w:b/>
        </w:rPr>
      </w:pPr>
    </w:p>
    <w:p w:rsidR="0079148C" w:rsidRPr="00166486" w:rsidRDefault="0079148C" w:rsidP="001E52E9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166486">
        <w:rPr>
          <w:rFonts w:ascii="Arial" w:hAnsi="Arial" w:cs="Arial"/>
          <w:b/>
          <w:sz w:val="18"/>
          <w:szCs w:val="18"/>
          <w:u w:val="single"/>
        </w:rPr>
        <w:t xml:space="preserve">Caractéristiques : </w:t>
      </w:r>
    </w:p>
    <w:p w:rsidR="0079148C" w:rsidRPr="00166486" w:rsidRDefault="00166486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9148C" w:rsidRPr="00166486">
        <w:rPr>
          <w:rFonts w:ascii="Arial" w:hAnsi="Arial" w:cs="Arial"/>
          <w:sz w:val="18"/>
          <w:szCs w:val="18"/>
        </w:rPr>
        <w:t>aucune spécificité cardiaque</w:t>
      </w:r>
    </w:p>
    <w:p w:rsidR="0079148C" w:rsidRPr="00166486" w:rsidRDefault="00166486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faible PM</w:t>
      </w:r>
    </w:p>
    <w:p w:rsidR="0079148C" w:rsidRPr="00166486" w:rsidRDefault="00166486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9148C" w:rsidRPr="00166486">
        <w:rPr>
          <w:rFonts w:ascii="Arial" w:hAnsi="Arial" w:cs="Arial"/>
          <w:sz w:val="18"/>
          <w:szCs w:val="18"/>
        </w:rPr>
        <w:t>demi-vie : 1 à 3 heures</w:t>
      </w:r>
    </w:p>
    <w:p w:rsidR="0079148C" w:rsidRPr="00166486" w:rsidRDefault="00166486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é</w:t>
      </w:r>
      <w:r w:rsidR="0079148C" w:rsidRPr="00166486">
        <w:rPr>
          <w:rFonts w:ascii="Arial" w:hAnsi="Arial" w:cs="Arial"/>
          <w:sz w:val="18"/>
          <w:szCs w:val="18"/>
        </w:rPr>
        <w:t>limination rénale exclusive</w:t>
      </w:r>
    </w:p>
    <w:p w:rsidR="0079148C" w:rsidRPr="00166486" w:rsidRDefault="00166486" w:rsidP="001E52E9">
      <w:pPr>
        <w:pStyle w:val="ListParagraph"/>
        <w:ind w:left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9148C" w:rsidRPr="00166486">
        <w:rPr>
          <w:rFonts w:ascii="Arial" w:hAnsi="Arial" w:cs="Arial"/>
          <w:b/>
          <w:sz w:val="18"/>
          <w:szCs w:val="18"/>
        </w:rPr>
        <w:t>Valeurs normales : 6 – 80 ng/l</w:t>
      </w:r>
    </w:p>
    <w:p w:rsidR="0079148C" w:rsidRPr="00166486" w:rsidRDefault="0079148C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9148C" w:rsidRPr="00D22C15" w:rsidRDefault="00D22C15" w:rsidP="001E52E9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Avantage</w:t>
      </w:r>
      <w:r>
        <w:rPr>
          <w:rFonts w:ascii="Arial" w:hAnsi="Arial" w:cs="Arial"/>
          <w:b/>
          <w:sz w:val="18"/>
          <w:szCs w:val="18"/>
          <w:u w:val="single"/>
        </w:rPr>
        <w:t>s</w:t>
      </w:r>
      <w:r w:rsidR="0079148C" w:rsidRPr="00D22C15">
        <w:rPr>
          <w:rFonts w:ascii="Arial" w:hAnsi="Arial" w:cs="Arial"/>
          <w:b/>
          <w:sz w:val="18"/>
          <w:szCs w:val="18"/>
          <w:u w:val="single"/>
        </w:rPr>
        <w:t xml:space="preserve"> : </w:t>
      </w:r>
    </w:p>
    <w:p w:rsidR="0079148C" w:rsidRPr="00166486" w:rsidRDefault="00D22C15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Grande v</w:t>
      </w:r>
      <w:r w:rsidR="0079148C" w:rsidRPr="00166486">
        <w:rPr>
          <w:rFonts w:ascii="Arial" w:hAnsi="Arial" w:cs="Arial"/>
          <w:sz w:val="18"/>
          <w:szCs w:val="18"/>
        </w:rPr>
        <w:t xml:space="preserve">aleur prédictive négative si absence d’augmentation (exclusion à 98%) – </w:t>
      </w:r>
      <w:r w:rsidRPr="00166486">
        <w:rPr>
          <w:rFonts w:ascii="Arial" w:hAnsi="Arial" w:cs="Arial"/>
          <w:sz w:val="18"/>
          <w:szCs w:val="18"/>
        </w:rPr>
        <w:t>intérêt</w:t>
      </w:r>
      <w:r w:rsidR="0079148C" w:rsidRPr="00166486">
        <w:rPr>
          <w:rFonts w:ascii="Arial" w:hAnsi="Arial" w:cs="Arial"/>
          <w:sz w:val="18"/>
          <w:szCs w:val="18"/>
        </w:rPr>
        <w:t xml:space="preserve"> de répéter </w:t>
      </w:r>
      <w:r w:rsidRPr="00166486">
        <w:rPr>
          <w:rFonts w:ascii="Arial" w:hAnsi="Arial" w:cs="Arial"/>
          <w:sz w:val="18"/>
          <w:szCs w:val="18"/>
        </w:rPr>
        <w:t>les tests</w:t>
      </w:r>
      <w:r w:rsidR="0079148C" w:rsidRPr="00166486">
        <w:rPr>
          <w:rFonts w:ascii="Arial" w:hAnsi="Arial" w:cs="Arial"/>
          <w:sz w:val="18"/>
          <w:szCs w:val="18"/>
        </w:rPr>
        <w:t xml:space="preserve"> ++++</w:t>
      </w:r>
    </w:p>
    <w:p w:rsidR="001C3222" w:rsidRPr="00166486" w:rsidRDefault="0079148C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Marqueur précoce (2-3 h</w:t>
      </w:r>
      <w:r w:rsidR="00D22C15" w:rsidRPr="00166486">
        <w:rPr>
          <w:rFonts w:ascii="Arial" w:hAnsi="Arial" w:cs="Arial"/>
          <w:sz w:val="18"/>
          <w:szCs w:val="18"/>
        </w:rPr>
        <w:t>),</w:t>
      </w:r>
      <w:r w:rsidR="00D22C15">
        <w:rPr>
          <w:rFonts w:ascii="Arial" w:hAnsi="Arial" w:cs="Arial"/>
          <w:sz w:val="18"/>
          <w:szCs w:val="18"/>
        </w:rPr>
        <w:t xml:space="preserve"> grande sensibilité</w:t>
      </w:r>
    </w:p>
    <w:p w:rsidR="0079148C" w:rsidRPr="00166486" w:rsidRDefault="0079148C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9148C" w:rsidRPr="00D22C15" w:rsidRDefault="00D22C15" w:rsidP="001E52E9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Inconvénients</w:t>
      </w:r>
      <w:r w:rsidR="0079148C" w:rsidRPr="00D22C15">
        <w:rPr>
          <w:rFonts w:ascii="Arial" w:hAnsi="Arial" w:cs="Arial"/>
          <w:b/>
          <w:sz w:val="18"/>
          <w:szCs w:val="18"/>
          <w:u w:val="single"/>
        </w:rPr>
        <w:t xml:space="preserve"> : </w:t>
      </w:r>
    </w:p>
    <w:p w:rsidR="0079148C" w:rsidRPr="00D22C15" w:rsidRDefault="00D22C15" w:rsidP="001E52E9">
      <w:pPr>
        <w:pStyle w:val="ListParagraph"/>
        <w:ind w:left="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A</w:t>
      </w:r>
      <w:r w:rsidR="0079148C" w:rsidRPr="00166486">
        <w:rPr>
          <w:rFonts w:ascii="Arial" w:hAnsi="Arial" w:cs="Arial"/>
          <w:sz w:val="18"/>
          <w:szCs w:val="18"/>
        </w:rPr>
        <w:t xml:space="preserve">bsence de spécificité myocardique </w:t>
      </w:r>
      <w:r w:rsidR="0079148C" w:rsidRPr="00D22C15">
        <w:rPr>
          <w:rFonts w:ascii="Arial" w:hAnsi="Arial" w:cs="Arial"/>
          <w:i/>
          <w:sz w:val="16"/>
          <w:szCs w:val="16"/>
        </w:rPr>
        <w:t>(peut être augmentée par rhabdomyolyse, troubles du rythme, péricardites, chir</w:t>
      </w:r>
      <w:r w:rsidRPr="00D22C15">
        <w:rPr>
          <w:rFonts w:ascii="Arial" w:hAnsi="Arial" w:cs="Arial"/>
          <w:i/>
          <w:sz w:val="16"/>
          <w:szCs w:val="16"/>
        </w:rPr>
        <w:t>urgie</w:t>
      </w:r>
      <w:r w:rsidR="0079148C" w:rsidRPr="00D22C15">
        <w:rPr>
          <w:rFonts w:ascii="Arial" w:hAnsi="Arial" w:cs="Arial"/>
          <w:i/>
          <w:sz w:val="16"/>
          <w:szCs w:val="16"/>
        </w:rPr>
        <w:t xml:space="preserve"> cardiaque, insuffisance rénale, lésions muscle squelettique…)</w:t>
      </w:r>
    </w:p>
    <w:p w:rsidR="0079148C" w:rsidRPr="00166486" w:rsidRDefault="0079148C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9148C" w:rsidRPr="00D22C15" w:rsidRDefault="001C3222" w:rsidP="001E52E9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Interprétation</w:t>
      </w:r>
    </w:p>
    <w:p w:rsidR="001C3222" w:rsidRPr="00166486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  <w:u w:val="single"/>
        </w:rPr>
        <w:t>Evolution :</w:t>
      </w:r>
      <w:r w:rsidRPr="00166486">
        <w:rPr>
          <w:rFonts w:ascii="Arial" w:hAnsi="Arial" w:cs="Arial"/>
          <w:sz w:val="18"/>
          <w:szCs w:val="18"/>
        </w:rPr>
        <w:t xml:space="preserve"> élévation (2h après les douleurs) – pic (8-12h) – retour à la normale (24-36h)</w:t>
      </w:r>
    </w:p>
    <w:p w:rsidR="001C3222" w:rsidRPr="00166486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1C3222" w:rsidRPr="00D22C15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  <w:u w:val="single"/>
        </w:rPr>
      </w:pPr>
      <w:r w:rsidRPr="00D22C15">
        <w:rPr>
          <w:rFonts w:ascii="Arial" w:hAnsi="Arial" w:cs="Arial"/>
          <w:sz w:val="18"/>
          <w:szCs w:val="18"/>
          <w:u w:val="single"/>
        </w:rPr>
        <w:t>Durant la 3</w:t>
      </w:r>
      <w:r w:rsidRPr="00D22C15">
        <w:rPr>
          <w:rFonts w:ascii="Arial" w:hAnsi="Arial" w:cs="Arial"/>
          <w:sz w:val="18"/>
          <w:szCs w:val="18"/>
          <w:u w:val="single"/>
          <w:vertAlign w:val="superscript"/>
        </w:rPr>
        <w:t>e</w:t>
      </w:r>
      <w:r w:rsidRPr="00D22C15">
        <w:rPr>
          <w:rFonts w:ascii="Arial" w:hAnsi="Arial" w:cs="Arial"/>
          <w:sz w:val="18"/>
          <w:szCs w:val="18"/>
          <w:u w:val="single"/>
        </w:rPr>
        <w:t xml:space="preserve"> heure :</w:t>
      </w:r>
    </w:p>
    <w:p w:rsidR="001C3222" w:rsidRPr="00166486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&lt; 50 µg/l = exclusion IDM (98%)</w:t>
      </w:r>
    </w:p>
    <w:p w:rsidR="001C3222" w:rsidRPr="00166486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&gt; 90 µg/l = probable IDM</w:t>
      </w:r>
    </w:p>
    <w:p w:rsidR="001C3222" w:rsidRDefault="001C3222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166486">
        <w:rPr>
          <w:rFonts w:ascii="Arial" w:hAnsi="Arial" w:cs="Arial"/>
          <w:sz w:val="18"/>
          <w:szCs w:val="18"/>
        </w:rPr>
        <w:t>&gt;130 µg/l = IDM (77%), indication de thrombolyse</w:t>
      </w:r>
    </w:p>
    <w:p w:rsidR="00AD63E3" w:rsidRDefault="00AD63E3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E52E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1C3222" w:rsidRPr="00166486" w:rsidRDefault="001C3222" w:rsidP="001E52E9">
      <w:pPr>
        <w:pStyle w:val="ListParagraph"/>
        <w:ind w:left="0"/>
        <w:rPr>
          <w:rFonts w:ascii="Arial" w:hAnsi="Arial" w:cs="Arial"/>
        </w:rPr>
      </w:pPr>
    </w:p>
    <w:p w:rsidR="001C3222" w:rsidRPr="00D22C15" w:rsidRDefault="001C3222" w:rsidP="001C3222">
      <w:pPr>
        <w:pStyle w:val="ListParagraph"/>
        <w:ind w:left="0"/>
        <w:jc w:val="center"/>
        <w:rPr>
          <w:rFonts w:ascii="Arial" w:hAnsi="Arial" w:cs="Arial"/>
          <w:b/>
        </w:rPr>
      </w:pPr>
      <w:r w:rsidRPr="00D22C15">
        <w:rPr>
          <w:rFonts w:ascii="Arial" w:hAnsi="Arial" w:cs="Arial"/>
          <w:b/>
          <w:bdr w:val="single" w:sz="4" w:space="0" w:color="auto"/>
        </w:rPr>
        <w:t>Complexes troponines</w:t>
      </w:r>
    </w:p>
    <w:p w:rsidR="001C3222" w:rsidRPr="00D22C15" w:rsidRDefault="001C3222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</w:p>
    <w:p w:rsidR="001C3222" w:rsidRPr="00D22C15" w:rsidRDefault="00D22C15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Caractéristiques</w:t>
      </w:r>
      <w:r w:rsidR="00287B10" w:rsidRPr="00D22C15">
        <w:rPr>
          <w:rFonts w:ascii="Arial" w:hAnsi="Arial" w:cs="Arial"/>
          <w:b/>
          <w:sz w:val="18"/>
          <w:szCs w:val="18"/>
          <w:u w:val="single"/>
        </w:rPr>
        <w:t> :</w:t>
      </w:r>
    </w:p>
    <w:p w:rsidR="00287B10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287B10" w:rsidRPr="00D22C15">
        <w:rPr>
          <w:rFonts w:ascii="Arial" w:hAnsi="Arial" w:cs="Arial"/>
          <w:sz w:val="18"/>
          <w:szCs w:val="18"/>
        </w:rPr>
        <w:t>Complexe de 3 protéines non enzymatiques T C et I</w:t>
      </w:r>
    </w:p>
    <w:p w:rsidR="00287B10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287B10" w:rsidRPr="00D22C15">
        <w:rPr>
          <w:rFonts w:ascii="Arial" w:hAnsi="Arial" w:cs="Arial"/>
          <w:sz w:val="18"/>
          <w:szCs w:val="18"/>
        </w:rPr>
        <w:t>Dans le cardiomyocyte : pool libre soluble (8%) et complexe ternaire au système contractile (92%)</w:t>
      </w:r>
    </w:p>
    <w:p w:rsidR="00287B10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287B10" w:rsidRPr="00D22C15">
        <w:rPr>
          <w:rFonts w:ascii="Arial" w:hAnsi="Arial" w:cs="Arial"/>
          <w:sz w:val="18"/>
          <w:szCs w:val="18"/>
        </w:rPr>
        <w:t xml:space="preserve">Isoformes cardiaque pour TnT et TnI. </w:t>
      </w:r>
      <w:r w:rsidR="00287B10" w:rsidRPr="00D22C15">
        <w:rPr>
          <w:rFonts w:ascii="Arial" w:hAnsi="Arial" w:cs="Arial"/>
          <w:b/>
          <w:sz w:val="18"/>
          <w:szCs w:val="18"/>
        </w:rPr>
        <w:t>Pas de cardiospécificité pour TnC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  <w:u w:val="single"/>
        </w:rPr>
        <w:t>Rq</w:t>
      </w:r>
      <w:r w:rsidRPr="00D22C15">
        <w:rPr>
          <w:rFonts w:ascii="Arial" w:hAnsi="Arial" w:cs="Arial"/>
          <w:sz w:val="18"/>
          <w:szCs w:val="18"/>
        </w:rPr>
        <w:t> :</w:t>
      </w:r>
      <w:r w:rsidR="005674E7" w:rsidRPr="00D22C15">
        <w:rPr>
          <w:rFonts w:ascii="Arial" w:hAnsi="Arial" w:cs="Arial"/>
          <w:sz w:val="18"/>
          <w:szCs w:val="18"/>
        </w:rPr>
        <w:t xml:space="preserve"> Tn</w:t>
      </w:r>
      <w:r w:rsidRPr="00D22C15">
        <w:rPr>
          <w:rFonts w:ascii="Arial" w:hAnsi="Arial" w:cs="Arial"/>
          <w:sz w:val="18"/>
          <w:szCs w:val="18"/>
        </w:rPr>
        <w:t>Ic la plus utilisée dans les IDM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Avantages</w:t>
      </w: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G</w:t>
      </w:r>
      <w:r w:rsidR="00752679" w:rsidRPr="00D22C15">
        <w:rPr>
          <w:rFonts w:ascii="Arial" w:hAnsi="Arial" w:cs="Arial"/>
          <w:sz w:val="18"/>
          <w:szCs w:val="18"/>
        </w:rPr>
        <w:t>rande cardiospécificité +++</w:t>
      </w: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52679" w:rsidRPr="00D22C15">
        <w:rPr>
          <w:rFonts w:ascii="Arial" w:hAnsi="Arial" w:cs="Arial"/>
          <w:sz w:val="18"/>
          <w:szCs w:val="18"/>
        </w:rPr>
        <w:t xml:space="preserve">Concentration </w:t>
      </w:r>
      <w:r w:rsidRPr="00D22C15">
        <w:rPr>
          <w:rFonts w:ascii="Arial" w:hAnsi="Arial" w:cs="Arial"/>
          <w:sz w:val="18"/>
          <w:szCs w:val="18"/>
        </w:rPr>
        <w:t>élevées</w:t>
      </w: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52679" w:rsidRPr="00D22C15">
        <w:rPr>
          <w:rFonts w:ascii="Arial" w:hAnsi="Arial" w:cs="Arial"/>
          <w:sz w:val="18"/>
          <w:szCs w:val="18"/>
        </w:rPr>
        <w:t>Non retrouvées chez le sujet sain</w:t>
      </w: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52679" w:rsidRPr="00D22C15">
        <w:rPr>
          <w:rFonts w:ascii="Arial" w:hAnsi="Arial" w:cs="Arial"/>
          <w:sz w:val="18"/>
          <w:szCs w:val="18"/>
        </w:rPr>
        <w:t>Cinétique d’apparition rapide (3-6</w:t>
      </w:r>
      <w:r w:rsidR="00752679" w:rsidRPr="00D22C15">
        <w:rPr>
          <w:rFonts w:ascii="Arial" w:hAnsi="Arial" w:cs="Arial"/>
          <w:sz w:val="18"/>
          <w:szCs w:val="18"/>
          <w:vertAlign w:val="superscript"/>
        </w:rPr>
        <w:t>e</w:t>
      </w:r>
      <w:r w:rsidR="00752679" w:rsidRPr="00D22C15">
        <w:rPr>
          <w:rFonts w:ascii="Arial" w:hAnsi="Arial" w:cs="Arial"/>
          <w:sz w:val="18"/>
          <w:szCs w:val="18"/>
        </w:rPr>
        <w:t xml:space="preserve"> heure) </w:t>
      </w: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752679" w:rsidRPr="00D22C15">
        <w:rPr>
          <w:rFonts w:ascii="Arial" w:hAnsi="Arial" w:cs="Arial"/>
          <w:sz w:val="18"/>
          <w:szCs w:val="18"/>
        </w:rPr>
        <w:t xml:space="preserve">Reste </w:t>
      </w:r>
      <w:r w:rsidRPr="00D22C15">
        <w:rPr>
          <w:rFonts w:ascii="Arial" w:hAnsi="Arial" w:cs="Arial"/>
          <w:sz w:val="18"/>
          <w:szCs w:val="18"/>
        </w:rPr>
        <w:t>élevée</w:t>
      </w:r>
      <w:r w:rsidR="00752679" w:rsidRPr="00D22C15">
        <w:rPr>
          <w:rFonts w:ascii="Arial" w:hAnsi="Arial" w:cs="Arial"/>
          <w:sz w:val="18"/>
          <w:szCs w:val="18"/>
        </w:rPr>
        <w:t xml:space="preserve"> pendant 10 jours (diagnostique </w:t>
      </w:r>
      <w:r w:rsidRPr="00D22C15">
        <w:rPr>
          <w:rFonts w:ascii="Arial" w:hAnsi="Arial" w:cs="Arial"/>
          <w:sz w:val="18"/>
          <w:szCs w:val="18"/>
        </w:rPr>
        <w:t>rétrospectif</w:t>
      </w:r>
      <w:r w:rsidR="00752679" w:rsidRPr="00D22C15">
        <w:rPr>
          <w:rFonts w:ascii="Arial" w:hAnsi="Arial" w:cs="Arial"/>
          <w:sz w:val="18"/>
          <w:szCs w:val="18"/>
        </w:rPr>
        <w:t>)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52679" w:rsidRPr="00D22C15" w:rsidRDefault="00D22C15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Inconvénients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</w:rPr>
        <w:t>Les TnTc et TnIc sont spécifiques du myocarde mais pas de l’infarctus ! (importance de la clinique)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6"/>
          <w:szCs w:val="16"/>
        </w:rPr>
      </w:pPr>
      <w:r w:rsidRPr="00D22C15">
        <w:rPr>
          <w:rFonts w:ascii="Arial" w:hAnsi="Arial" w:cs="Arial"/>
          <w:sz w:val="18"/>
          <w:szCs w:val="18"/>
        </w:rPr>
        <w:t>Autres facteurs d’augmentation de la troponine </w:t>
      </w:r>
      <w:r w:rsidR="00D22C15" w:rsidRPr="00D22C15">
        <w:rPr>
          <w:rFonts w:ascii="Arial" w:hAnsi="Arial" w:cs="Arial"/>
          <w:i/>
          <w:sz w:val="16"/>
          <w:szCs w:val="16"/>
        </w:rPr>
        <w:t>(toute souffrance</w:t>
      </w:r>
      <w:r w:rsidRPr="00D22C15">
        <w:rPr>
          <w:rFonts w:ascii="Arial" w:hAnsi="Arial" w:cs="Arial"/>
          <w:i/>
          <w:sz w:val="16"/>
          <w:szCs w:val="16"/>
        </w:rPr>
        <w:t xml:space="preserve"> myocardique, toxicité cardiaque de certaines </w:t>
      </w:r>
      <w:r w:rsidR="00D25C7F" w:rsidRPr="00D22C15">
        <w:rPr>
          <w:rFonts w:ascii="Arial" w:hAnsi="Arial" w:cs="Arial"/>
          <w:i/>
          <w:sz w:val="16"/>
          <w:szCs w:val="16"/>
        </w:rPr>
        <w:t>drogues</w:t>
      </w:r>
      <w:r w:rsidRPr="00D22C15">
        <w:rPr>
          <w:rFonts w:ascii="Arial" w:hAnsi="Arial" w:cs="Arial"/>
          <w:i/>
          <w:sz w:val="16"/>
          <w:szCs w:val="16"/>
        </w:rPr>
        <w:t>, …</w:t>
      </w:r>
      <w:r w:rsidR="00D22C15" w:rsidRPr="00D22C15">
        <w:rPr>
          <w:rFonts w:ascii="Arial" w:hAnsi="Arial" w:cs="Arial"/>
          <w:i/>
          <w:sz w:val="16"/>
          <w:szCs w:val="16"/>
        </w:rPr>
        <w:t>)</w:t>
      </w: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52679" w:rsidRPr="00D22C15" w:rsidRDefault="00752679" w:rsidP="001C3222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 xml:space="preserve">Interprétation : </w:t>
      </w:r>
    </w:p>
    <w:p w:rsidR="005674E7" w:rsidRPr="00D22C15" w:rsidRDefault="005674E7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  <w:u w:val="single"/>
        </w:rPr>
        <w:t>Evolution :</w:t>
      </w:r>
      <w:r w:rsidRPr="00D22C15">
        <w:rPr>
          <w:rFonts w:ascii="Arial" w:hAnsi="Arial" w:cs="Arial"/>
          <w:sz w:val="18"/>
          <w:szCs w:val="18"/>
        </w:rPr>
        <w:t xml:space="preserve"> élévation </w:t>
      </w:r>
      <w:r w:rsidRPr="00D22C15">
        <w:rPr>
          <w:rFonts w:ascii="Arial" w:hAnsi="Arial" w:cs="Arial"/>
          <w:i/>
          <w:sz w:val="14"/>
          <w:szCs w:val="14"/>
        </w:rPr>
        <w:t>proportionnelle à la taille de l’IDM</w:t>
      </w:r>
      <w:r w:rsidR="00D22C15">
        <w:rPr>
          <w:rFonts w:ascii="Arial" w:hAnsi="Arial" w:cs="Arial"/>
          <w:sz w:val="14"/>
          <w:szCs w:val="14"/>
        </w:rPr>
        <w:t xml:space="preserve"> </w:t>
      </w:r>
      <w:r w:rsidRPr="00D22C15">
        <w:rPr>
          <w:rFonts w:ascii="Arial" w:hAnsi="Arial" w:cs="Arial"/>
          <w:sz w:val="18"/>
          <w:szCs w:val="18"/>
        </w:rPr>
        <w:t>(3-6h) – pic (18-24h) – normale 6 et 9 jours</w:t>
      </w:r>
    </w:p>
    <w:p w:rsidR="005674E7" w:rsidRPr="00D22C15" w:rsidRDefault="005674E7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</w:rPr>
        <w:t xml:space="preserve">Permet de faire un suivi de la reperfusion cardiaque </w:t>
      </w:r>
      <w:r w:rsidRPr="00D22C15">
        <w:rPr>
          <w:rFonts w:ascii="Arial" w:hAnsi="Arial" w:cs="Arial"/>
          <w:i/>
          <w:sz w:val="16"/>
          <w:szCs w:val="16"/>
        </w:rPr>
        <w:t>(en cas de désobstruction efficace, pic 60 à 120 minutes apres thrombolyse</w:t>
      </w:r>
      <w:r w:rsidR="00D22C15" w:rsidRPr="00D22C15">
        <w:rPr>
          <w:rFonts w:ascii="Arial" w:hAnsi="Arial" w:cs="Arial"/>
          <w:i/>
          <w:sz w:val="16"/>
          <w:szCs w:val="16"/>
        </w:rPr>
        <w:t>)</w:t>
      </w:r>
    </w:p>
    <w:p w:rsidR="005674E7" w:rsidRPr="00D22C15" w:rsidRDefault="005674E7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</w:rPr>
        <w:t>Facteur pronostic de l’angor instable</w:t>
      </w:r>
    </w:p>
    <w:p w:rsidR="005674E7" w:rsidRDefault="005674E7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Pr="00D22C15" w:rsidRDefault="00AD63E3" w:rsidP="001C3222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5674E7" w:rsidRPr="00D22C15" w:rsidRDefault="00167D43" w:rsidP="00167D43">
      <w:pPr>
        <w:pStyle w:val="ListParagraph"/>
        <w:ind w:left="0"/>
        <w:jc w:val="center"/>
        <w:rPr>
          <w:rFonts w:ascii="Arial" w:hAnsi="Arial" w:cs="Arial"/>
          <w:b/>
        </w:rPr>
      </w:pPr>
      <w:r w:rsidRPr="00D22C15">
        <w:rPr>
          <w:rFonts w:ascii="Arial" w:hAnsi="Arial" w:cs="Arial"/>
          <w:b/>
          <w:bdr w:val="single" w:sz="4" w:space="0" w:color="auto"/>
        </w:rPr>
        <w:t>La créatine kinase et isoenzymes</w:t>
      </w:r>
    </w:p>
    <w:p w:rsidR="00AD63E3" w:rsidRDefault="00AD63E3" w:rsidP="00167D43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</w:p>
    <w:p w:rsidR="00167D43" w:rsidRPr="00D22C15" w:rsidRDefault="00167D43" w:rsidP="00167D43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 xml:space="preserve">Caractéristiques : </w:t>
      </w:r>
    </w:p>
    <w:p w:rsidR="00167D43" w:rsidRP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167D43" w:rsidRPr="00D22C15">
        <w:rPr>
          <w:rFonts w:ascii="Arial" w:hAnsi="Arial" w:cs="Arial"/>
          <w:sz w:val="18"/>
          <w:szCs w:val="18"/>
        </w:rPr>
        <w:t xml:space="preserve">Dimère formé de 2 sous unités polypeptidiques : M et B. </w:t>
      </w:r>
    </w:p>
    <w:p w:rsidR="00167D43" w:rsidRP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167D43" w:rsidRPr="00D22C15">
        <w:rPr>
          <w:rFonts w:ascii="Arial" w:hAnsi="Arial" w:cs="Arial"/>
          <w:sz w:val="18"/>
          <w:szCs w:val="18"/>
        </w:rPr>
        <w:t>Trois isoenzymes : CKMM (muscle squelettique et cœur), CKMB (muscle cardiaque) et CKBB (cerveau…)</w:t>
      </w:r>
    </w:p>
    <w:p w:rsidR="00167D43" w:rsidRP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167D43" w:rsidRPr="00D22C15">
        <w:rPr>
          <w:rFonts w:ascii="Arial" w:hAnsi="Arial" w:cs="Arial"/>
          <w:sz w:val="18"/>
          <w:szCs w:val="18"/>
        </w:rPr>
        <w:t>Valeurs normales CK totale : 30 – 200 UI/L</w:t>
      </w:r>
    </w:p>
    <w:p w:rsidR="00167D43" w:rsidRP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167D43" w:rsidRPr="00D22C15">
        <w:rPr>
          <w:rFonts w:ascii="Arial" w:hAnsi="Arial" w:cs="Arial"/>
          <w:sz w:val="18"/>
          <w:szCs w:val="18"/>
        </w:rPr>
        <w:t>Dans le sang : MM (95%), MB (5%), BB (0%)</w:t>
      </w:r>
    </w:p>
    <w:p w:rsidR="006B7B90" w:rsidRPr="00D22C15" w:rsidRDefault="00D22C15" w:rsidP="00167D43">
      <w:pPr>
        <w:pStyle w:val="ListParagraph"/>
        <w:ind w:left="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- Le d</w:t>
      </w:r>
      <w:r w:rsidR="006B7B90" w:rsidRPr="00D22C15">
        <w:rPr>
          <w:rFonts w:ascii="Arial" w:hAnsi="Arial" w:cs="Arial"/>
          <w:sz w:val="18"/>
          <w:szCs w:val="18"/>
        </w:rPr>
        <w:t xml:space="preserve">osage de la CK MB en µg/l </w:t>
      </w:r>
      <w:r w:rsidRPr="00D22C15">
        <w:rPr>
          <w:rFonts w:ascii="Arial" w:hAnsi="Arial" w:cs="Arial"/>
          <w:i/>
          <w:sz w:val="16"/>
          <w:szCs w:val="16"/>
        </w:rPr>
        <w:t>(</w:t>
      </w:r>
      <w:r w:rsidR="006B7B90" w:rsidRPr="00D22C15">
        <w:rPr>
          <w:rFonts w:ascii="Arial" w:hAnsi="Arial" w:cs="Arial"/>
          <w:i/>
          <w:sz w:val="16"/>
          <w:szCs w:val="16"/>
        </w:rPr>
        <w:t>et pas en activité</w:t>
      </w:r>
      <w:r w:rsidRPr="00D22C15">
        <w:rPr>
          <w:rFonts w:ascii="Arial" w:hAnsi="Arial" w:cs="Arial"/>
          <w:i/>
          <w:sz w:val="16"/>
          <w:szCs w:val="16"/>
        </w:rPr>
        <w:t>)</w:t>
      </w:r>
      <w:r w:rsidR="006B7B90" w:rsidRPr="00D22C15">
        <w:rPr>
          <w:rFonts w:ascii="Arial" w:hAnsi="Arial" w:cs="Arial"/>
          <w:i/>
          <w:sz w:val="16"/>
          <w:szCs w:val="16"/>
        </w:rPr>
        <w:t xml:space="preserve"> est une méthode rapide, automatisée, sensible et plus spécifique (permet d’éviter les interférences avec CK MM, CK BB et macro CK)</w:t>
      </w:r>
    </w:p>
    <w:p w:rsidR="00A12AFB" w:rsidRPr="00D22C15" w:rsidRDefault="00A12AFB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167D43" w:rsidRPr="00D22C15" w:rsidRDefault="00167D43" w:rsidP="00167D43">
      <w:pPr>
        <w:pStyle w:val="ListParagraph"/>
        <w:ind w:left="0"/>
        <w:rPr>
          <w:rFonts w:ascii="Arial" w:hAnsi="Arial" w:cs="Arial"/>
          <w:b/>
          <w:sz w:val="18"/>
          <w:szCs w:val="18"/>
          <w:u w:val="single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Interprétation :</w:t>
      </w:r>
    </w:p>
    <w:p w:rsidR="00167D43" w:rsidRPr="00D22C15" w:rsidRDefault="00167D4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</w:rPr>
        <w:t>Attention aux variations physiologiques : fonction de la masse musculaire, de l’exercice physique (+50%), de l’âge et du sexe.</w:t>
      </w:r>
    </w:p>
    <w:p w:rsidR="00167D43" w:rsidRP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  <w:r w:rsidRPr="00D22C15">
        <w:rPr>
          <w:rFonts w:ascii="Arial" w:hAnsi="Arial" w:cs="Arial"/>
          <w:sz w:val="18"/>
          <w:szCs w:val="18"/>
          <w:u w:val="single"/>
        </w:rPr>
        <w:t>Évolution</w:t>
      </w:r>
      <w:r w:rsidR="00167D43" w:rsidRPr="00D22C15">
        <w:rPr>
          <w:rFonts w:ascii="Arial" w:hAnsi="Arial" w:cs="Arial"/>
          <w:sz w:val="18"/>
          <w:szCs w:val="18"/>
          <w:u w:val="single"/>
        </w:rPr>
        <w:t> :</w:t>
      </w:r>
      <w:r w:rsidR="00167D43" w:rsidRPr="00D22C15">
        <w:rPr>
          <w:rFonts w:ascii="Arial" w:hAnsi="Arial" w:cs="Arial"/>
          <w:sz w:val="18"/>
          <w:szCs w:val="18"/>
        </w:rPr>
        <w:t xml:space="preserve"> </w:t>
      </w:r>
      <w:r w:rsidRPr="00D22C15">
        <w:rPr>
          <w:rFonts w:ascii="Arial" w:hAnsi="Arial" w:cs="Arial"/>
          <w:sz w:val="18"/>
          <w:szCs w:val="18"/>
        </w:rPr>
        <w:t>apparition</w:t>
      </w:r>
      <w:r w:rsidR="00A12AFB" w:rsidRPr="00D22C15">
        <w:rPr>
          <w:rFonts w:ascii="Arial" w:hAnsi="Arial" w:cs="Arial"/>
          <w:sz w:val="18"/>
          <w:szCs w:val="18"/>
        </w:rPr>
        <w:t xml:space="preserve"> (4-6 heures </w:t>
      </w:r>
      <w:r w:rsidRPr="00D22C15">
        <w:rPr>
          <w:rFonts w:ascii="Arial" w:hAnsi="Arial" w:cs="Arial"/>
          <w:sz w:val="18"/>
          <w:szCs w:val="18"/>
        </w:rPr>
        <w:t>après</w:t>
      </w:r>
      <w:r w:rsidR="00A12AFB" w:rsidRPr="00D22C15">
        <w:rPr>
          <w:rFonts w:ascii="Arial" w:hAnsi="Arial" w:cs="Arial"/>
          <w:sz w:val="18"/>
          <w:szCs w:val="18"/>
        </w:rPr>
        <w:t xml:space="preserve"> douleur) – pic (18-22h) – normale (60-72h)</w:t>
      </w:r>
    </w:p>
    <w:p w:rsidR="00A12AFB" w:rsidRPr="00D22C15" w:rsidRDefault="00A12AFB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12AFB" w:rsidRPr="00D22C15" w:rsidRDefault="00D22C15" w:rsidP="00167D43">
      <w:pPr>
        <w:pStyle w:val="ListParagraph"/>
        <w:ind w:left="0"/>
        <w:rPr>
          <w:rFonts w:ascii="Arial" w:hAnsi="Arial" w:cs="Arial"/>
          <w:i/>
          <w:sz w:val="16"/>
          <w:szCs w:val="16"/>
        </w:rPr>
      </w:pPr>
      <w:r w:rsidRPr="00D22C15">
        <w:rPr>
          <w:rFonts w:ascii="Arial" w:hAnsi="Arial" w:cs="Arial"/>
          <w:b/>
          <w:sz w:val="18"/>
          <w:szCs w:val="18"/>
          <w:u w:val="single"/>
        </w:rPr>
        <w:t>Inconvénients</w:t>
      </w:r>
      <w:r w:rsidR="00A12AFB" w:rsidRPr="00D22C15">
        <w:rPr>
          <w:rFonts w:ascii="Arial" w:hAnsi="Arial" w:cs="Arial"/>
          <w:b/>
          <w:sz w:val="18"/>
          <w:szCs w:val="18"/>
          <w:u w:val="single"/>
        </w:rPr>
        <w:t xml:space="preserve"> : </w:t>
      </w:r>
      <w:r w:rsidR="00A12AFB" w:rsidRPr="00D22C15">
        <w:rPr>
          <w:rFonts w:ascii="Arial" w:hAnsi="Arial" w:cs="Arial"/>
          <w:sz w:val="18"/>
          <w:szCs w:val="18"/>
        </w:rPr>
        <w:t>marqueur peu spécifique de l’IDM</w:t>
      </w:r>
      <w:r w:rsidR="00A12AFB" w:rsidRPr="00D22C15">
        <w:rPr>
          <w:rFonts w:ascii="Arial" w:hAnsi="Arial" w:cs="Arial"/>
          <w:i/>
          <w:sz w:val="16"/>
          <w:szCs w:val="16"/>
        </w:rPr>
        <w:t xml:space="preserve"> (rhabdomyolyse, atteintes musculaires inflammatoires, dégénératives)</w:t>
      </w:r>
    </w:p>
    <w:p w:rsidR="00A12AFB" w:rsidRDefault="00A12AFB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Pr="00D22C15" w:rsidRDefault="00AD63E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036B65" w:rsidRPr="00AD63E3" w:rsidRDefault="00036B65" w:rsidP="00167D43">
      <w:pPr>
        <w:pStyle w:val="ListParagraph"/>
        <w:ind w:left="0"/>
        <w:rPr>
          <w:rFonts w:ascii="Arial" w:hAnsi="Arial" w:cs="Arial"/>
          <w:i/>
          <w:sz w:val="18"/>
          <w:szCs w:val="18"/>
        </w:rPr>
      </w:pPr>
      <w:r w:rsidRPr="00AF78AA">
        <w:rPr>
          <w:rFonts w:ascii="Arial" w:hAnsi="Arial" w:cs="Arial"/>
          <w:b/>
          <w:bdr w:val="dotted" w:sz="4" w:space="0" w:color="auto"/>
        </w:rPr>
        <w:t>Récapitulatif</w:t>
      </w:r>
      <w:r w:rsidRPr="00D22C15">
        <w:rPr>
          <w:rFonts w:ascii="Arial" w:hAnsi="Arial" w:cs="Arial"/>
          <w:sz w:val="18"/>
          <w:szCs w:val="18"/>
        </w:rPr>
        <w:t xml:space="preserve"> </w:t>
      </w:r>
      <w:r w:rsidRPr="00AD63E3">
        <w:rPr>
          <w:rFonts w:ascii="Arial" w:hAnsi="Arial" w:cs="Arial"/>
          <w:i/>
          <w:sz w:val="18"/>
          <w:szCs w:val="18"/>
        </w:rPr>
        <w:t>quel marqueurs  cardiaque utiliser et quand ?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539"/>
        <w:gridCol w:w="2534"/>
        <w:gridCol w:w="2488"/>
      </w:tblGrid>
      <w:tr w:rsidR="00036B65" w:rsidRPr="00D22C15" w:rsidTr="00D22C15">
        <w:tc>
          <w:tcPr>
            <w:tcW w:w="3070" w:type="dxa"/>
          </w:tcPr>
          <w:p w:rsidR="00036B65" w:rsidRPr="00D22C15" w:rsidRDefault="00036B65" w:rsidP="00D22C1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2C15">
              <w:rPr>
                <w:rFonts w:ascii="Arial" w:hAnsi="Arial" w:cs="Arial"/>
                <w:b/>
                <w:sz w:val="18"/>
                <w:szCs w:val="18"/>
              </w:rPr>
              <w:t>Troponice Ic</w:t>
            </w:r>
          </w:p>
        </w:tc>
        <w:tc>
          <w:tcPr>
            <w:tcW w:w="3071" w:type="dxa"/>
          </w:tcPr>
          <w:p w:rsidR="00036B65" w:rsidRPr="00D22C15" w:rsidRDefault="00036B65" w:rsidP="00D22C1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2C15">
              <w:rPr>
                <w:rFonts w:ascii="Arial" w:hAnsi="Arial" w:cs="Arial"/>
                <w:b/>
                <w:sz w:val="18"/>
                <w:szCs w:val="18"/>
              </w:rPr>
              <w:t>Myoglobine</w:t>
            </w:r>
          </w:p>
        </w:tc>
        <w:tc>
          <w:tcPr>
            <w:tcW w:w="3071" w:type="dxa"/>
          </w:tcPr>
          <w:p w:rsidR="00036B65" w:rsidRPr="00D22C15" w:rsidRDefault="00036B65" w:rsidP="00D22C1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2C15">
              <w:rPr>
                <w:rFonts w:ascii="Arial" w:hAnsi="Arial" w:cs="Arial"/>
                <w:b/>
                <w:sz w:val="18"/>
                <w:szCs w:val="18"/>
              </w:rPr>
              <w:t>CK-MB</w:t>
            </w:r>
          </w:p>
        </w:tc>
      </w:tr>
      <w:tr w:rsidR="00036B65" w:rsidRPr="00D22C15" w:rsidTr="00D22C15">
        <w:tc>
          <w:tcPr>
            <w:tcW w:w="3070" w:type="dxa"/>
          </w:tcPr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-spécifique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-sensible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-large fenêtre diagnostique</w:t>
            </w:r>
          </w:p>
        </w:tc>
        <w:tc>
          <w:tcPr>
            <w:tcW w:w="3071" w:type="dxa"/>
          </w:tcPr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-précoce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-excellente VPN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-non spécifique</w:t>
            </w:r>
          </w:p>
        </w:tc>
        <w:tc>
          <w:tcPr>
            <w:tcW w:w="3071" w:type="dxa"/>
          </w:tcPr>
          <w:p w:rsidR="00036B65" w:rsidRPr="00D22C15" w:rsidRDefault="00036B65" w:rsidP="00036B65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-moins spécifique que TnIc</w:t>
            </w:r>
          </w:p>
        </w:tc>
      </w:tr>
      <w:tr w:rsidR="00036B65" w:rsidRPr="00D22C15" w:rsidTr="00D22C15">
        <w:tc>
          <w:tcPr>
            <w:tcW w:w="3070" w:type="dxa"/>
          </w:tcPr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IDM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Angor instable : stratification du risque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Tout type de chirurgie</w:t>
            </w:r>
          </w:p>
        </w:tc>
        <w:tc>
          <w:tcPr>
            <w:tcW w:w="3071" w:type="dxa"/>
          </w:tcPr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Début d’IDM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Exclusion d’IDM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Suivi de thrombolyse</w:t>
            </w:r>
          </w:p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Récidive d’IDM</w:t>
            </w:r>
          </w:p>
        </w:tc>
        <w:tc>
          <w:tcPr>
            <w:tcW w:w="3071" w:type="dxa"/>
          </w:tcPr>
          <w:p w:rsidR="00036B65" w:rsidRPr="00D22C15" w:rsidRDefault="00036B65" w:rsidP="00167D4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22C15">
              <w:rPr>
                <w:rFonts w:ascii="Arial" w:hAnsi="Arial" w:cs="Arial"/>
                <w:sz w:val="18"/>
                <w:szCs w:val="18"/>
              </w:rPr>
              <w:t>De plus en plus remplacée par la TnIc</w:t>
            </w:r>
          </w:p>
        </w:tc>
      </w:tr>
    </w:tbl>
    <w:p w:rsidR="00036B65" w:rsidRPr="00D22C15" w:rsidRDefault="00036B6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D22C15" w:rsidRDefault="00D22C15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  <w:sectPr w:rsidR="0077353A" w:rsidSect="00D22C15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67D43" w:rsidRDefault="00167D43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77353A" w:rsidRPr="00D22C15" w:rsidRDefault="0077353A" w:rsidP="00167D43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AD63E3" w:rsidRDefault="00AD63E3" w:rsidP="00036B65">
      <w:pPr>
        <w:contextualSpacing/>
        <w:rPr>
          <w:rFonts w:ascii="Arial" w:hAnsi="Arial" w:cs="Arial"/>
        </w:rPr>
      </w:pPr>
    </w:p>
    <w:p w:rsidR="0077353A" w:rsidRDefault="0077353A" w:rsidP="00036B65">
      <w:pPr>
        <w:contextualSpacing/>
        <w:rPr>
          <w:rFonts w:ascii="Arial" w:hAnsi="Arial" w:cs="Arial"/>
        </w:rPr>
      </w:pPr>
    </w:p>
    <w:p w:rsidR="00036B65" w:rsidRPr="00AF78AA" w:rsidRDefault="00036B65" w:rsidP="00036B65">
      <w:pPr>
        <w:contextualSpacing/>
        <w:rPr>
          <w:rFonts w:ascii="Arial" w:hAnsi="Arial" w:cs="Arial"/>
          <w:b/>
          <w:u w:val="single"/>
        </w:rPr>
      </w:pPr>
      <w:r w:rsidRPr="00AF78AA">
        <w:rPr>
          <w:rFonts w:ascii="Arial" w:hAnsi="Arial" w:cs="Arial"/>
          <w:b/>
          <w:u w:val="single"/>
        </w:rPr>
        <w:t>Marqueurs biologique de l’insuffisance cardiaque</w:t>
      </w:r>
    </w:p>
    <w:p w:rsidR="0077353A" w:rsidRDefault="0077353A" w:rsidP="00036B65">
      <w:pPr>
        <w:contextualSpacing/>
        <w:rPr>
          <w:rFonts w:ascii="Arial" w:hAnsi="Arial" w:cs="Arial"/>
        </w:rPr>
        <w:sectPr w:rsidR="0077353A" w:rsidSect="00836906">
          <w:type w:val="continuous"/>
          <w:pgSz w:w="16838" w:h="11906" w:orient="landscape"/>
          <w:pgMar w:top="720" w:right="720" w:bottom="720" w:left="720" w:header="0" w:footer="0" w:gutter="0"/>
          <w:cols w:space="708"/>
          <w:docGrid w:linePitch="360"/>
        </w:sectPr>
      </w:pPr>
    </w:p>
    <w:p w:rsidR="00036B65" w:rsidRPr="00166486" w:rsidRDefault="00036B65" w:rsidP="00036B65">
      <w:pPr>
        <w:contextualSpacing/>
        <w:rPr>
          <w:rFonts w:ascii="Arial" w:hAnsi="Arial" w:cs="Arial"/>
        </w:rPr>
      </w:pPr>
    </w:p>
    <w:p w:rsidR="00036B65" w:rsidRPr="00AF78AA" w:rsidRDefault="0089173D" w:rsidP="0089173D">
      <w:pPr>
        <w:contextualSpacing/>
        <w:jc w:val="center"/>
        <w:rPr>
          <w:rFonts w:ascii="Arial" w:hAnsi="Arial" w:cs="Arial"/>
          <w:b/>
        </w:rPr>
      </w:pPr>
      <w:r w:rsidRPr="00AF78AA">
        <w:rPr>
          <w:rFonts w:ascii="Arial" w:hAnsi="Arial" w:cs="Arial"/>
          <w:b/>
          <w:bdr w:val="single" w:sz="4" w:space="0" w:color="000000" w:themeColor="text1"/>
        </w:rPr>
        <w:t>BNP</w:t>
      </w:r>
    </w:p>
    <w:p w:rsidR="00516578" w:rsidRPr="0077353A" w:rsidRDefault="00516578" w:rsidP="00516578">
      <w:pPr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77353A">
        <w:rPr>
          <w:rFonts w:ascii="Arial" w:hAnsi="Arial" w:cs="Arial"/>
          <w:b/>
          <w:sz w:val="18"/>
          <w:szCs w:val="18"/>
          <w:u w:val="single"/>
        </w:rPr>
        <w:t>Caractéristiques :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 xml:space="preserve">Produit par les ventricules 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Sa concentration augmente lors des insuffisances cardiaques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Demi-vie = 20 min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Grande hétérogénéité des formes circulantes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</w:p>
    <w:p w:rsidR="00516578" w:rsidRPr="0077353A" w:rsidRDefault="00516578" w:rsidP="00516578">
      <w:pPr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77353A">
        <w:rPr>
          <w:rFonts w:ascii="Arial" w:hAnsi="Arial" w:cs="Arial"/>
          <w:b/>
          <w:sz w:val="18"/>
          <w:szCs w:val="18"/>
          <w:u w:val="single"/>
        </w:rPr>
        <w:t>Rôle physiologique :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action diurétique et vasodilatatrice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 xml:space="preserve">sécrété par les myocytes en réponse  à une augmentation de l’étirement ventriculaire, à une </w:t>
      </w:r>
      <w:r w:rsidR="00D25C7F" w:rsidRPr="00AF78AA">
        <w:rPr>
          <w:rFonts w:ascii="Arial" w:hAnsi="Arial" w:cs="Arial"/>
          <w:sz w:val="18"/>
          <w:szCs w:val="18"/>
        </w:rPr>
        <w:t>pression</w:t>
      </w:r>
      <w:r w:rsidR="00516578" w:rsidRPr="00AF78AA">
        <w:rPr>
          <w:rFonts w:ascii="Arial" w:hAnsi="Arial" w:cs="Arial"/>
          <w:sz w:val="18"/>
          <w:szCs w:val="18"/>
        </w:rPr>
        <w:t xml:space="preserve"> intracardiaque trop forte et à une hypertension </w:t>
      </w:r>
      <w:r w:rsidR="00D25C7F" w:rsidRPr="00AF78AA">
        <w:rPr>
          <w:rFonts w:ascii="Arial" w:hAnsi="Arial" w:cs="Arial"/>
          <w:sz w:val="18"/>
          <w:szCs w:val="18"/>
        </w:rPr>
        <w:t>artérielle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action inhibitrice sur le système RAA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</w:p>
    <w:p w:rsidR="00516578" w:rsidRPr="0077353A" w:rsidRDefault="0077353A" w:rsidP="00516578">
      <w:pPr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77353A">
        <w:rPr>
          <w:rFonts w:ascii="Arial" w:hAnsi="Arial" w:cs="Arial"/>
          <w:b/>
          <w:sz w:val="18"/>
          <w:szCs w:val="18"/>
          <w:u w:val="single"/>
        </w:rPr>
        <w:t>Intérêts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Permet le diagnostic étiologique des dyspnées (forte valeur prédictive négative)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Permet d’évaluer le pronostic (sévérité de l’IC, stratification de risque des syndromes coronariens aigus)</w:t>
      </w:r>
    </w:p>
    <w:p w:rsidR="00516578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16578" w:rsidRPr="00AF78AA">
        <w:rPr>
          <w:rFonts w:ascii="Arial" w:hAnsi="Arial" w:cs="Arial"/>
          <w:sz w:val="18"/>
          <w:szCs w:val="18"/>
        </w:rPr>
        <w:t>Permet d’effectuer un suivi thérapeutique (marqueur de choix pour évaluer l’efficacité du traitement de l’IC)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</w:p>
    <w:p w:rsidR="00516578" w:rsidRPr="00FF5471" w:rsidRDefault="00516578" w:rsidP="00516578">
      <w:pPr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FF5471">
        <w:rPr>
          <w:rFonts w:ascii="Arial" w:hAnsi="Arial" w:cs="Arial"/>
          <w:b/>
          <w:sz w:val="18"/>
          <w:szCs w:val="18"/>
          <w:u w:val="single"/>
        </w:rPr>
        <w:t>Limites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 xml:space="preserve">Influencé par la clairance de la créatinine quand elle est </w:t>
      </w:r>
      <w:r w:rsidR="0077353A" w:rsidRPr="00AF78AA">
        <w:rPr>
          <w:rFonts w:ascii="Arial" w:hAnsi="Arial" w:cs="Arial"/>
          <w:sz w:val="18"/>
          <w:szCs w:val="18"/>
        </w:rPr>
        <w:t>supérieure</w:t>
      </w:r>
      <w:r w:rsidRPr="00AF78AA">
        <w:rPr>
          <w:rFonts w:ascii="Arial" w:hAnsi="Arial" w:cs="Arial"/>
          <w:sz w:val="18"/>
          <w:szCs w:val="18"/>
        </w:rPr>
        <w:t xml:space="preserve"> à 60 ml/mn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77353A" w:rsidRDefault="0077353A" w:rsidP="00516578">
      <w:pPr>
        <w:contextualSpacing/>
        <w:jc w:val="center"/>
        <w:rPr>
          <w:rFonts w:ascii="Arial" w:hAnsi="Arial" w:cs="Arial"/>
          <w:b/>
          <w:bdr w:val="single" w:sz="4" w:space="0" w:color="000000" w:themeColor="text1"/>
        </w:rPr>
      </w:pPr>
    </w:p>
    <w:p w:rsidR="00516578" w:rsidRPr="00AF78AA" w:rsidRDefault="00516578" w:rsidP="00516578">
      <w:pPr>
        <w:contextualSpacing/>
        <w:jc w:val="center"/>
        <w:rPr>
          <w:rFonts w:ascii="Arial" w:hAnsi="Arial" w:cs="Arial"/>
          <w:b/>
        </w:rPr>
      </w:pPr>
      <w:r w:rsidRPr="00AF78AA">
        <w:rPr>
          <w:rFonts w:ascii="Arial" w:hAnsi="Arial" w:cs="Arial"/>
          <w:b/>
          <w:bdr w:val="single" w:sz="4" w:space="0" w:color="000000" w:themeColor="text1"/>
        </w:rPr>
        <w:t>NT-Pro BNP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>Provient du clivage du Pro-BNP en BNP et NT-Pro BNP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>Concentration supérieure au BNP</w:t>
      </w:r>
    </w:p>
    <w:p w:rsidR="00516578" w:rsidRPr="00AF78AA" w:rsidRDefault="00516578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 xml:space="preserve">Moins dépendant des </w:t>
      </w:r>
      <w:r w:rsidR="0077353A" w:rsidRPr="00AF78AA">
        <w:rPr>
          <w:rFonts w:ascii="Arial" w:hAnsi="Arial" w:cs="Arial"/>
          <w:sz w:val="18"/>
          <w:szCs w:val="18"/>
        </w:rPr>
        <w:t>conditions</w:t>
      </w:r>
      <w:r w:rsidRPr="00AF78AA">
        <w:rPr>
          <w:rFonts w:ascii="Arial" w:hAnsi="Arial" w:cs="Arial"/>
          <w:sz w:val="18"/>
          <w:szCs w:val="18"/>
        </w:rPr>
        <w:t xml:space="preserve"> préanalytiques (plus stable à T° ambiante) et demi-vie plus longue</w:t>
      </w:r>
      <w:r w:rsidR="00B05235" w:rsidRPr="00AF78AA">
        <w:rPr>
          <w:rFonts w:ascii="Arial" w:hAnsi="Arial" w:cs="Arial"/>
          <w:sz w:val="18"/>
          <w:szCs w:val="18"/>
        </w:rPr>
        <w:t xml:space="preserve"> (2h)</w:t>
      </w:r>
    </w:p>
    <w:p w:rsidR="00DC3D73" w:rsidRPr="00AF78AA" w:rsidRDefault="00DC3D73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 xml:space="preserve">Plus sensible que BNP pour la détection </w:t>
      </w:r>
      <w:r w:rsidR="0077353A" w:rsidRPr="00AF78AA">
        <w:rPr>
          <w:rFonts w:ascii="Arial" w:hAnsi="Arial" w:cs="Arial"/>
          <w:sz w:val="18"/>
          <w:szCs w:val="18"/>
        </w:rPr>
        <w:t>des formes</w:t>
      </w:r>
      <w:r w:rsidRPr="00AF78AA">
        <w:rPr>
          <w:rFonts w:ascii="Arial" w:hAnsi="Arial" w:cs="Arial"/>
          <w:sz w:val="18"/>
          <w:szCs w:val="18"/>
        </w:rPr>
        <w:t xml:space="preserve"> d’IC peu sévères</w:t>
      </w:r>
    </w:p>
    <w:p w:rsidR="00DC3D73" w:rsidRPr="00AF78AA" w:rsidRDefault="00DC3D73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>Mais plus sensible à l’insuffisance rénale</w:t>
      </w:r>
    </w:p>
    <w:p w:rsidR="00DC3D73" w:rsidRPr="00AF78AA" w:rsidRDefault="0077353A" w:rsidP="00516578">
      <w:pPr>
        <w:contextualSpacing/>
        <w:rPr>
          <w:rFonts w:ascii="Arial" w:hAnsi="Arial" w:cs="Arial"/>
          <w:sz w:val="18"/>
          <w:szCs w:val="18"/>
        </w:rPr>
      </w:pPr>
      <w:r w:rsidRPr="00AF78AA">
        <w:rPr>
          <w:rFonts w:ascii="Arial" w:hAnsi="Arial" w:cs="Arial"/>
          <w:sz w:val="18"/>
          <w:szCs w:val="18"/>
        </w:rPr>
        <w:t>Préférer</w:t>
      </w:r>
      <w:r w:rsidR="00DC3D73" w:rsidRPr="00AF78AA">
        <w:rPr>
          <w:rFonts w:ascii="Arial" w:hAnsi="Arial" w:cs="Arial"/>
          <w:sz w:val="18"/>
          <w:szCs w:val="18"/>
        </w:rPr>
        <w:t xml:space="preserve"> le BNP pour une atteinte aigue et pour surveiller rapidement l’efficacité thérapeutique</w:t>
      </w: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</w:pPr>
    </w:p>
    <w:p w:rsidR="0077353A" w:rsidRDefault="0077353A" w:rsidP="00516578">
      <w:pPr>
        <w:contextualSpacing/>
        <w:rPr>
          <w:rFonts w:ascii="Arial" w:hAnsi="Arial" w:cs="Arial"/>
        </w:rPr>
        <w:sectPr w:rsidR="0077353A" w:rsidSect="0077353A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516578" w:rsidRPr="00166486" w:rsidRDefault="00516578" w:rsidP="00516578">
      <w:pPr>
        <w:contextualSpacing/>
        <w:rPr>
          <w:rFonts w:ascii="Arial" w:hAnsi="Arial" w:cs="Arial"/>
        </w:rPr>
      </w:pPr>
    </w:p>
    <w:p w:rsidR="00167D43" w:rsidRPr="00166486" w:rsidRDefault="00167D43" w:rsidP="00167D43">
      <w:pPr>
        <w:pStyle w:val="ListParagraph"/>
        <w:ind w:left="0"/>
        <w:rPr>
          <w:rFonts w:ascii="Arial" w:hAnsi="Arial" w:cs="Arial"/>
        </w:rPr>
      </w:pPr>
    </w:p>
    <w:sectPr w:rsidR="00167D43" w:rsidRPr="00166486" w:rsidSect="00D22C15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E06" w:rsidRDefault="00C67E06" w:rsidP="00836906">
      <w:pPr>
        <w:pStyle w:val="ListParagraph"/>
        <w:spacing w:after="0" w:line="240" w:lineRule="auto"/>
      </w:pPr>
      <w:r>
        <w:separator/>
      </w:r>
    </w:p>
  </w:endnote>
  <w:endnote w:type="continuationSeparator" w:id="1">
    <w:p w:rsidR="00C67E06" w:rsidRDefault="00C67E06" w:rsidP="00836906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86543"/>
      <w:docPartObj>
        <w:docPartGallery w:val="Page Numbers (Bottom of Page)"/>
        <w:docPartUnique/>
      </w:docPartObj>
    </w:sdtPr>
    <w:sdtContent>
      <w:p w:rsidR="00836906" w:rsidRDefault="00836906">
        <w:pPr>
          <w:pStyle w:val="Footer"/>
          <w:jc w:val="right"/>
        </w:pPr>
        <w:fldSimple w:instr=" PAGE   \* MERGEFORMAT ">
          <w:r w:rsidR="00E62422">
            <w:rPr>
              <w:noProof/>
            </w:rPr>
            <w:t>3</w:t>
          </w:r>
        </w:fldSimple>
      </w:p>
    </w:sdtContent>
  </w:sdt>
  <w:p w:rsidR="00836906" w:rsidRDefault="0083690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E06" w:rsidRDefault="00C67E06" w:rsidP="00836906">
      <w:pPr>
        <w:pStyle w:val="ListParagraph"/>
        <w:spacing w:after="0" w:line="240" w:lineRule="auto"/>
      </w:pPr>
      <w:r>
        <w:separator/>
      </w:r>
    </w:p>
  </w:footnote>
  <w:footnote w:type="continuationSeparator" w:id="1">
    <w:p w:rsidR="00C67E06" w:rsidRDefault="00C67E06" w:rsidP="00836906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7187"/>
    <w:multiLevelType w:val="hybridMultilevel"/>
    <w:tmpl w:val="251C07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52E9"/>
    <w:rsid w:val="00036B65"/>
    <w:rsid w:val="00166486"/>
    <w:rsid w:val="00167D43"/>
    <w:rsid w:val="001C3222"/>
    <w:rsid w:val="001E52E9"/>
    <w:rsid w:val="00287B10"/>
    <w:rsid w:val="00516578"/>
    <w:rsid w:val="00561A07"/>
    <w:rsid w:val="005674E7"/>
    <w:rsid w:val="006B7B90"/>
    <w:rsid w:val="00752679"/>
    <w:rsid w:val="0077353A"/>
    <w:rsid w:val="0079148C"/>
    <w:rsid w:val="00836906"/>
    <w:rsid w:val="008824D6"/>
    <w:rsid w:val="0089173D"/>
    <w:rsid w:val="00A12AFB"/>
    <w:rsid w:val="00AD63E3"/>
    <w:rsid w:val="00AF78AA"/>
    <w:rsid w:val="00B05235"/>
    <w:rsid w:val="00C67E06"/>
    <w:rsid w:val="00D22C15"/>
    <w:rsid w:val="00D25C7F"/>
    <w:rsid w:val="00DC3D73"/>
    <w:rsid w:val="00E62422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A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2E9"/>
    <w:pPr>
      <w:ind w:left="720"/>
      <w:contextualSpacing/>
    </w:pPr>
  </w:style>
  <w:style w:type="table" w:styleId="TableGrid">
    <w:name w:val="Table Grid"/>
    <w:basedOn w:val="TableNormal"/>
    <w:uiPriority w:val="59"/>
    <w:rsid w:val="00036B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36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6906"/>
  </w:style>
  <w:style w:type="paragraph" w:styleId="Footer">
    <w:name w:val="footer"/>
    <w:basedOn w:val="Normal"/>
    <w:link w:val="FooterChar"/>
    <w:uiPriority w:val="99"/>
    <w:unhideWhenUsed/>
    <w:rsid w:val="00836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C8997-85FA-4C7F-86AB-DB5FBC57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1653</TotalTime>
  <Pages>1</Pages>
  <Words>732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14</cp:revision>
  <cp:lastPrinted>2009-06-03T09:02:00Z</cp:lastPrinted>
  <dcterms:created xsi:type="dcterms:W3CDTF">2009-06-02T12:21:00Z</dcterms:created>
  <dcterms:modified xsi:type="dcterms:W3CDTF">2009-06-03T15:54:00Z</dcterms:modified>
</cp:coreProperties>
</file>