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4776" w:rsidRDefault="00450F38" w:rsidP="00745BC8">
      <w:pPr>
        <w:spacing w:before="0" w:after="0"/>
        <w:ind w:left="0"/>
        <w:contextualSpacing/>
        <w:jc w:val="both"/>
        <w:rPr>
          <w:i/>
          <w:sz w:val="20"/>
        </w:rPr>
      </w:pPr>
      <w:r w:rsidRPr="00745BC8">
        <w:rPr>
          <w:i/>
          <w:sz w:val="20"/>
        </w:rPr>
        <w:t>Intro : Les hépatites sont le 2</w:t>
      </w:r>
      <w:r w:rsidRPr="00745BC8">
        <w:rPr>
          <w:i/>
          <w:sz w:val="20"/>
          <w:vertAlign w:val="superscript"/>
        </w:rPr>
        <w:t>ème</w:t>
      </w:r>
      <w:r w:rsidRPr="00745BC8">
        <w:rPr>
          <w:i/>
          <w:sz w:val="20"/>
        </w:rPr>
        <w:t xml:space="preserve"> gros pb de santé pub lié à des virus (après le VIH), car leur portage est chronique et leur réplication permanente. Il existe dc plusieurs virus à tropisme hépatique : le VHA et le VHE</w:t>
      </w:r>
      <w:r w:rsidR="00745BC8" w:rsidRPr="00745BC8">
        <w:rPr>
          <w:i/>
          <w:sz w:val="20"/>
        </w:rPr>
        <w:t xml:space="preserve"> (</w:t>
      </w:r>
      <w:r w:rsidR="00745BC8">
        <w:rPr>
          <w:i/>
          <w:sz w:val="20"/>
        </w:rPr>
        <w:t xml:space="preserve">zones tropicales) </w:t>
      </w:r>
      <w:r w:rsidRPr="00745BC8">
        <w:rPr>
          <w:i/>
          <w:sz w:val="20"/>
        </w:rPr>
        <w:t>font des hépatites aigu</w:t>
      </w:r>
      <w:r w:rsidR="00745BC8" w:rsidRPr="00745BC8">
        <w:rPr>
          <w:i/>
          <w:sz w:val="20"/>
        </w:rPr>
        <w:t>ës évoluant svt vers la guérison ; le VHB, le VHC, et le VHD font des hépatites aiguës pouvant évoluer vers la chronicité, qui peut à long terme se compliquer (cirrhose et cancer). La plupart sont asymptomatiques. La forme grave est l’hépatite fulminante, aboutissant à la destruction du foie : elle est u</w:t>
      </w:r>
      <w:r w:rsidR="00745BC8">
        <w:rPr>
          <w:i/>
          <w:sz w:val="20"/>
        </w:rPr>
        <w:t>ne indication de greffe de foie. Le VHD est un viroïde parasite du VHB</w:t>
      </w:r>
      <w:r w:rsidR="00B84776">
        <w:rPr>
          <w:i/>
          <w:sz w:val="20"/>
        </w:rPr>
        <w:t>.</w:t>
      </w:r>
    </w:p>
    <w:p w:rsidR="00B84776" w:rsidRDefault="00B84776" w:rsidP="00745BC8">
      <w:pPr>
        <w:spacing w:before="0" w:after="0"/>
        <w:ind w:left="0"/>
        <w:contextualSpacing/>
        <w:jc w:val="both"/>
        <w:rPr>
          <w:i/>
          <w:sz w:val="20"/>
        </w:rPr>
      </w:pPr>
    </w:p>
    <w:p w:rsidR="00B84776" w:rsidRPr="00B84776" w:rsidRDefault="00B84776" w:rsidP="00745BC8">
      <w:pPr>
        <w:spacing w:before="0" w:after="0"/>
        <w:ind w:left="0"/>
        <w:contextualSpacing/>
        <w:jc w:val="both"/>
        <w:rPr>
          <w:i/>
          <w:sz w:val="20"/>
        </w:rPr>
        <w:sectPr w:rsidR="00B84776" w:rsidRPr="00B84776" w:rsidSect="00B84776">
          <w:footerReference w:type="default" r:id="rId8"/>
          <w:headerReference w:type="first" r:id="rId9"/>
          <w:footerReference w:type="first" r:id="rId10"/>
          <w:pgSz w:w="11906" w:h="16838"/>
          <w:pgMar w:top="720" w:right="720" w:bottom="720" w:left="720" w:header="0" w:footer="403" w:gutter="0"/>
          <w:cols w:space="708"/>
          <w:titlePg/>
          <w:docGrid w:linePitch="360"/>
        </w:sectPr>
      </w:pPr>
    </w:p>
    <w:p w:rsidR="00745BC8" w:rsidRDefault="00745BC8" w:rsidP="00745BC8">
      <w:pPr>
        <w:pStyle w:val="Paragraphedeliste"/>
        <w:numPr>
          <w:ilvl w:val="0"/>
          <w:numId w:val="2"/>
        </w:numPr>
        <w:spacing w:before="0" w:after="0"/>
        <w:jc w:val="both"/>
        <w:rPr>
          <w:b/>
          <w:sz w:val="28"/>
          <w:u w:val="single"/>
        </w:rPr>
      </w:pPr>
      <w:r w:rsidRPr="00745BC8">
        <w:rPr>
          <w:b/>
          <w:sz w:val="28"/>
          <w:u w:val="single"/>
        </w:rPr>
        <w:lastRenderedPageBreak/>
        <w:t>Le VHA</w:t>
      </w:r>
    </w:p>
    <w:p w:rsidR="005F411D" w:rsidRPr="005F411D" w:rsidRDefault="005F411D" w:rsidP="00B16F08">
      <w:pPr>
        <w:pStyle w:val="Paragraphedeliste"/>
        <w:numPr>
          <w:ilvl w:val="1"/>
          <w:numId w:val="2"/>
        </w:numPr>
        <w:spacing w:before="0"/>
        <w:ind w:left="1134"/>
        <w:contextualSpacing w:val="0"/>
        <w:jc w:val="both"/>
      </w:pPr>
      <w:r w:rsidRPr="006F11B8">
        <w:rPr>
          <w:b/>
          <w:sz w:val="24"/>
          <w:u w:val="single"/>
        </w:rPr>
        <w:t>Carac.</w:t>
      </w:r>
      <w:r w:rsidRPr="006F11B8">
        <w:rPr>
          <w:sz w:val="24"/>
        </w:rPr>
        <w:t> </w:t>
      </w:r>
      <w:r w:rsidRPr="005F411D">
        <w:rPr>
          <w:sz w:val="24"/>
        </w:rPr>
        <w:t xml:space="preserve">: </w:t>
      </w:r>
      <w:r w:rsidRPr="005F411D">
        <w:t xml:space="preserve">picornavirus à ARN à polarité positive. 1 sérotype et 7 génotypes. C’est un virus nu dc résistant +++ ds milieu ext </w:t>
      </w:r>
      <w:r w:rsidRPr="005F411D">
        <w:rPr>
          <w:rFonts w:ascii="Cambria Math" w:hAnsi="Cambria Math"/>
        </w:rPr>
        <w:t>⇨</w:t>
      </w:r>
      <w:r w:rsidRPr="005F411D">
        <w:t>contamination facile (selles, souillage eaux aliments…)</w:t>
      </w:r>
      <w:r w:rsidR="006F11B8">
        <w:t>.</w:t>
      </w:r>
    </w:p>
    <w:p w:rsidR="005F411D" w:rsidRDefault="00293924" w:rsidP="00B16F08">
      <w:pPr>
        <w:pStyle w:val="Paragraphedeliste"/>
        <w:numPr>
          <w:ilvl w:val="1"/>
          <w:numId w:val="2"/>
        </w:numPr>
        <w:spacing w:before="0"/>
        <w:ind w:left="1134"/>
        <w:contextualSpacing w:val="0"/>
        <w:jc w:val="both"/>
      </w:pPr>
      <w:r>
        <w:rPr>
          <w:b/>
          <w:sz w:val="24"/>
          <w:u w:val="single"/>
        </w:rPr>
        <w:t>Clinique</w:t>
      </w:r>
      <w:r w:rsidR="005F411D">
        <w:rPr>
          <w:sz w:val="24"/>
        </w:rPr>
        <w:t xml:space="preserve"> : </w:t>
      </w:r>
      <w:r w:rsidR="005F411D" w:rsidRPr="005F411D">
        <w:t>la majorité des cas est asymptomatique</w:t>
      </w:r>
      <w:r w:rsidR="005F411D">
        <w:t xml:space="preserve"> (90% chez l’enfant, 20-30% chez l’adulte)</w:t>
      </w:r>
      <w:r w:rsidR="005F411D" w:rsidRPr="005F411D">
        <w:t>. 1% de formes fulminantes.</w:t>
      </w:r>
      <w:r w:rsidR="005F411D">
        <w:t xml:space="preserve"> </w:t>
      </w:r>
      <w:r w:rsidR="005F411D" w:rsidRPr="005F411D">
        <w:rPr>
          <w:i/>
        </w:rPr>
        <w:t>PAS de chronicité !</w:t>
      </w:r>
    </w:p>
    <w:p w:rsidR="005F411D" w:rsidRDefault="005F411D" w:rsidP="00B16F08">
      <w:pPr>
        <w:pStyle w:val="Paragraphedeliste"/>
        <w:numPr>
          <w:ilvl w:val="1"/>
          <w:numId w:val="2"/>
        </w:numPr>
        <w:spacing w:before="0" w:after="0"/>
        <w:ind w:left="1134"/>
        <w:contextualSpacing w:val="0"/>
        <w:jc w:val="both"/>
      </w:pPr>
      <w:r w:rsidRPr="006F11B8">
        <w:rPr>
          <w:b/>
          <w:sz w:val="24"/>
          <w:u w:val="single"/>
        </w:rPr>
        <w:t>Diagnostic</w:t>
      </w:r>
      <w:r w:rsidRPr="005F411D">
        <w:rPr>
          <w:sz w:val="24"/>
        </w:rPr>
        <w:t> :</w:t>
      </w:r>
      <w:r>
        <w:t xml:space="preserve"> </w:t>
      </w:r>
      <w:r w:rsidR="00564B0E">
        <w:t xml:space="preserve">le direct n’a que peu d’intérêt (virémie transitoire et tardive) ; le diag de routine est le </w:t>
      </w:r>
      <w:r w:rsidR="00564B0E" w:rsidRPr="006F11B8">
        <w:rPr>
          <w:u w:val="single"/>
        </w:rPr>
        <w:t>diag indirect</w:t>
      </w:r>
      <w:r w:rsidR="00564B0E">
        <w:t xml:space="preserve"> avec la sérologie. Les transaminases apparaissent tardivement, ainsi que les IgM antiVHA (= réponse I</w:t>
      </w:r>
      <w:r w:rsidR="00564B0E" w:rsidRPr="00564B0E">
        <w:rPr>
          <w:vertAlign w:val="superscript"/>
        </w:rPr>
        <w:t>aire</w:t>
      </w:r>
      <w:r w:rsidR="00564B0E">
        <w:t xml:space="preserve"> transitoire) ; ensuite apparaissent les IgG antiVHA (rép II</w:t>
      </w:r>
      <w:r w:rsidR="00564B0E" w:rsidRPr="00564B0E">
        <w:rPr>
          <w:vertAlign w:val="superscript"/>
        </w:rPr>
        <w:t>aire</w:t>
      </w:r>
      <w:r w:rsidR="00564B0E">
        <w:t xml:space="preserve"> + efficace).</w:t>
      </w:r>
    </w:p>
    <w:p w:rsidR="008477CD" w:rsidRDefault="008477CD" w:rsidP="004969EC">
      <w:pPr>
        <w:pStyle w:val="Paragraphedeliste"/>
        <w:numPr>
          <w:ilvl w:val="2"/>
          <w:numId w:val="2"/>
        </w:numPr>
        <w:spacing w:before="0" w:after="0"/>
        <w:ind w:left="1560" w:hanging="288"/>
        <w:contextualSpacing w:val="0"/>
        <w:jc w:val="both"/>
      </w:pPr>
      <w:r>
        <w:t>Si un patient a les trans</w:t>
      </w:r>
      <w:r w:rsidR="006F11B8">
        <w:t>a élevées et des IgG antiVHA mai</w:t>
      </w:r>
      <w:r>
        <w:t xml:space="preserve">s pas d’IgM </w:t>
      </w:r>
      <w:r>
        <w:rPr>
          <w:rFonts w:ascii="Cambria Math" w:hAnsi="Cambria Math"/>
        </w:rPr>
        <w:t>⇨</w:t>
      </w:r>
      <w:r w:rsidR="006F11B8">
        <w:t xml:space="preserve"> PAS d’hépatite A aiguë !</w:t>
      </w:r>
    </w:p>
    <w:p w:rsidR="006F11B8" w:rsidRDefault="006F11B8" w:rsidP="004969EC">
      <w:pPr>
        <w:pStyle w:val="Paragraphedeliste"/>
        <w:numPr>
          <w:ilvl w:val="2"/>
          <w:numId w:val="2"/>
        </w:numPr>
        <w:spacing w:before="0" w:after="0"/>
        <w:ind w:left="1560" w:hanging="288"/>
        <w:contextualSpacing w:val="0"/>
        <w:jc w:val="both"/>
      </w:pPr>
      <w:r>
        <w:t xml:space="preserve">Si un patient a les </w:t>
      </w:r>
      <w:r w:rsidRPr="006F11B8">
        <w:rPr>
          <w:u w:val="single"/>
        </w:rPr>
        <w:t>transa élevées</w:t>
      </w:r>
      <w:r>
        <w:t xml:space="preserve"> et des </w:t>
      </w:r>
      <w:r w:rsidRPr="006F11B8">
        <w:rPr>
          <w:u w:val="single"/>
        </w:rPr>
        <w:t>IgM antiVHA</w:t>
      </w:r>
      <w:r>
        <w:t xml:space="preserve"> </w:t>
      </w:r>
      <w:r>
        <w:rPr>
          <w:rFonts w:ascii="Cambria Math" w:hAnsi="Cambria Math"/>
        </w:rPr>
        <w:t>⇨</w:t>
      </w:r>
      <w:r>
        <w:t xml:space="preserve"> hépatite A aiguë !</w:t>
      </w:r>
    </w:p>
    <w:p w:rsidR="00F54181" w:rsidRPr="005F411D" w:rsidRDefault="006F11B8" w:rsidP="00B16F08">
      <w:pPr>
        <w:pStyle w:val="Paragraphedeliste"/>
        <w:numPr>
          <w:ilvl w:val="1"/>
          <w:numId w:val="2"/>
        </w:numPr>
        <w:ind w:left="1134"/>
        <w:contextualSpacing w:val="0"/>
        <w:jc w:val="both"/>
      </w:pPr>
      <w:r w:rsidRPr="006F11B8">
        <w:rPr>
          <w:b/>
          <w:sz w:val="24"/>
          <w:u w:val="single"/>
        </w:rPr>
        <w:t>T</w:t>
      </w:r>
      <w:r>
        <w:rPr>
          <w:b/>
          <w:sz w:val="24"/>
          <w:u w:val="single"/>
        </w:rPr>
        <w:t>rai</w:t>
      </w:r>
      <w:r w:rsidRPr="006F11B8">
        <w:rPr>
          <w:b/>
          <w:sz w:val="24"/>
          <w:u w:val="single"/>
        </w:rPr>
        <w:t>t</w:t>
      </w:r>
      <w:r>
        <w:rPr>
          <w:b/>
          <w:sz w:val="24"/>
          <w:u w:val="single"/>
        </w:rPr>
        <w:t>emen</w:t>
      </w:r>
      <w:r w:rsidRPr="006F11B8">
        <w:rPr>
          <w:b/>
          <w:sz w:val="24"/>
          <w:u w:val="single"/>
        </w:rPr>
        <w:t>t</w:t>
      </w:r>
      <w:r>
        <w:t> : en général la seule réponse immunitaire aboutit à la guérison. Il existe des vaccins efficaces pour certaines situations (risque professionnel, voyageur en zone d’endémie, immunodéprimé…). Greffe en cas d’hépatite fulminante.</w:t>
      </w:r>
    </w:p>
    <w:p w:rsidR="00745BC8" w:rsidRDefault="00745BC8" w:rsidP="00745BC8">
      <w:pPr>
        <w:pStyle w:val="Paragraphedeliste"/>
        <w:numPr>
          <w:ilvl w:val="0"/>
          <w:numId w:val="2"/>
        </w:numPr>
        <w:spacing w:before="0" w:after="0"/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>Le VHC</w:t>
      </w:r>
    </w:p>
    <w:p w:rsidR="006F11B8" w:rsidRDefault="00ED1581" w:rsidP="00B16F08">
      <w:pPr>
        <w:pStyle w:val="Paragraphedeliste"/>
        <w:numPr>
          <w:ilvl w:val="1"/>
          <w:numId w:val="2"/>
        </w:numPr>
        <w:tabs>
          <w:tab w:val="left" w:pos="1134"/>
        </w:tabs>
        <w:spacing w:before="0"/>
        <w:ind w:left="1134" w:hanging="357"/>
        <w:contextualSpacing w:val="0"/>
        <w:jc w:val="both"/>
        <w:rPr>
          <w:sz w:val="24"/>
        </w:rPr>
      </w:pPr>
      <w:r>
        <w:rPr>
          <w:b/>
          <w:sz w:val="24"/>
          <w:u w:val="single"/>
        </w:rPr>
        <w:t>Carac.</w:t>
      </w:r>
      <w:r w:rsidRPr="00ED1581">
        <w:rPr>
          <w:sz w:val="24"/>
        </w:rPr>
        <w:t> :</w:t>
      </w:r>
      <w:r>
        <w:t xml:space="preserve"> flavivirus à ARN</w:t>
      </w:r>
      <w:r w:rsidR="00F62B06">
        <w:t xml:space="preserve"> positif, enveloppé. Sa propagation chez l’homme est due à la transfusion (avt ’90) et à la toxicomanie </w:t>
      </w:r>
      <w:r w:rsidR="00F62B06">
        <w:rPr>
          <w:rFonts w:ascii="Cambria Math" w:hAnsi="Cambria Math"/>
        </w:rPr>
        <w:t>⇨</w:t>
      </w:r>
      <w:r w:rsidR="00F62B06">
        <w:t xml:space="preserve"> transmission essentiellement parentérale. Svt associé au VIH.</w:t>
      </w:r>
    </w:p>
    <w:p w:rsidR="00F62B06" w:rsidRPr="00A86C85" w:rsidRDefault="00F62B06" w:rsidP="00B16F08">
      <w:pPr>
        <w:pStyle w:val="Paragraphedeliste"/>
        <w:numPr>
          <w:ilvl w:val="1"/>
          <w:numId w:val="2"/>
        </w:numPr>
        <w:tabs>
          <w:tab w:val="left" w:pos="1134"/>
        </w:tabs>
        <w:spacing w:before="0"/>
        <w:ind w:left="1134" w:hanging="357"/>
        <w:contextualSpacing w:val="0"/>
        <w:jc w:val="both"/>
      </w:pPr>
      <w:r>
        <w:rPr>
          <w:b/>
          <w:sz w:val="24"/>
          <w:u w:val="single"/>
        </w:rPr>
        <w:t>Transmission materno-</w:t>
      </w:r>
      <w:r w:rsidRPr="00F62B06">
        <w:rPr>
          <w:b/>
          <w:sz w:val="24"/>
          <w:u w:val="single"/>
        </w:rPr>
        <w:t>fœtale</w:t>
      </w:r>
      <w:r>
        <w:rPr>
          <w:sz w:val="24"/>
        </w:rPr>
        <w:t xml:space="preserve"> : </w:t>
      </w:r>
      <w:r>
        <w:t>1</w:t>
      </w:r>
      <w:r w:rsidRPr="00F62B06">
        <w:rPr>
          <w:vertAlign w:val="superscript"/>
        </w:rPr>
        <w:t>ère</w:t>
      </w:r>
      <w:r>
        <w:t xml:space="preserve"> cause d’infection VHC chez l’enfant. Le risque de transmission augmente s’il y a virémie ; le taux de passage au fœtus </w:t>
      </w:r>
      <w:r>
        <w:rPr>
          <w:rFonts w:ascii="Cambria Math" w:hAnsi="Cambria Math"/>
        </w:rPr>
        <w:t>↗</w:t>
      </w:r>
      <w:r>
        <w:t xml:space="preserve"> si la mère est aussi infectée par le VIH.</w:t>
      </w:r>
      <w:r>
        <w:rPr>
          <w:sz w:val="24"/>
        </w:rPr>
        <w:t xml:space="preserve"> </w:t>
      </w:r>
      <w:r w:rsidRPr="00A86C85">
        <w:t>Pas de conséquence sur le dvpt fœtal, et la grossesse n’aggrave pas la virémie du VHC.</w:t>
      </w:r>
    </w:p>
    <w:p w:rsidR="00293924" w:rsidRDefault="00293924" w:rsidP="00B16F08">
      <w:pPr>
        <w:pStyle w:val="Paragraphedeliste"/>
        <w:numPr>
          <w:ilvl w:val="1"/>
          <w:numId w:val="2"/>
        </w:numPr>
        <w:tabs>
          <w:tab w:val="left" w:pos="1134"/>
        </w:tabs>
        <w:spacing w:before="0"/>
        <w:ind w:left="1134" w:hanging="357"/>
        <w:contextualSpacing w:val="0"/>
        <w:jc w:val="both"/>
        <w:rPr>
          <w:sz w:val="24"/>
        </w:rPr>
      </w:pPr>
      <w:r>
        <w:rPr>
          <w:b/>
          <w:sz w:val="24"/>
          <w:u w:val="single"/>
        </w:rPr>
        <w:t>Clinique</w:t>
      </w:r>
      <w:r w:rsidRPr="00293924">
        <w:rPr>
          <w:b/>
          <w:sz w:val="24"/>
        </w:rPr>
        <w:t> </w:t>
      </w:r>
      <w:r w:rsidRPr="00293924">
        <w:rPr>
          <w:sz w:val="24"/>
        </w:rPr>
        <w:t>:</w:t>
      </w:r>
      <w:r>
        <w:rPr>
          <w:sz w:val="24"/>
        </w:rPr>
        <w:t xml:space="preserve"> </w:t>
      </w:r>
      <w:r>
        <w:t>90% de formes asympto ; guérison spontanée ds 20% des cas (30-40% chez enfants contaminés à la naissance)</w:t>
      </w:r>
      <w:r>
        <w:rPr>
          <w:sz w:val="24"/>
        </w:rPr>
        <w:t xml:space="preserve">. </w:t>
      </w:r>
      <w:r w:rsidRPr="005F48D4">
        <w:rPr>
          <w:u w:val="single"/>
        </w:rPr>
        <w:t>Pas de forme fulminante sauf si coïnfection</w:t>
      </w:r>
      <w:r w:rsidRPr="00A86C85">
        <w:t xml:space="preserve"> VHA ou VHB. </w:t>
      </w:r>
      <w:r w:rsidRPr="00A86C85">
        <w:rPr>
          <w:i/>
        </w:rPr>
        <w:t>80% de passage à la chronicité !</w:t>
      </w:r>
      <w:r w:rsidR="00263DA0" w:rsidRPr="00A86C85">
        <w:t xml:space="preserve"> (réplication virale &gt; 6mois)</w:t>
      </w:r>
      <w:r w:rsidRPr="00A86C85">
        <w:t xml:space="preserve"> </w:t>
      </w:r>
      <w:r w:rsidRPr="00A86C85">
        <w:rPr>
          <w:rFonts w:ascii="Cambria Math" w:hAnsi="Cambria Math"/>
        </w:rPr>
        <w:t>⇨</w:t>
      </w:r>
      <w:r w:rsidRPr="00A86C85">
        <w:t xml:space="preserve"> 20% d’évolut</w:t>
      </w:r>
      <w:r w:rsidR="00B16F08">
        <w:t>°</w:t>
      </w:r>
      <w:r w:rsidRPr="00A86C85">
        <w:t xml:space="preserve"> vers la cirrhose (fav par alcool, coïnfect</w:t>
      </w:r>
      <w:r w:rsidR="00B16F08">
        <w:t>°</w:t>
      </w:r>
      <w:r w:rsidRPr="00A86C85">
        <w:t xml:space="preserve"> VIH).</w:t>
      </w:r>
    </w:p>
    <w:p w:rsidR="007A3F6F" w:rsidRDefault="007A3F6F" w:rsidP="00B16F08">
      <w:pPr>
        <w:pStyle w:val="Paragraphedeliste"/>
        <w:numPr>
          <w:ilvl w:val="1"/>
          <w:numId w:val="2"/>
        </w:numPr>
        <w:tabs>
          <w:tab w:val="left" w:pos="1134"/>
        </w:tabs>
        <w:spacing w:before="0"/>
        <w:ind w:left="1134" w:hanging="357"/>
        <w:contextualSpacing w:val="0"/>
        <w:jc w:val="both"/>
        <w:rPr>
          <w:sz w:val="24"/>
        </w:rPr>
      </w:pPr>
      <w:r>
        <w:rPr>
          <w:b/>
          <w:sz w:val="24"/>
          <w:u w:val="single"/>
        </w:rPr>
        <w:t>Cycle de réplication</w:t>
      </w:r>
      <w:r w:rsidRPr="007A3F6F">
        <w:rPr>
          <w:b/>
          <w:sz w:val="24"/>
        </w:rPr>
        <w:t> </w:t>
      </w:r>
      <w:r w:rsidRPr="007A3F6F">
        <w:rPr>
          <w:sz w:val="24"/>
        </w:rPr>
        <w:t>:</w:t>
      </w:r>
      <w:r>
        <w:rPr>
          <w:sz w:val="24"/>
        </w:rPr>
        <w:t xml:space="preserve"> </w:t>
      </w:r>
      <w:r>
        <w:rPr>
          <w:rFonts w:ascii="Times New Roman" w:hAnsi="Times New Roman" w:cs="Times New Roman"/>
        </w:rPr>
        <w:t>¢</w:t>
      </w:r>
      <w:r>
        <w:t>-cibles= hépatocytes +++. Le Rc du virus n’est pas encore identifié. Le virus pénètre par endocytose. Les régions 5’ et 3’ de l’ARN viral sont non codantes ms 1°/ permettent l’accrochage et le décrochage des ribosomes, et 2°/ permettent de fav la fixt° des prot de capside.</w:t>
      </w:r>
      <w:r>
        <w:rPr>
          <w:sz w:val="24"/>
        </w:rPr>
        <w:t xml:space="preserve"> </w:t>
      </w:r>
      <w:r w:rsidRPr="00A86C85">
        <w:t xml:space="preserve">L’ARN code pr </w:t>
      </w:r>
      <w:r w:rsidRPr="00A86C85">
        <w:rPr>
          <w:u w:val="single"/>
        </w:rPr>
        <w:t>1 précurseur polypeptidique</w:t>
      </w:r>
      <w:r w:rsidRPr="00A86C85">
        <w:t xml:space="preserve">, ds lequel se trouve 1 protéase NS2 qui va cliver la chaîne, ce qui va activer NS3 etc… </w:t>
      </w:r>
      <w:r w:rsidR="00F54181" w:rsidRPr="00A86C85">
        <w:t>il y aura ainsi des prot enzymatiques et régulatrices. D</w:t>
      </w:r>
      <w:r w:rsidRPr="00A86C85">
        <w:t xml:space="preserve">es protéases cellulaires vont cliver les prot C, E1, E2 (qui st des prot </w:t>
      </w:r>
      <w:r w:rsidR="00F54181" w:rsidRPr="00A86C85">
        <w:t xml:space="preserve">de structure du virus), et la prot NS (=non-structurale). NS5b est une polymérase. </w:t>
      </w:r>
      <w:r w:rsidR="00F54181" w:rsidRPr="00A86C85">
        <w:rPr>
          <w:i/>
        </w:rPr>
        <w:t>La cascade des protéases est une cible thérapeutique.</w:t>
      </w:r>
    </w:p>
    <w:p w:rsidR="00F54181" w:rsidRDefault="00F54181" w:rsidP="00B16F08">
      <w:pPr>
        <w:pStyle w:val="Paragraphedeliste"/>
        <w:numPr>
          <w:ilvl w:val="1"/>
          <w:numId w:val="2"/>
        </w:numPr>
        <w:tabs>
          <w:tab w:val="left" w:pos="1134"/>
        </w:tabs>
        <w:spacing w:before="0"/>
        <w:ind w:left="1134" w:hanging="357"/>
        <w:contextualSpacing w:val="0"/>
        <w:jc w:val="both"/>
      </w:pPr>
      <w:r>
        <w:rPr>
          <w:b/>
          <w:sz w:val="24"/>
          <w:u w:val="single"/>
        </w:rPr>
        <w:t>Diagnostic</w:t>
      </w:r>
      <w:r w:rsidRPr="00F54181">
        <w:rPr>
          <w:sz w:val="24"/>
        </w:rPr>
        <w:t> :</w:t>
      </w:r>
      <w:r>
        <w:rPr>
          <w:sz w:val="24"/>
        </w:rPr>
        <w:t xml:space="preserve"> </w:t>
      </w:r>
      <w:r w:rsidRPr="00A86C85">
        <w:t xml:space="preserve">RT-PCR ++. Si on a 1 sérologie (ELISA) </w:t>
      </w:r>
      <w:r w:rsidRPr="00A86C85">
        <w:rPr>
          <w:rFonts w:ascii="Cambria Math" w:hAnsi="Cambria Math"/>
        </w:rPr>
        <w:t>⊕</w:t>
      </w:r>
      <w:r w:rsidRPr="00A86C85">
        <w:t xml:space="preserve"> au VHC </w:t>
      </w:r>
      <w:r w:rsidRPr="00A86C85">
        <w:rPr>
          <w:rFonts w:ascii="Cambria Math" w:hAnsi="Cambria Math"/>
        </w:rPr>
        <w:t>⇨</w:t>
      </w:r>
      <w:r w:rsidRPr="00A86C85">
        <w:t xml:space="preserve"> PCR, si </w:t>
      </w:r>
      <w:r w:rsidRPr="00A86C85">
        <w:rPr>
          <w:rFonts w:ascii="Cambria Math" w:hAnsi="Cambria Math"/>
        </w:rPr>
        <w:t>⊕</w:t>
      </w:r>
      <w:r w:rsidRPr="00A86C85">
        <w:t xml:space="preserve"> ça ns oriente vers hépatite chronique active. On doit faire un 2</w:t>
      </w:r>
      <w:r w:rsidRPr="00A86C85">
        <w:rPr>
          <w:vertAlign w:val="superscript"/>
        </w:rPr>
        <w:t>nd</w:t>
      </w:r>
      <w:r w:rsidRPr="00A86C85">
        <w:t xml:space="preserve"> prélèvement indépdt pour confirmer le diag.</w:t>
      </w:r>
    </w:p>
    <w:p w:rsidR="00A86C85" w:rsidRDefault="00A86C85" w:rsidP="00B16F08">
      <w:pPr>
        <w:pStyle w:val="Paragraphedeliste"/>
        <w:numPr>
          <w:ilvl w:val="1"/>
          <w:numId w:val="2"/>
        </w:numPr>
        <w:tabs>
          <w:tab w:val="left" w:pos="1134"/>
        </w:tabs>
        <w:spacing w:before="0"/>
        <w:ind w:left="1134" w:hanging="357"/>
        <w:contextualSpacing w:val="0"/>
        <w:jc w:val="both"/>
      </w:pPr>
      <w:r>
        <w:rPr>
          <w:b/>
          <w:sz w:val="24"/>
          <w:u w:val="single"/>
        </w:rPr>
        <w:t>Génotypes</w:t>
      </w:r>
      <w:r w:rsidRPr="00A86C85">
        <w:rPr>
          <w:b/>
          <w:sz w:val="24"/>
        </w:rPr>
        <w:t> :</w:t>
      </w:r>
      <w:r>
        <w:t xml:space="preserve"> </w:t>
      </w:r>
      <w:r w:rsidR="00C30DD7">
        <w:rPr>
          <w:rFonts w:ascii="Cambria Math" w:hAnsi="Cambria Math"/>
        </w:rPr>
        <w:t>≠</w:t>
      </w:r>
      <w:r w:rsidR="00521E46">
        <w:t xml:space="preserve">ces de 10% entre les </w:t>
      </w:r>
      <w:r w:rsidR="00521E46" w:rsidRPr="00251CFF">
        <w:rPr>
          <w:u w:val="single"/>
        </w:rPr>
        <w:t>6 génotypes</w:t>
      </w:r>
      <w:r w:rsidR="00521E46">
        <w:t>. La connaiss</w:t>
      </w:r>
      <w:r w:rsidR="00C30DD7">
        <w:t>an</w:t>
      </w:r>
      <w:r w:rsidR="00521E46">
        <w:t>ce du géno</w:t>
      </w:r>
      <w:r w:rsidR="00C30DD7">
        <w:t>T</w:t>
      </w:r>
      <w:r w:rsidR="00521E46">
        <w:t xml:space="preserve"> est import</w:t>
      </w:r>
      <w:r w:rsidR="00C30DD7">
        <w:t>an</w:t>
      </w:r>
      <w:r w:rsidR="00521E46">
        <w:t>te pr le ttt.</w:t>
      </w:r>
    </w:p>
    <w:p w:rsidR="00C30DD7" w:rsidRDefault="00C30DD7" w:rsidP="00B16F08">
      <w:pPr>
        <w:pStyle w:val="Paragraphedeliste"/>
        <w:numPr>
          <w:ilvl w:val="1"/>
          <w:numId w:val="2"/>
        </w:numPr>
        <w:tabs>
          <w:tab w:val="left" w:pos="1134"/>
        </w:tabs>
        <w:spacing w:before="0"/>
        <w:ind w:left="1134" w:hanging="357"/>
        <w:contextualSpacing w:val="0"/>
        <w:jc w:val="both"/>
      </w:pPr>
      <w:r>
        <w:rPr>
          <w:b/>
          <w:sz w:val="24"/>
          <w:u w:val="single"/>
        </w:rPr>
        <w:t>Ttt</w:t>
      </w:r>
      <w:r w:rsidRPr="00C30DD7">
        <w:t> :</w:t>
      </w:r>
      <w:r>
        <w:t xml:space="preserve"> </w:t>
      </w:r>
      <w:r w:rsidRPr="00251CFF">
        <w:rPr>
          <w:u w:val="single"/>
        </w:rPr>
        <w:t xml:space="preserve">IFN </w:t>
      </w:r>
      <w:r w:rsidRPr="00251CFF">
        <w:rPr>
          <w:u w:val="single"/>
          <w:lang w:val="el-GR"/>
        </w:rPr>
        <w:t>β</w:t>
      </w:r>
      <w:r w:rsidRPr="00251CFF">
        <w:rPr>
          <w:u w:val="single"/>
        </w:rPr>
        <w:t xml:space="preserve"> et </w:t>
      </w:r>
      <w:r w:rsidRPr="00251CFF">
        <w:rPr>
          <w:u w:val="single"/>
          <w:lang w:val="el-GR"/>
        </w:rPr>
        <w:t>α</w:t>
      </w:r>
      <w:r w:rsidRPr="00C30DD7">
        <w:t xml:space="preserve"> </w:t>
      </w:r>
      <w:r>
        <w:t>sont des cytokines naturelles à act</w:t>
      </w:r>
      <w:r w:rsidR="00851985">
        <w:t>i</w:t>
      </w:r>
      <w:r>
        <w:t>v</w:t>
      </w:r>
      <w:r w:rsidR="00851985">
        <w:t>i</w:t>
      </w:r>
      <w:r>
        <w:t xml:space="preserve">té antivirale + </w:t>
      </w:r>
      <w:r w:rsidRPr="00251CFF">
        <w:rPr>
          <w:u w:val="single"/>
        </w:rPr>
        <w:t>Ribavirine</w:t>
      </w:r>
      <w:r>
        <w:t xml:space="preserve"> + </w:t>
      </w:r>
      <w:r w:rsidRPr="00251CFF">
        <w:rPr>
          <w:u w:val="single"/>
        </w:rPr>
        <w:t>pégylation des IFN</w:t>
      </w:r>
      <w:r>
        <w:t xml:space="preserve"> (Peg = polyéthylène glucol) </w:t>
      </w:r>
      <w:r w:rsidRPr="00C30DD7">
        <w:t xml:space="preserve">qui permettent de </w:t>
      </w:r>
      <w:r>
        <w:t>stabiliser les IFN ds la circ° sg</w:t>
      </w:r>
      <w:r w:rsidRPr="00C30DD7">
        <w:rPr>
          <w:vertAlign w:val="superscript"/>
        </w:rPr>
        <w:t>ine</w:t>
      </w:r>
      <w:r>
        <w:t xml:space="preserve"> pr les libérer progress</w:t>
      </w:r>
      <w:r w:rsidR="00851985">
        <w:t>i</w:t>
      </w:r>
      <w:r>
        <w:t>v</w:t>
      </w:r>
      <w:r w:rsidR="00851985">
        <w:t>e</w:t>
      </w:r>
      <w:r>
        <w:t>m</w:t>
      </w:r>
      <w:r w:rsidR="00851985">
        <w:t>en</w:t>
      </w:r>
      <w:r>
        <w:t>t.</w:t>
      </w:r>
      <w:r w:rsidR="00851985">
        <w:t xml:space="preserve"> Les facteurs qui influencent le ttt : génotype VHC (1 mauvais répondeur au ttt, 2 et 3 bon rép), la CV, l’âge, le sexe, l’alcool… </w:t>
      </w:r>
      <w:r w:rsidR="00851985">
        <w:rPr>
          <w:rFonts w:ascii="Cambria Math" w:hAnsi="Cambria Math"/>
        </w:rPr>
        <w:t xml:space="preserve">⇨ </w:t>
      </w:r>
      <w:r w:rsidR="00851985">
        <w:rPr>
          <w:i/>
        </w:rPr>
        <w:t>la connaissance du génotype est essentielle pr le ttt!</w:t>
      </w:r>
    </w:p>
    <w:p w:rsidR="00B84776" w:rsidRPr="00B84776" w:rsidRDefault="00851985" w:rsidP="00B84776">
      <w:pPr>
        <w:pStyle w:val="Paragraphedeliste"/>
        <w:numPr>
          <w:ilvl w:val="1"/>
          <w:numId w:val="2"/>
        </w:numPr>
        <w:tabs>
          <w:tab w:val="left" w:pos="1134"/>
        </w:tabs>
        <w:spacing w:before="0"/>
        <w:ind w:left="1134" w:hanging="357"/>
        <w:contextualSpacing w:val="0"/>
        <w:jc w:val="both"/>
        <w:rPr>
          <w:b/>
          <w:sz w:val="28"/>
          <w:u w:val="single"/>
        </w:rPr>
      </w:pPr>
      <w:r w:rsidRPr="00B84776">
        <w:rPr>
          <w:b/>
          <w:sz w:val="24"/>
          <w:u w:val="single"/>
        </w:rPr>
        <w:t>Bonne évolution chez l’enfant</w:t>
      </w:r>
      <w:r w:rsidRPr="00251CFF">
        <w:t> : seulement 30% de</w:t>
      </w:r>
      <w:r w:rsidR="00251CFF" w:rsidRPr="00251CFF">
        <w:t xml:space="preserve"> passage à la</w:t>
      </w:r>
      <w:r w:rsidRPr="00251CFF">
        <w:t xml:space="preserve"> chronicité, rares complications.</w:t>
      </w:r>
      <w:r w:rsidR="00B84776" w:rsidRPr="00B84776">
        <w:rPr>
          <w:b/>
          <w:sz w:val="28"/>
          <w:u w:val="single"/>
        </w:rPr>
        <w:br w:type="page"/>
      </w:r>
    </w:p>
    <w:p w:rsidR="00745BC8" w:rsidRDefault="00745BC8" w:rsidP="00745BC8">
      <w:pPr>
        <w:pStyle w:val="Paragraphedeliste"/>
        <w:numPr>
          <w:ilvl w:val="0"/>
          <w:numId w:val="2"/>
        </w:numPr>
        <w:spacing w:before="0" w:after="0"/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lastRenderedPageBreak/>
        <w:t>Le VHB</w:t>
      </w:r>
    </w:p>
    <w:p w:rsidR="005F48D4" w:rsidRPr="001160D4" w:rsidRDefault="001160D4" w:rsidP="001160D4">
      <w:pPr>
        <w:pStyle w:val="Paragraphedeliste"/>
        <w:numPr>
          <w:ilvl w:val="1"/>
          <w:numId w:val="2"/>
        </w:numPr>
        <w:spacing w:before="0" w:after="0"/>
        <w:ind w:left="1134"/>
        <w:jc w:val="both"/>
        <w:rPr>
          <w:b/>
          <w:sz w:val="24"/>
          <w:u w:val="single"/>
        </w:rPr>
      </w:pPr>
      <w:r w:rsidRPr="001160D4">
        <w:rPr>
          <w:b/>
          <w:sz w:val="24"/>
          <w:u w:val="single"/>
        </w:rPr>
        <w:t>Structure</w:t>
      </w:r>
    </w:p>
    <w:p w:rsidR="001160D4" w:rsidRPr="001160D4" w:rsidRDefault="001160D4" w:rsidP="00561D0B">
      <w:pPr>
        <w:pStyle w:val="Paragraphedeliste"/>
        <w:numPr>
          <w:ilvl w:val="2"/>
          <w:numId w:val="2"/>
        </w:numPr>
        <w:spacing w:before="0" w:after="0"/>
        <w:ind w:left="1418" w:hanging="288"/>
        <w:jc w:val="both"/>
      </w:pPr>
      <w:r w:rsidRPr="001160D4">
        <w:rPr>
          <w:b/>
        </w:rPr>
        <w:t xml:space="preserve">Enveloppe </w:t>
      </w:r>
      <w:r w:rsidRPr="001160D4">
        <w:t xml:space="preserve">= prot </w:t>
      </w:r>
      <w:r w:rsidRPr="00E33CCD">
        <w:rPr>
          <w:bdr w:val="single" w:sz="4" w:space="0" w:color="auto"/>
        </w:rPr>
        <w:t>HBs</w:t>
      </w:r>
      <w:r w:rsidRPr="001160D4">
        <w:t xml:space="preserve"> (+phospholipides, prot préS1 et </w:t>
      </w:r>
      <w:r w:rsidR="007D6A34">
        <w:t>pré</w:t>
      </w:r>
      <w:r w:rsidRPr="001160D4">
        <w:t>S2).</w:t>
      </w:r>
    </w:p>
    <w:p w:rsidR="001160D4" w:rsidRPr="001160D4" w:rsidRDefault="001160D4" w:rsidP="00561D0B">
      <w:pPr>
        <w:pStyle w:val="Paragraphedeliste"/>
        <w:numPr>
          <w:ilvl w:val="2"/>
          <w:numId w:val="2"/>
        </w:numPr>
        <w:spacing w:before="0" w:after="0"/>
        <w:ind w:left="1418" w:hanging="288"/>
        <w:jc w:val="both"/>
      </w:pPr>
      <w:r w:rsidRPr="001160D4">
        <w:rPr>
          <w:b/>
        </w:rPr>
        <w:t xml:space="preserve">Capside </w:t>
      </w:r>
      <w:r w:rsidRPr="001160D4">
        <w:t xml:space="preserve">= prot </w:t>
      </w:r>
      <w:r w:rsidRPr="00E33CCD">
        <w:rPr>
          <w:bdr w:val="single" w:sz="4" w:space="0" w:color="auto"/>
        </w:rPr>
        <w:t>HBc</w:t>
      </w:r>
      <w:r w:rsidRPr="001160D4">
        <w:t>.</w:t>
      </w:r>
    </w:p>
    <w:p w:rsidR="001160D4" w:rsidRPr="001160D4" w:rsidRDefault="001160D4" w:rsidP="00561D0B">
      <w:pPr>
        <w:pStyle w:val="Paragraphedeliste"/>
        <w:numPr>
          <w:ilvl w:val="2"/>
          <w:numId w:val="2"/>
        </w:numPr>
        <w:spacing w:before="0" w:after="0"/>
        <w:ind w:left="1418" w:hanging="288"/>
        <w:jc w:val="both"/>
      </w:pPr>
      <w:r w:rsidRPr="001160D4">
        <w:rPr>
          <w:b/>
        </w:rPr>
        <w:t xml:space="preserve">Génome </w:t>
      </w:r>
      <w:r w:rsidRPr="001160D4">
        <w:t xml:space="preserve">= </w:t>
      </w:r>
      <w:r w:rsidRPr="0081580C">
        <w:rPr>
          <w:u w:val="single"/>
        </w:rPr>
        <w:t>ADN</w:t>
      </w:r>
      <w:r w:rsidRPr="0081580C">
        <w:rPr>
          <w:sz w:val="18"/>
          <w:u w:val="single"/>
        </w:rPr>
        <w:t xml:space="preserve"> partiellement double-brin</w:t>
      </w:r>
      <w:r>
        <w:rPr>
          <w:rFonts w:eastAsiaTheme="minorEastAsia"/>
        </w:rPr>
        <w:t xml:space="preserve"> </w:t>
      </w:r>
      <m:oMath>
        <m:d>
          <m:dPr>
            <m:begChr m:val="{"/>
            <m:endChr m:val=""/>
            <m:ctrlPr>
              <w:rPr>
                <w:rFonts w:ascii="Cambria Math" w:hAnsi="Cambria Math"/>
                <w:i/>
                <w:sz w:val="18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  <w:sz w:val="18"/>
                  </w:rPr>
                </m:ctrlPr>
              </m:eqArrPr>
              <m:e>
                <m:r>
                  <m:rPr>
                    <m:nor/>
                  </m:rPr>
                  <w:rPr>
                    <w:sz w:val="18"/>
                  </w:rPr>
                  <m:t>1 brin circulaire complet,</m:t>
                </m:r>
                <m:r>
                  <m:rPr>
                    <m:nor/>
                  </m:rPr>
                  <w:rPr>
                    <w:rFonts w:ascii="Cambria Math"/>
                    <w:sz w:val="18"/>
                  </w:rPr>
                  <m:t xml:space="preserve"> </m:t>
                </m:r>
                <m:r>
                  <m:rPr>
                    <m:nor/>
                  </m:rPr>
                  <w:rPr>
                    <w:sz w:val="18"/>
                  </w:rPr>
                  <m:t xml:space="preserve">                </m:t>
                </m:r>
              </m:e>
              <m:e>
                <m:r>
                  <m:rPr>
                    <m:nor/>
                  </m:rPr>
                  <w:rPr>
                    <w:sz w:val="18"/>
                  </w:rPr>
                  <m:t>1 brin complémentaire incomplet</m:t>
                </m:r>
                <m:r>
                  <w:rPr>
                    <w:rFonts w:ascii="Cambria Math"/>
                    <w:sz w:val="18"/>
                  </w:rPr>
                  <m:t>.</m:t>
                </m:r>
              </m:e>
            </m:eqArr>
          </m:e>
        </m:d>
      </m:oMath>
    </w:p>
    <w:p w:rsidR="001160D4" w:rsidRDefault="001160D4" w:rsidP="00561D0B">
      <w:pPr>
        <w:pStyle w:val="Paragraphedeliste"/>
        <w:numPr>
          <w:ilvl w:val="2"/>
          <w:numId w:val="2"/>
        </w:numPr>
        <w:spacing w:before="0" w:after="0"/>
        <w:ind w:left="1418" w:hanging="288"/>
        <w:jc w:val="both"/>
      </w:pPr>
      <w:r w:rsidRPr="001160D4">
        <w:rPr>
          <w:b/>
        </w:rPr>
        <w:t xml:space="preserve">Polymérase </w:t>
      </w:r>
      <w:r w:rsidRPr="001160D4">
        <w:t>= enz qui ‘fabrique’ le génome viral.</w:t>
      </w:r>
    </w:p>
    <w:p w:rsidR="00561D0B" w:rsidRDefault="00561D0B" w:rsidP="00561D0B">
      <w:pPr>
        <w:pStyle w:val="Paragraphedeliste"/>
        <w:numPr>
          <w:ilvl w:val="1"/>
          <w:numId w:val="2"/>
        </w:numPr>
        <w:spacing w:before="0" w:after="0"/>
        <w:ind w:left="1134"/>
        <w:jc w:val="both"/>
        <w:rPr>
          <w:b/>
          <w:sz w:val="24"/>
          <w:u w:val="single"/>
        </w:rPr>
      </w:pPr>
      <w:r w:rsidRPr="00561D0B">
        <w:rPr>
          <w:b/>
          <w:sz w:val="24"/>
          <w:u w:val="single"/>
        </w:rPr>
        <w:t>Cycle de réplication</w:t>
      </w:r>
    </w:p>
    <w:p w:rsidR="00561D0B" w:rsidRPr="00561D0B" w:rsidRDefault="00561D0B" w:rsidP="00561D0B">
      <w:pPr>
        <w:pStyle w:val="Paragraphedeliste"/>
        <w:numPr>
          <w:ilvl w:val="3"/>
          <w:numId w:val="2"/>
        </w:numPr>
        <w:spacing w:before="0" w:after="0"/>
        <w:ind w:left="1418"/>
        <w:jc w:val="both"/>
      </w:pPr>
      <w:r w:rsidRPr="00561D0B">
        <w:t xml:space="preserve">Le virus rentre par </w:t>
      </w:r>
      <w:r w:rsidRPr="00AF55DA">
        <w:rPr>
          <w:b/>
        </w:rPr>
        <w:t>endocytose</w:t>
      </w:r>
      <w:r w:rsidRPr="00561D0B">
        <w:t xml:space="preserve"> ds l’hépatocyte (fusion entre </w:t>
      </w:r>
      <w:r w:rsidR="00AF55DA">
        <w:t>l’</w:t>
      </w:r>
      <w:r w:rsidRPr="00561D0B">
        <w:t xml:space="preserve">enveloppe virale et Mb </w:t>
      </w:r>
      <w:r w:rsidRPr="00561D0B">
        <w:rPr>
          <w:rFonts w:ascii="Times New Roman" w:hAnsi="Times New Roman" w:cs="Times New Roman"/>
        </w:rPr>
        <w:t>¢</w:t>
      </w:r>
      <w:r w:rsidRPr="00AF55DA">
        <w:rPr>
          <w:vertAlign w:val="superscript"/>
        </w:rPr>
        <w:t>aire</w:t>
      </w:r>
      <w:r w:rsidRPr="00561D0B">
        <w:t>).</w:t>
      </w:r>
    </w:p>
    <w:p w:rsidR="00561D0B" w:rsidRPr="00561D0B" w:rsidRDefault="00561D0B" w:rsidP="00561D0B">
      <w:pPr>
        <w:pStyle w:val="Paragraphedeliste"/>
        <w:numPr>
          <w:ilvl w:val="3"/>
          <w:numId w:val="2"/>
        </w:numPr>
        <w:spacing w:before="0" w:after="0"/>
        <w:ind w:left="1418"/>
        <w:jc w:val="both"/>
      </w:pPr>
      <w:r w:rsidRPr="00AF55DA">
        <w:rPr>
          <w:b/>
        </w:rPr>
        <w:t>Décapsidation</w:t>
      </w:r>
      <w:r w:rsidRPr="00561D0B">
        <w:t xml:space="preserve"> ds le cytoplasme.</w:t>
      </w:r>
    </w:p>
    <w:p w:rsidR="00561D0B" w:rsidRPr="00561D0B" w:rsidRDefault="00561D0B" w:rsidP="00561D0B">
      <w:pPr>
        <w:pStyle w:val="Paragraphedeliste"/>
        <w:numPr>
          <w:ilvl w:val="3"/>
          <w:numId w:val="2"/>
        </w:numPr>
        <w:spacing w:before="0" w:after="0"/>
        <w:ind w:left="1418"/>
        <w:jc w:val="both"/>
      </w:pPr>
      <w:r w:rsidRPr="00561D0B">
        <w:t xml:space="preserve">La </w:t>
      </w:r>
      <w:r w:rsidRPr="00AF55DA">
        <w:rPr>
          <w:b/>
        </w:rPr>
        <w:t>polymérase</w:t>
      </w:r>
      <w:r w:rsidRPr="00561D0B">
        <w:t xml:space="preserve"> termine le génome </w:t>
      </w:r>
      <w:r w:rsidRPr="00561D0B">
        <w:rPr>
          <w:rFonts w:ascii="Cambria Math" w:hAnsi="Cambria Math"/>
        </w:rPr>
        <w:t>⇨</w:t>
      </w:r>
      <w:r w:rsidRPr="00561D0B">
        <w:t xml:space="preserve"> </w:t>
      </w:r>
      <w:r w:rsidRPr="00AF55DA">
        <w:rPr>
          <w:u w:val="single"/>
        </w:rPr>
        <w:t>totalement double brin</w:t>
      </w:r>
      <w:r w:rsidRPr="00561D0B">
        <w:t xml:space="preserve"> d’ADN.</w:t>
      </w:r>
    </w:p>
    <w:p w:rsidR="00561D0B" w:rsidRDefault="00561D0B" w:rsidP="00561D0B">
      <w:pPr>
        <w:pStyle w:val="Paragraphedeliste"/>
        <w:numPr>
          <w:ilvl w:val="3"/>
          <w:numId w:val="2"/>
        </w:numPr>
        <w:spacing w:before="0" w:after="0"/>
        <w:ind w:left="1418"/>
        <w:jc w:val="both"/>
      </w:pPr>
      <w:r w:rsidRPr="00CD75CB">
        <w:rPr>
          <w:b/>
        </w:rPr>
        <w:t>Migrat</w:t>
      </w:r>
      <w:r w:rsidR="00AF55DA" w:rsidRPr="00CD75CB">
        <w:rPr>
          <w:b/>
        </w:rPr>
        <w:t>°</w:t>
      </w:r>
      <w:r w:rsidRPr="00CD75CB">
        <w:rPr>
          <w:b/>
        </w:rPr>
        <w:t xml:space="preserve"> de l’ADN</w:t>
      </w:r>
      <w:r w:rsidR="00AF55DA">
        <w:t xml:space="preserve"> viral ds le noy</w:t>
      </w:r>
      <w:r w:rsidRPr="00561D0B">
        <w:t xml:space="preserve"> </w:t>
      </w:r>
      <w:r w:rsidRPr="00561D0B">
        <w:rPr>
          <w:rFonts w:ascii="Times New Roman" w:hAnsi="Times New Roman" w:cs="Times New Roman"/>
        </w:rPr>
        <w:t>¢</w:t>
      </w:r>
      <w:r w:rsidRPr="00AF55DA">
        <w:rPr>
          <w:vertAlign w:val="superscript"/>
        </w:rPr>
        <w:t>aire</w:t>
      </w:r>
      <w:r w:rsidRPr="00561D0B">
        <w:t xml:space="preserve"> </w:t>
      </w:r>
      <w:r w:rsidRPr="00561D0B">
        <w:rPr>
          <w:rFonts w:ascii="Cambria Math" w:hAnsi="Cambria Math"/>
        </w:rPr>
        <w:t>⇨</w:t>
      </w:r>
      <w:r w:rsidRPr="00561D0B">
        <w:t xml:space="preserve"> forme </w:t>
      </w:r>
      <w:r w:rsidRPr="00CD75CB">
        <w:rPr>
          <w:u w:val="single"/>
        </w:rPr>
        <w:t>super-enroulée</w:t>
      </w:r>
      <w:r w:rsidRPr="00561D0B">
        <w:t xml:space="preserve"> </w:t>
      </w:r>
      <w:r w:rsidRPr="00561D0B">
        <w:rPr>
          <w:rFonts w:ascii="Cambria Math" w:hAnsi="Cambria Math"/>
        </w:rPr>
        <w:t>⇨</w:t>
      </w:r>
      <w:r w:rsidR="00AF55DA">
        <w:t xml:space="preserve"> pr ê</w:t>
      </w:r>
      <w:r w:rsidRPr="00561D0B">
        <w:t xml:space="preserve"> le + sta</w:t>
      </w:r>
      <w:r w:rsidR="00AF55DA">
        <w:t>ble</w:t>
      </w:r>
      <w:r w:rsidRPr="00561D0B">
        <w:t xml:space="preserve"> et perdurer ds le tps.</w:t>
      </w:r>
    </w:p>
    <w:p w:rsidR="00AF55DA" w:rsidRDefault="00AF55DA" w:rsidP="00561D0B">
      <w:pPr>
        <w:pStyle w:val="Paragraphedeliste"/>
        <w:numPr>
          <w:ilvl w:val="3"/>
          <w:numId w:val="2"/>
        </w:numPr>
        <w:spacing w:before="0" w:after="0"/>
        <w:ind w:left="1418"/>
        <w:jc w:val="both"/>
      </w:pPr>
      <w:r w:rsidRPr="00AF55DA">
        <w:rPr>
          <w:b/>
        </w:rPr>
        <w:t>Transcription</w:t>
      </w:r>
      <w:r w:rsidRPr="00AF55DA">
        <w:t xml:space="preserve"> ds le noy</w:t>
      </w:r>
      <w:r w:rsidR="007937C1">
        <w:t>au</w:t>
      </w:r>
      <w:r w:rsidRPr="00AF55DA">
        <w:t xml:space="preserve"> de l’ADN viral en </w:t>
      </w:r>
      <w:r w:rsidRPr="00FC7828">
        <w:rPr>
          <w:b/>
        </w:rPr>
        <w:t>4 ARN</w:t>
      </w:r>
      <w:r w:rsidR="00FC7828">
        <w:t>, d</w:t>
      </w:r>
      <w:r w:rsidR="007937C1">
        <w:t>ont</w:t>
      </w:r>
      <w:r w:rsidR="00FC7828">
        <w:t xml:space="preserve"> l’ARN 3.5kb </w:t>
      </w:r>
      <w:r w:rsidR="00FC7828">
        <w:rPr>
          <w:rFonts w:ascii="Cambria Math" w:hAnsi="Cambria Math"/>
        </w:rPr>
        <w:t>⇨</w:t>
      </w:r>
      <w:r w:rsidR="00FC7828">
        <w:t xml:space="preserve"> synthèse de la </w:t>
      </w:r>
      <w:r w:rsidR="00FC7828" w:rsidRPr="00FC7828">
        <w:rPr>
          <w:b/>
        </w:rPr>
        <w:t>polymérase</w:t>
      </w:r>
      <w:r w:rsidR="00FC7828">
        <w:t xml:space="preserve"> </w:t>
      </w:r>
      <w:r w:rsidR="00FC7828">
        <w:rPr>
          <w:rFonts w:ascii="Cambria Math" w:hAnsi="Cambria Math"/>
        </w:rPr>
        <w:t>⇨</w:t>
      </w:r>
      <w:r w:rsidR="00FC7828">
        <w:t xml:space="preserve">synthèse d’ADN grâce à son </w:t>
      </w:r>
      <w:r w:rsidR="00FC7828" w:rsidRPr="00FC7828">
        <w:rPr>
          <w:b/>
        </w:rPr>
        <w:t>act</w:t>
      </w:r>
      <w:r w:rsidR="00FC7828">
        <w:rPr>
          <w:b/>
        </w:rPr>
        <w:t>ivité</w:t>
      </w:r>
      <w:r w:rsidR="00FC7828" w:rsidRPr="00FC7828">
        <w:rPr>
          <w:b/>
        </w:rPr>
        <w:t xml:space="preserve"> reverse-transcriptase</w:t>
      </w:r>
      <w:r w:rsidR="00FC7828">
        <w:t xml:space="preserve"> à partir de l’</w:t>
      </w:r>
      <w:r w:rsidR="00FC7828" w:rsidRPr="00FC7828">
        <w:rPr>
          <w:u w:val="single"/>
        </w:rPr>
        <w:t>ARN génomique</w:t>
      </w:r>
      <w:r w:rsidR="00FC7828">
        <w:t xml:space="preserve"> </w:t>
      </w:r>
      <w:r w:rsidR="00FC7828">
        <w:rPr>
          <w:rFonts w:ascii="Cambria Math" w:hAnsi="Cambria Math"/>
        </w:rPr>
        <w:t>⇨</w:t>
      </w:r>
      <w:r w:rsidR="00FC7828">
        <w:t xml:space="preserve"> 1 brin complet circulaire et un 2</w:t>
      </w:r>
      <w:r w:rsidR="00FC7828" w:rsidRPr="00FC7828">
        <w:rPr>
          <w:vertAlign w:val="superscript"/>
        </w:rPr>
        <w:t>nd</w:t>
      </w:r>
      <w:r w:rsidR="00FC7828">
        <w:t xml:space="preserve"> brin incomplet.</w:t>
      </w:r>
    </w:p>
    <w:p w:rsidR="00FC7828" w:rsidRDefault="00FC7828" w:rsidP="00561D0B">
      <w:pPr>
        <w:pStyle w:val="Paragraphedeliste"/>
        <w:numPr>
          <w:ilvl w:val="3"/>
          <w:numId w:val="2"/>
        </w:numPr>
        <w:spacing w:before="0" w:after="0"/>
        <w:ind w:left="1418"/>
        <w:jc w:val="both"/>
      </w:pPr>
      <w:r w:rsidRPr="00FC7828">
        <w:t xml:space="preserve">Production des différentes prot virales </w:t>
      </w:r>
      <w:r w:rsidRPr="00FC7828">
        <w:rPr>
          <w:rFonts w:ascii="Cambria Math" w:hAnsi="Cambria Math"/>
        </w:rPr>
        <w:t>⇨</w:t>
      </w:r>
      <w:r w:rsidRPr="00FC7828">
        <w:t xml:space="preserve"> </w:t>
      </w:r>
      <w:r w:rsidRPr="00FC7828">
        <w:rPr>
          <w:b/>
        </w:rPr>
        <w:t>encapsidation</w:t>
      </w:r>
      <w:r>
        <w:t xml:space="preserve">, enveloppe… </w:t>
      </w:r>
      <w:r>
        <w:rPr>
          <w:rFonts w:ascii="Cambria Math" w:hAnsi="Cambria Math"/>
        </w:rPr>
        <w:t>⇨</w:t>
      </w:r>
      <w:r>
        <w:t xml:space="preserve"> sort de la </w:t>
      </w:r>
      <w:r>
        <w:rPr>
          <w:rFonts w:ascii="Times New Roman" w:hAnsi="Times New Roman" w:cs="Times New Roman"/>
        </w:rPr>
        <w:t>¢</w:t>
      </w:r>
      <w:r>
        <w:t xml:space="preserve"> sans lyse </w:t>
      </w:r>
      <w:r>
        <w:rPr>
          <w:rFonts w:ascii="Times New Roman" w:hAnsi="Times New Roman" w:cs="Times New Roman"/>
        </w:rPr>
        <w:t>¢</w:t>
      </w:r>
      <w:r w:rsidRPr="00FC7828">
        <w:rPr>
          <w:vertAlign w:val="superscript"/>
        </w:rPr>
        <w:t>aire</w:t>
      </w:r>
      <w:r>
        <w:t>.</w:t>
      </w:r>
    </w:p>
    <w:p w:rsidR="00FC7828" w:rsidRDefault="00FC7828" w:rsidP="00561D0B">
      <w:pPr>
        <w:pStyle w:val="Paragraphedeliste"/>
        <w:numPr>
          <w:ilvl w:val="3"/>
          <w:numId w:val="2"/>
        </w:numPr>
        <w:spacing w:before="0" w:after="0"/>
        <w:ind w:left="1418"/>
        <w:jc w:val="both"/>
      </w:pPr>
      <w:r>
        <w:t>Production de l’</w:t>
      </w:r>
      <w:r w:rsidRPr="008D1B01">
        <w:rPr>
          <w:b/>
        </w:rPr>
        <w:t>Ag e</w:t>
      </w:r>
      <w:r w:rsidR="008D1B01">
        <w:t xml:space="preserve"> = prot produite </w:t>
      </w:r>
      <w:r w:rsidR="008D1B01" w:rsidRPr="008D1B01">
        <w:rPr>
          <w:u w:val="single"/>
        </w:rPr>
        <w:t>à partir de l’ARN de la prot de capside (=Ag c)</w:t>
      </w:r>
      <w:r w:rsidR="008D1B01">
        <w:t xml:space="preserve">, ms à partir d’une autre région d’initiation qui précède celle de l’Ag c. Cette prot a ainsi un signal qui permet sa </w:t>
      </w:r>
      <w:r w:rsidR="008D1B01" w:rsidRPr="008D1B01">
        <w:rPr>
          <w:b/>
        </w:rPr>
        <w:t>sécrétion</w:t>
      </w:r>
      <w:r w:rsidR="008D1B01">
        <w:t xml:space="preserve"> (signal que n’a pas l’Ag c </w:t>
      </w:r>
      <w:r w:rsidR="008D1B01">
        <w:rPr>
          <w:rFonts w:ascii="Cambria Math" w:hAnsi="Cambria Math"/>
        </w:rPr>
        <w:t>⇨</w:t>
      </w:r>
      <w:r w:rsidR="008D1B01">
        <w:t xml:space="preserve"> formation de la capside).</w:t>
      </w:r>
    </w:p>
    <w:p w:rsidR="00562FA7" w:rsidRDefault="00562FA7" w:rsidP="00562FA7">
      <w:pPr>
        <w:pStyle w:val="Paragraphedeliste"/>
        <w:numPr>
          <w:ilvl w:val="4"/>
          <w:numId w:val="2"/>
        </w:numPr>
        <w:spacing w:before="0" w:after="0"/>
        <w:ind w:left="1843"/>
        <w:jc w:val="both"/>
      </w:pPr>
      <w:r>
        <w:t xml:space="preserve">Cepdt il existe </w:t>
      </w:r>
      <w:r w:rsidRPr="00562FA7">
        <w:rPr>
          <w:b/>
        </w:rPr>
        <w:t>50-60% de souches mutantes « pré-c »</w:t>
      </w:r>
      <w:r>
        <w:t xml:space="preserve">, ou « e-négatif », qui ne produisent pas l’Ag e circulant </w:t>
      </w:r>
      <w:r>
        <w:rPr>
          <w:rFonts w:ascii="Cambria Math" w:hAnsi="Cambria Math"/>
        </w:rPr>
        <w:t>⇨</w:t>
      </w:r>
      <w:r>
        <w:t xml:space="preserve"> </w:t>
      </w:r>
      <w:r w:rsidRPr="00562FA7">
        <w:rPr>
          <w:u w:val="single"/>
        </w:rPr>
        <w:t>pathologie + grave</w:t>
      </w:r>
      <w:r>
        <w:t xml:space="preserve"> que les souches qui le produisent. On pense que l’Ag e permet une sorte de ‘dialogue’ avec l’immunité</w:t>
      </w:r>
      <w:r w:rsidR="008850D0">
        <w:t>, qui permettrait une tolérisation du virus. Cette mutation est constituée d’un codon STOP prématuré ds la séquence précédant l’Ag c.</w:t>
      </w:r>
    </w:p>
    <w:p w:rsidR="008850D0" w:rsidRPr="008850D0" w:rsidRDefault="008850D0" w:rsidP="008850D0">
      <w:pPr>
        <w:pStyle w:val="Paragraphedeliste"/>
        <w:numPr>
          <w:ilvl w:val="1"/>
          <w:numId w:val="2"/>
        </w:numPr>
        <w:spacing w:before="0" w:after="0"/>
        <w:ind w:left="1134"/>
        <w:jc w:val="both"/>
        <w:rPr>
          <w:b/>
          <w:sz w:val="24"/>
          <w:u w:val="single"/>
        </w:rPr>
      </w:pPr>
      <w:r w:rsidRPr="008850D0">
        <w:rPr>
          <w:b/>
          <w:sz w:val="24"/>
          <w:u w:val="single"/>
        </w:rPr>
        <w:t>Vaccination</w:t>
      </w:r>
    </w:p>
    <w:p w:rsidR="008850D0" w:rsidRDefault="008850D0" w:rsidP="008850D0">
      <w:pPr>
        <w:spacing w:before="0" w:after="0"/>
        <w:ind w:left="770"/>
        <w:jc w:val="both"/>
      </w:pPr>
      <w:r>
        <w:t>Le vaccin contient la prot Ag HBs : en effet, qd on fait une HB aiguë, on produit surtout des Ac anti-HBs. 3 injections distantes d’1 mois + rappel 1 an après. Excellente protection &gt;95%.</w:t>
      </w:r>
    </w:p>
    <w:p w:rsidR="008850D0" w:rsidRDefault="008850D0" w:rsidP="008850D0">
      <w:pPr>
        <w:pStyle w:val="Paragraphedeliste"/>
        <w:numPr>
          <w:ilvl w:val="1"/>
          <w:numId w:val="2"/>
        </w:numPr>
        <w:spacing w:before="0" w:after="0"/>
        <w:ind w:left="1134"/>
        <w:jc w:val="both"/>
        <w:rPr>
          <w:b/>
          <w:sz w:val="24"/>
          <w:u w:val="single"/>
        </w:rPr>
      </w:pPr>
      <w:r w:rsidRPr="008850D0">
        <w:rPr>
          <w:b/>
          <w:sz w:val="24"/>
          <w:u w:val="single"/>
        </w:rPr>
        <w:t>Diagnostic et suivi</w:t>
      </w:r>
    </w:p>
    <w:p w:rsidR="00536DD2" w:rsidRPr="00536DD2" w:rsidRDefault="00536DD2" w:rsidP="00536DD2">
      <w:pPr>
        <w:pStyle w:val="Paragraphedeliste"/>
        <w:numPr>
          <w:ilvl w:val="2"/>
          <w:numId w:val="2"/>
        </w:numPr>
        <w:spacing w:before="0" w:after="0"/>
        <w:ind w:left="1418" w:hanging="288"/>
        <w:jc w:val="both"/>
      </w:pPr>
      <w:r w:rsidRPr="00536DD2">
        <w:t xml:space="preserve">90% des HB aiguës sont asympto (seules 10% sympto </w:t>
      </w:r>
      <w:r w:rsidRPr="00536DD2">
        <w:rPr>
          <w:rFonts w:ascii="Cambria Math" w:hAnsi="Cambria Math"/>
        </w:rPr>
        <w:t>⇨</w:t>
      </w:r>
      <w:r w:rsidRPr="00536DD2">
        <w:t xml:space="preserve"> consult’).</w:t>
      </w:r>
    </w:p>
    <w:p w:rsidR="00536DD2" w:rsidRDefault="00536DD2" w:rsidP="00536DD2">
      <w:pPr>
        <w:pStyle w:val="Paragraphedeliste"/>
        <w:numPr>
          <w:ilvl w:val="2"/>
          <w:numId w:val="2"/>
        </w:numPr>
        <w:spacing w:before="0" w:after="0"/>
        <w:ind w:left="1418" w:hanging="288"/>
        <w:jc w:val="both"/>
      </w:pPr>
      <w:r w:rsidRPr="00536DD2">
        <w:t>9</w:t>
      </w:r>
      <w:r>
        <w:t>0% des HB aiguës guérissent (longue convalesc</w:t>
      </w:r>
      <w:r w:rsidRPr="00536DD2">
        <w:rPr>
          <w:vertAlign w:val="superscript"/>
        </w:rPr>
        <w:t>ce</w:t>
      </w:r>
      <w:r w:rsidRPr="00536DD2">
        <w:t xml:space="preserve">) ; </w:t>
      </w:r>
      <w:r w:rsidRPr="00536DD2">
        <w:rPr>
          <w:b/>
        </w:rPr>
        <w:t>10% de passage à la chronicité</w:t>
      </w:r>
      <w:r w:rsidRPr="00536DD2">
        <w:t xml:space="preserve"> (</w:t>
      </w:r>
      <w:r w:rsidRPr="00536DD2">
        <w:rPr>
          <w:u w:val="single"/>
        </w:rPr>
        <w:t>++chez enfant</w:t>
      </w:r>
      <w:r w:rsidRPr="00536DD2">
        <w:t>)</w:t>
      </w:r>
      <w:r w:rsidR="00361B54">
        <w:t>, à faut surveiller car peut évoluer en cirrhose puis/ou en hépatocarcinome.</w:t>
      </w:r>
    </w:p>
    <w:p w:rsidR="00361B54" w:rsidRDefault="00361B54" w:rsidP="00536DD2">
      <w:pPr>
        <w:pStyle w:val="Paragraphedeliste"/>
        <w:numPr>
          <w:ilvl w:val="2"/>
          <w:numId w:val="2"/>
        </w:numPr>
        <w:spacing w:before="0" w:after="0"/>
        <w:ind w:left="1418" w:hanging="288"/>
        <w:jc w:val="both"/>
      </w:pPr>
      <w:r w:rsidRPr="004765A6">
        <w:rPr>
          <w:u w:val="single"/>
        </w:rPr>
        <w:t>0,1% d’HFulminantes</w:t>
      </w:r>
      <w:r>
        <w:t xml:space="preserve">, dues à une rép immunitaire trop forte </w:t>
      </w:r>
      <w:r>
        <w:rPr>
          <w:rFonts w:ascii="Cambria Math" w:hAnsi="Cambria Math"/>
        </w:rPr>
        <w:t>⇨</w:t>
      </w:r>
      <w:r>
        <w:t xml:space="preserve"> greffe de foie.</w:t>
      </w:r>
    </w:p>
    <w:p w:rsidR="004B37DF" w:rsidRDefault="004765A6" w:rsidP="00B84776">
      <w:pPr>
        <w:pStyle w:val="Paragraphedeliste"/>
        <w:numPr>
          <w:ilvl w:val="2"/>
          <w:numId w:val="2"/>
        </w:numPr>
        <w:spacing w:before="0" w:after="0"/>
        <w:ind w:left="1418" w:hanging="288"/>
        <w:jc w:val="both"/>
      </w:pPr>
      <w:r w:rsidRPr="004765A6">
        <w:rPr>
          <w:b/>
        </w:rPr>
        <w:t>Outils diagnostiques</w:t>
      </w:r>
      <w:r>
        <w:t> :</w:t>
      </w:r>
      <w:r w:rsidR="00DD631C">
        <w:t xml:space="preserve"> diag indirect = ELISA ;</w:t>
      </w:r>
      <w:r w:rsidR="0062435D">
        <w:t xml:space="preserve"> diag direct = détection des Ag du virus (ELISA aussi) ou du génome viral (PCR). Dans le sang on peut retrouver : Ag HBs, Ag HBe, ADN viral.</w:t>
      </w:r>
    </w:p>
    <w:p w:rsidR="00221C0B" w:rsidRDefault="00221C0B" w:rsidP="00B84776">
      <w:pPr>
        <w:pStyle w:val="Paragraphedeliste"/>
        <w:numPr>
          <w:ilvl w:val="2"/>
          <w:numId w:val="2"/>
        </w:numPr>
        <w:spacing w:before="0" w:after="0"/>
        <w:ind w:left="1418" w:hanging="288"/>
        <w:jc w:val="both"/>
      </w:pPr>
      <w:r w:rsidRPr="00221C0B">
        <w:rPr>
          <w:u w:val="single"/>
        </w:rPr>
        <w:t>Évolution des marqueurs ds l’</w:t>
      </w:r>
      <w:r w:rsidRPr="00221C0B">
        <w:rPr>
          <w:b/>
          <w:u w:val="single"/>
        </w:rPr>
        <w:t>HB aiguë</w:t>
      </w:r>
      <w:r>
        <w:t> :</w:t>
      </w:r>
    </w:p>
    <w:p w:rsidR="00221C0B" w:rsidRDefault="00221C0B" w:rsidP="00221C0B">
      <w:pPr>
        <w:pStyle w:val="Paragraphedeliste"/>
        <w:numPr>
          <w:ilvl w:val="3"/>
          <w:numId w:val="2"/>
        </w:numPr>
        <w:spacing w:before="0" w:after="0"/>
        <w:ind w:left="1843" w:hanging="218"/>
        <w:jc w:val="both"/>
      </w:pPr>
      <w:r>
        <w:t xml:space="preserve">Tous les </w:t>
      </w:r>
      <w:r w:rsidRPr="00221C0B">
        <w:rPr>
          <w:b/>
        </w:rPr>
        <w:t xml:space="preserve">marqueurs directs </w:t>
      </w:r>
      <w:r w:rsidRPr="00221C0B">
        <w:rPr>
          <w:rFonts w:ascii="Cambria Math" w:hAnsi="Cambria Math"/>
          <w:b/>
        </w:rPr>
        <w:t>⊕</w:t>
      </w:r>
      <w:r>
        <w:t xml:space="preserve"> et Ac antiHBc </w:t>
      </w:r>
      <w:r>
        <w:rPr>
          <w:rFonts w:ascii="Cambria Math" w:hAnsi="Cambria Math"/>
        </w:rPr>
        <w:t>⊕</w:t>
      </w:r>
      <w:r>
        <w:t xml:space="preserve"> (IgM +++)</w:t>
      </w:r>
    </w:p>
    <w:p w:rsidR="00221C0B" w:rsidRDefault="00221C0B" w:rsidP="00221C0B">
      <w:pPr>
        <w:pStyle w:val="Paragraphedeliste"/>
        <w:numPr>
          <w:ilvl w:val="3"/>
          <w:numId w:val="2"/>
        </w:numPr>
        <w:spacing w:before="0" w:after="0"/>
        <w:ind w:left="1843" w:hanging="218"/>
        <w:jc w:val="both"/>
      </w:pPr>
      <w:r>
        <w:t xml:space="preserve">Apparition des </w:t>
      </w:r>
      <w:r w:rsidRPr="00221C0B">
        <w:rPr>
          <w:b/>
        </w:rPr>
        <w:t>marqueurs indirects</w:t>
      </w:r>
      <w:r>
        <w:t xml:space="preserve"> (Ac antiHBe puis Ac antiHBs)</w:t>
      </w:r>
    </w:p>
    <w:p w:rsidR="00221C0B" w:rsidRDefault="00221C0B" w:rsidP="00221C0B">
      <w:pPr>
        <w:pStyle w:val="Paragraphedeliste"/>
        <w:numPr>
          <w:ilvl w:val="2"/>
          <w:numId w:val="2"/>
        </w:numPr>
        <w:spacing w:before="0" w:after="0"/>
        <w:ind w:left="1418" w:hanging="288"/>
        <w:jc w:val="both"/>
      </w:pPr>
      <w:r w:rsidRPr="00221C0B">
        <w:rPr>
          <w:u w:val="single"/>
        </w:rPr>
        <w:t>Évolution des marqueurs ds l’</w:t>
      </w:r>
      <w:r w:rsidRPr="00221C0B">
        <w:rPr>
          <w:b/>
          <w:u w:val="single"/>
        </w:rPr>
        <w:t>HB chronique</w:t>
      </w:r>
      <w:r>
        <w:t xml:space="preserve"> : </w:t>
      </w:r>
      <w:r w:rsidRPr="00221C0B">
        <w:rPr>
          <w:i/>
        </w:rPr>
        <w:t xml:space="preserve">persistance de l’Ag HBs </w:t>
      </w:r>
      <w:r w:rsidRPr="00221C0B">
        <w:rPr>
          <w:rFonts w:ascii="Cambria Math" w:hAnsi="Cambria Math"/>
          <w:i/>
        </w:rPr>
        <w:t>⊕</w:t>
      </w:r>
      <w:r w:rsidRPr="00221C0B">
        <w:rPr>
          <w:i/>
        </w:rPr>
        <w:t xml:space="preserve"> &gt; à 6 mois</w:t>
      </w:r>
    </w:p>
    <w:p w:rsidR="00221C0B" w:rsidRDefault="00221C0B" w:rsidP="00221C0B">
      <w:pPr>
        <w:pStyle w:val="Paragraphedeliste"/>
        <w:numPr>
          <w:ilvl w:val="3"/>
          <w:numId w:val="2"/>
        </w:numPr>
        <w:spacing w:before="0" w:after="0"/>
        <w:ind w:left="1843" w:hanging="218"/>
        <w:jc w:val="both"/>
      </w:pPr>
      <w:r w:rsidRPr="00221C0B">
        <w:rPr>
          <w:b/>
        </w:rPr>
        <w:t>Immunotolérance</w:t>
      </w:r>
      <w:r>
        <w:t xml:space="preserve"> (tous les marqueurs directs sont </w:t>
      </w:r>
      <w:r>
        <w:rPr>
          <w:rFonts w:ascii="Cambria Math" w:hAnsi="Cambria Math"/>
        </w:rPr>
        <w:t>⊕</w:t>
      </w:r>
      <w:r>
        <w:t xml:space="preserve">, Ac antiHBc </w:t>
      </w:r>
      <w:r>
        <w:rPr>
          <w:rFonts w:ascii="Cambria Math" w:hAnsi="Cambria Math"/>
        </w:rPr>
        <w:t>⊕</w:t>
      </w:r>
      <w:r>
        <w:t>)</w:t>
      </w:r>
    </w:p>
    <w:p w:rsidR="00221C0B" w:rsidRDefault="00221C0B" w:rsidP="00221C0B">
      <w:pPr>
        <w:pStyle w:val="Paragraphedeliste"/>
        <w:numPr>
          <w:ilvl w:val="3"/>
          <w:numId w:val="2"/>
        </w:numPr>
        <w:spacing w:before="0" w:after="0"/>
        <w:ind w:left="1843" w:hanging="218"/>
        <w:jc w:val="both"/>
      </w:pPr>
      <w:r w:rsidRPr="00221C0B">
        <w:rPr>
          <w:b/>
        </w:rPr>
        <w:t>Clairance</w:t>
      </w:r>
      <w:r>
        <w:t xml:space="preserve"> (</w:t>
      </w:r>
      <w:r>
        <w:rPr>
          <w:rFonts w:ascii="Cambria Math" w:hAnsi="Cambria Math"/>
        </w:rPr>
        <w:t>↘</w:t>
      </w:r>
      <w:r>
        <w:t xml:space="preserve"> des marqueurs directs sauf Ag HBs, disparition de l’Ag HBe)</w:t>
      </w:r>
    </w:p>
    <w:p w:rsidR="00221C0B" w:rsidRDefault="00221C0B" w:rsidP="00221C0B">
      <w:pPr>
        <w:pStyle w:val="Paragraphedeliste"/>
        <w:numPr>
          <w:ilvl w:val="3"/>
          <w:numId w:val="2"/>
        </w:numPr>
        <w:spacing w:before="0" w:after="0"/>
        <w:ind w:left="1843" w:hanging="218"/>
        <w:jc w:val="both"/>
      </w:pPr>
      <w:r w:rsidRPr="00221C0B">
        <w:rPr>
          <w:b/>
        </w:rPr>
        <w:t>Portage inactif</w:t>
      </w:r>
      <w:r>
        <w:t xml:space="preserve"> (apparition de l’Ac antiHBe, CV très basse, tjs Ag HBs)</w:t>
      </w:r>
    </w:p>
    <w:p w:rsidR="00B456C7" w:rsidRPr="00536DD2" w:rsidRDefault="00B456C7" w:rsidP="00B456C7">
      <w:pPr>
        <w:spacing w:before="0" w:after="0"/>
        <w:ind w:left="0"/>
        <w:jc w:val="both"/>
      </w:pPr>
      <w:r>
        <w:rPr>
          <w:noProof/>
          <w:lang w:eastAsia="fr-FR"/>
        </w:rPr>
        <w:drawing>
          <wp:inline distT="0" distB="0" distL="0" distR="0">
            <wp:extent cx="6791325" cy="2895600"/>
            <wp:effectExtent l="0" t="0" r="0" b="0"/>
            <wp:docPr id="3" name="Diagramme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sectPr w:rsidR="00B456C7" w:rsidRPr="00536DD2" w:rsidSect="00B84776">
      <w:type w:val="continuous"/>
      <w:pgSz w:w="11906" w:h="16838"/>
      <w:pgMar w:top="720" w:right="720" w:bottom="720" w:left="720" w:header="0" w:footer="403" w:gutter="0"/>
      <w:cols w:sep="1" w:space="454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1908" w:rsidRDefault="00491908" w:rsidP="003925E7">
      <w:pPr>
        <w:spacing w:before="0" w:after="0"/>
      </w:pPr>
      <w:r>
        <w:separator/>
      </w:r>
    </w:p>
  </w:endnote>
  <w:endnote w:type="continuationSeparator" w:id="0">
    <w:p w:rsidR="00491908" w:rsidRDefault="00491908" w:rsidP="003925E7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1CFF" w:rsidRPr="00251CFF" w:rsidRDefault="00251CFF" w:rsidP="00251CFF">
    <w:pPr>
      <w:pStyle w:val="Pieddepage"/>
      <w:jc w:val="right"/>
      <w:rPr>
        <w:i/>
      </w:rPr>
    </w:pPr>
    <w:r w:rsidRPr="00251CFF">
      <w:rPr>
        <w:i/>
      </w:rPr>
      <w:t xml:space="preserve">Page </w:t>
    </w:r>
    <w:r w:rsidRPr="00251CFF">
      <w:rPr>
        <w:b/>
        <w:i/>
      </w:rPr>
      <w:t>2</w:t>
    </w:r>
    <w:r w:rsidRPr="00251CFF">
      <w:rPr>
        <w:i/>
      </w:rPr>
      <w:t>/</w:t>
    </w:r>
    <w:r w:rsidR="00E14251">
      <w:rPr>
        <w:i/>
      </w:rPr>
      <w:t>2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1CFF" w:rsidRPr="00251CFF" w:rsidRDefault="00251CFF" w:rsidP="00251CFF">
    <w:pPr>
      <w:pStyle w:val="Pieddepage"/>
      <w:jc w:val="right"/>
      <w:rPr>
        <w:i/>
      </w:rPr>
    </w:pPr>
    <w:r w:rsidRPr="00251CFF">
      <w:rPr>
        <w:i/>
      </w:rPr>
      <w:t xml:space="preserve">Page </w:t>
    </w:r>
    <w:r w:rsidRPr="00251CFF">
      <w:rPr>
        <w:b/>
        <w:i/>
      </w:rPr>
      <w:t>1</w:t>
    </w:r>
    <w:r w:rsidRPr="00251CFF">
      <w:rPr>
        <w:i/>
      </w:rPr>
      <w:t>/</w:t>
    </w:r>
    <w:r w:rsidR="00E14251">
      <w:rPr>
        <w:i/>
      </w:rPr>
      <w:t>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1908" w:rsidRDefault="00491908" w:rsidP="003925E7">
      <w:pPr>
        <w:spacing w:before="0" w:after="0"/>
      </w:pPr>
      <w:r>
        <w:separator/>
      </w:r>
    </w:p>
  </w:footnote>
  <w:footnote w:type="continuationSeparator" w:id="0">
    <w:p w:rsidR="00491908" w:rsidRDefault="00491908" w:rsidP="003925E7">
      <w:pPr>
        <w:spacing w:before="0"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1CFF" w:rsidRDefault="00251CFF" w:rsidP="00251CFF">
    <w:pPr>
      <w:pStyle w:val="En-tte"/>
    </w:pPr>
    <w:r w:rsidRPr="00D5687E">
      <w:rPr>
        <w:rFonts w:ascii="Comic Sans MS" w:hAnsi="Comic Sans MS"/>
      </w:rPr>
      <w:t>Virologie ~</w:t>
    </w:r>
    <w:r>
      <w:ptab w:relativeTo="margin" w:alignment="center" w:leader="none"/>
    </w:r>
    <w:r>
      <w:rPr>
        <w:rFonts w:ascii="Arial Black" w:hAnsi="Arial Black"/>
        <w:color w:val="C00000"/>
        <w:sz w:val="40"/>
        <w:szCs w:val="30"/>
      </w:rPr>
      <w:t>Les Hépatites</w:t>
    </w:r>
    <w:r>
      <w:ptab w:relativeTo="margin" w:alignment="right" w:leader="none"/>
    </w:r>
    <w:r>
      <w:t xml:space="preserve">cours </w:t>
    </w:r>
    <w:r>
      <w:rPr>
        <w:color w:val="0070C0"/>
        <w:sz w:val="28"/>
      </w:rPr>
      <w:sym w:font="Wingdings" w:char="F08F"/>
    </w:r>
  </w:p>
  <w:p w:rsidR="00251CFF" w:rsidRDefault="00251CFF" w:rsidP="00251CFF">
    <w:pPr>
      <w:pStyle w:val="En-tte"/>
      <w:tabs>
        <w:tab w:val="left" w:pos="4680"/>
        <w:tab w:val="right" w:pos="10466"/>
      </w:tabs>
      <w:jc w:val="center"/>
      <w:rPr>
        <w:sz w:val="20"/>
      </w:rPr>
    </w:pPr>
    <w:r>
      <w:rPr>
        <w:rFonts w:ascii="Arial Black" w:hAnsi="Arial Black"/>
        <w:b/>
        <w:color w:val="C00000"/>
        <w:sz w:val="20"/>
      </w:rPr>
      <w:tab/>
      <w:t xml:space="preserve">                      </w:t>
    </w:r>
    <w:r w:rsidRPr="003925E7">
      <w:rPr>
        <w:rFonts w:ascii="Arial Black" w:hAnsi="Arial Black"/>
        <w:b/>
        <w:color w:val="C00000"/>
        <w:sz w:val="20"/>
      </w:rPr>
      <w:t>VHA, VHC, VHB (et VHD)</w:t>
    </w:r>
    <w:r>
      <w:rPr>
        <w:sz w:val="20"/>
      </w:rPr>
      <w:tab/>
    </w:r>
    <w:r>
      <w:rPr>
        <w:sz w:val="20"/>
      </w:rPr>
      <w:tab/>
    </w:r>
    <w:r w:rsidRPr="009A7E38">
      <w:rPr>
        <w:sz w:val="20"/>
      </w:rPr>
      <w:t xml:space="preserve">(ronéos </w:t>
    </w:r>
    <w:r>
      <w:rPr>
        <w:sz w:val="20"/>
      </w:rPr>
      <w:t>5 et 6</w:t>
    </w:r>
    <w:r w:rsidRPr="009A7E38">
      <w:rPr>
        <w:sz w:val="20"/>
      </w:rPr>
      <w:t>)</w:t>
    </w:r>
  </w:p>
  <w:p w:rsidR="00251CFF" w:rsidRDefault="00251CFF" w:rsidP="00251CFF">
    <w:pPr>
      <w:pStyle w:val="En-tte"/>
      <w:ind w:left="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165CD3"/>
    <w:multiLevelType w:val="multilevel"/>
    <w:tmpl w:val="3AA8A84A"/>
    <w:styleLink w:val="StyleQ"/>
    <w:lvl w:ilvl="0">
      <w:start w:val="1"/>
      <w:numFmt w:val="bullet"/>
      <w:lvlText w:val=""/>
      <w:lvlJc w:val="left"/>
      <w:pPr>
        <w:ind w:left="3957" w:hanging="360"/>
      </w:pPr>
      <w:rPr>
        <w:rFonts w:ascii="Wingdings 2" w:hAnsi="Wingdings 2" w:hint="default"/>
        <w:b/>
        <w:caps w:val="0"/>
        <w:strike w:val="0"/>
        <w:dstrike w:val="0"/>
        <w:outline w:val="0"/>
        <w:shadow w:val="0"/>
        <w:emboss w:val="0"/>
        <w:imprint w:val="0"/>
        <w:vanish w:val="0"/>
        <w:sz w:val="28"/>
        <w:vertAlign w:val="baseline"/>
      </w:rPr>
    </w:lvl>
    <w:lvl w:ilvl="1">
      <w:start w:val="1"/>
      <w:numFmt w:val="bullet"/>
      <w:lvlText w:val=""/>
      <w:lvlJc w:val="left"/>
      <w:pPr>
        <w:ind w:left="4677" w:hanging="360"/>
      </w:pPr>
      <w:rPr>
        <w:rFonts w:ascii="Wingdings" w:hAnsi="Wingdings" w:hint="default"/>
        <w:color w:val="auto"/>
        <w:sz w:val="22"/>
      </w:rPr>
    </w:lvl>
    <w:lvl w:ilvl="2">
      <w:start w:val="1"/>
      <w:numFmt w:val="bullet"/>
      <w:lvlText w:val="⤷"/>
      <w:lvlJc w:val="left"/>
      <w:pPr>
        <w:ind w:left="5397" w:hanging="360"/>
      </w:pPr>
      <w:rPr>
        <w:rFonts w:ascii="Cambria Math" w:hAnsi="Cambria Math" w:hint="default"/>
        <w:sz w:val="22"/>
      </w:rPr>
    </w:lvl>
    <w:lvl w:ilvl="3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  <w:sz w:val="22"/>
      </w:rPr>
    </w:lvl>
    <w:lvl w:ilvl="4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  <w:sz w:val="22"/>
      </w:rPr>
    </w:lvl>
    <w:lvl w:ilvl="5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827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899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9717" w:hanging="360"/>
      </w:pPr>
      <w:rPr>
        <w:rFonts w:ascii="Wingdings" w:hAnsi="Wingdings" w:hint="default"/>
      </w:rPr>
    </w:lvl>
  </w:abstractNum>
  <w:abstractNum w:abstractNumId="1">
    <w:nsid w:val="29776F53"/>
    <w:multiLevelType w:val="hybridMultilevel"/>
    <w:tmpl w:val="750A5C4C"/>
    <w:lvl w:ilvl="0" w:tplc="813A02E0">
      <w:start w:val="1"/>
      <w:numFmt w:val="upperRoman"/>
      <w:lvlText w:val="%1)"/>
      <w:lvlJc w:val="left"/>
      <w:pPr>
        <w:ind w:left="720" w:hanging="360"/>
      </w:pPr>
      <w:rPr>
        <w:rFonts w:hint="default"/>
      </w:rPr>
    </w:lvl>
    <w:lvl w:ilvl="1" w:tplc="32821D3C">
      <w:start w:val="1"/>
      <w:numFmt w:val="lowerLetter"/>
      <w:lvlText w:val="%2."/>
      <w:lvlJc w:val="left"/>
      <w:pPr>
        <w:ind w:left="1440" w:hanging="360"/>
      </w:pPr>
      <w:rPr>
        <w:b/>
        <w:sz w:val="24"/>
      </w:rPr>
    </w:lvl>
    <w:lvl w:ilvl="2" w:tplc="040C000B">
      <w:start w:val="1"/>
      <w:numFmt w:val="bullet"/>
      <w:lvlText w:val=""/>
      <w:lvlJc w:val="left"/>
      <w:pPr>
        <w:ind w:left="2160" w:hanging="180"/>
      </w:pPr>
      <w:rPr>
        <w:rFonts w:ascii="Wingdings" w:hAnsi="Wingdings" w:hint="default"/>
      </w:rPr>
    </w:lvl>
    <w:lvl w:ilvl="3" w:tplc="0106979A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0C0009">
      <w:start w:val="1"/>
      <w:numFmt w:val="bullet"/>
      <w:lvlText w:val=""/>
      <w:lvlJc w:val="left"/>
      <w:pPr>
        <w:ind w:left="3600" w:hanging="360"/>
      </w:pPr>
      <w:rPr>
        <w:rFonts w:ascii="Wingdings" w:hAnsi="Wingdings" w:hint="default"/>
      </w:r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925E7"/>
    <w:rsid w:val="00086417"/>
    <w:rsid w:val="001160D4"/>
    <w:rsid w:val="001B4B62"/>
    <w:rsid w:val="001E69AD"/>
    <w:rsid w:val="00221C0B"/>
    <w:rsid w:val="00251CFF"/>
    <w:rsid w:val="00263DA0"/>
    <w:rsid w:val="00293924"/>
    <w:rsid w:val="00361B54"/>
    <w:rsid w:val="00362D22"/>
    <w:rsid w:val="003815BF"/>
    <w:rsid w:val="003925E7"/>
    <w:rsid w:val="00450F38"/>
    <w:rsid w:val="00457215"/>
    <w:rsid w:val="004765A6"/>
    <w:rsid w:val="00491908"/>
    <w:rsid w:val="004969EC"/>
    <w:rsid w:val="004A2667"/>
    <w:rsid w:val="004B37DF"/>
    <w:rsid w:val="004E4F2A"/>
    <w:rsid w:val="00521E46"/>
    <w:rsid w:val="00536DD2"/>
    <w:rsid w:val="00561D0B"/>
    <w:rsid w:val="00562FA7"/>
    <w:rsid w:val="00564B0E"/>
    <w:rsid w:val="005F411D"/>
    <w:rsid w:val="005F48D4"/>
    <w:rsid w:val="0062435D"/>
    <w:rsid w:val="00645C81"/>
    <w:rsid w:val="006F11B8"/>
    <w:rsid w:val="00745BC8"/>
    <w:rsid w:val="007543D3"/>
    <w:rsid w:val="00771868"/>
    <w:rsid w:val="007937C1"/>
    <w:rsid w:val="007A3F6F"/>
    <w:rsid w:val="007D6A34"/>
    <w:rsid w:val="0081580C"/>
    <w:rsid w:val="00840165"/>
    <w:rsid w:val="008477CD"/>
    <w:rsid w:val="00851985"/>
    <w:rsid w:val="008539C6"/>
    <w:rsid w:val="008618ED"/>
    <w:rsid w:val="008850D0"/>
    <w:rsid w:val="00896A98"/>
    <w:rsid w:val="008B3009"/>
    <w:rsid w:val="008C3DB3"/>
    <w:rsid w:val="008C6BF2"/>
    <w:rsid w:val="008D1B01"/>
    <w:rsid w:val="009C18D7"/>
    <w:rsid w:val="00A1235F"/>
    <w:rsid w:val="00A86C85"/>
    <w:rsid w:val="00AA4728"/>
    <w:rsid w:val="00AF55DA"/>
    <w:rsid w:val="00B16F08"/>
    <w:rsid w:val="00B456C7"/>
    <w:rsid w:val="00B84776"/>
    <w:rsid w:val="00B95A2E"/>
    <w:rsid w:val="00C17914"/>
    <w:rsid w:val="00C30DD7"/>
    <w:rsid w:val="00C37CC6"/>
    <w:rsid w:val="00CD75CB"/>
    <w:rsid w:val="00D65DA3"/>
    <w:rsid w:val="00DD631C"/>
    <w:rsid w:val="00E14251"/>
    <w:rsid w:val="00E33CCD"/>
    <w:rsid w:val="00EA2849"/>
    <w:rsid w:val="00ED1581"/>
    <w:rsid w:val="00F54181"/>
    <w:rsid w:val="00F62B06"/>
    <w:rsid w:val="00F700D1"/>
    <w:rsid w:val="00FB6160"/>
    <w:rsid w:val="00FC78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before="240" w:after="200"/>
        <w:ind w:left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721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numbering" w:customStyle="1" w:styleId="StyleQ">
    <w:name w:val="StyleQ"/>
    <w:uiPriority w:val="99"/>
    <w:rsid w:val="00645C81"/>
    <w:pPr>
      <w:numPr>
        <w:numId w:val="1"/>
      </w:numPr>
    </w:pPr>
  </w:style>
  <w:style w:type="paragraph" w:styleId="En-tte">
    <w:name w:val="header"/>
    <w:basedOn w:val="Normal"/>
    <w:link w:val="En-tteCar"/>
    <w:uiPriority w:val="99"/>
    <w:unhideWhenUsed/>
    <w:rsid w:val="003925E7"/>
    <w:pPr>
      <w:tabs>
        <w:tab w:val="center" w:pos="4536"/>
        <w:tab w:val="right" w:pos="9072"/>
      </w:tabs>
      <w:spacing w:before="0" w:after="0"/>
    </w:pPr>
  </w:style>
  <w:style w:type="character" w:customStyle="1" w:styleId="En-tteCar">
    <w:name w:val="En-tête Car"/>
    <w:basedOn w:val="Policepardfaut"/>
    <w:link w:val="En-tte"/>
    <w:uiPriority w:val="99"/>
    <w:rsid w:val="003925E7"/>
  </w:style>
  <w:style w:type="paragraph" w:styleId="Pieddepage">
    <w:name w:val="footer"/>
    <w:basedOn w:val="Normal"/>
    <w:link w:val="PieddepageCar"/>
    <w:uiPriority w:val="99"/>
    <w:semiHidden/>
    <w:unhideWhenUsed/>
    <w:rsid w:val="003925E7"/>
    <w:pPr>
      <w:tabs>
        <w:tab w:val="center" w:pos="4536"/>
        <w:tab w:val="right" w:pos="9072"/>
      </w:tabs>
      <w:spacing w:before="0" w:after="0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3925E7"/>
  </w:style>
  <w:style w:type="paragraph" w:styleId="Paragraphedeliste">
    <w:name w:val="List Paragraph"/>
    <w:basedOn w:val="Normal"/>
    <w:uiPriority w:val="34"/>
    <w:qFormat/>
    <w:rsid w:val="00450F38"/>
    <w:pPr>
      <w:ind w:left="720"/>
      <w:contextualSpacing/>
    </w:pPr>
  </w:style>
  <w:style w:type="character" w:styleId="Textedelespacerserv">
    <w:name w:val="Placeholder Text"/>
    <w:basedOn w:val="Policepardfaut"/>
    <w:uiPriority w:val="99"/>
    <w:semiHidden/>
    <w:rsid w:val="001160D4"/>
    <w:rPr>
      <w:color w:val="80808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1160D4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160D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diagramQuickStyle" Target="diagrams/quickStyl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diagramLayout" Target="diagrams/layout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Data" Target="diagrams/data1.xml"/><Relationship Id="rId5" Type="http://schemas.openxmlformats.org/officeDocument/2006/relationships/webSettings" Target="webSettings.xml"/><Relationship Id="rId15" Type="http://schemas.microsoft.com/office/2007/relationships/diagramDrawing" Target="diagrams/drawing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3">
  <dgm:title val=""/>
  <dgm:desc val=""/>
  <dgm:catLst>
    <dgm:cat type="colorful" pri="10300"/>
  </dgm:catLst>
  <dgm:styleLbl name="node0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3"/>
      <a:schemeClr val="accent4"/>
    </dgm:fillClrLst>
    <dgm:linClrLst>
      <a:schemeClr val="accent3"/>
      <a:schemeClr val="accent4"/>
    </dgm:linClrLst>
    <dgm:effectClrLst/>
    <dgm:txLinClrLst/>
    <dgm:txFillClrLst/>
    <dgm:txEffectClrLst/>
  </dgm:styleLbl>
  <dgm:styleLbl name="ln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3">
        <a:alpha val="50000"/>
      </a:schemeClr>
      <a:schemeClr val="accent4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3">
        <a:tint val="50000"/>
      </a:schemeClr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3"/>
      <a:schemeClr val="accent4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3BB919E-915D-4A16-BE7D-F1CBED6DE0B9}" type="doc">
      <dgm:prSet loTypeId="urn:microsoft.com/office/officeart/2005/8/layout/orgChart1" loCatId="hierarchy" qsTypeId="urn:microsoft.com/office/officeart/2005/8/quickstyle/simple1" qsCatId="simple" csTypeId="urn:microsoft.com/office/officeart/2005/8/colors/colorful3" csCatId="colorful" phldr="1"/>
      <dgm:spPr/>
      <dgm:t>
        <a:bodyPr/>
        <a:lstStyle/>
        <a:p>
          <a:endParaRPr lang="fr-FR"/>
        </a:p>
      </dgm:t>
    </dgm:pt>
    <dgm:pt modelId="{769C4FD3-767A-404D-B5DD-1B8A2E9DE958}">
      <dgm:prSet phldrT="[Texte]" custT="1"/>
      <dgm:spPr/>
      <dgm:t>
        <a:bodyPr/>
        <a:lstStyle/>
        <a:p>
          <a:r>
            <a:rPr lang="fr-FR" sz="1000"/>
            <a:t>prescription de 1ère intention :</a:t>
          </a:r>
        </a:p>
        <a:p>
          <a:r>
            <a:rPr lang="fr-FR" sz="1000" b="1"/>
            <a:t>Ag HBs + Ac antiHBs + Ac anti HBc</a:t>
          </a:r>
        </a:p>
      </dgm:t>
    </dgm:pt>
    <dgm:pt modelId="{DB66FBCD-26CE-425E-95E4-7759662B37A7}" type="parTrans" cxnId="{D1D8560F-83E9-4C20-A51B-2A4FF066C7A2}">
      <dgm:prSet/>
      <dgm:spPr/>
      <dgm:t>
        <a:bodyPr/>
        <a:lstStyle/>
        <a:p>
          <a:endParaRPr lang="fr-FR"/>
        </a:p>
      </dgm:t>
    </dgm:pt>
    <dgm:pt modelId="{60A34C56-6974-46A2-8C91-D159B795D6CE}" type="sibTrans" cxnId="{D1D8560F-83E9-4C20-A51B-2A4FF066C7A2}">
      <dgm:prSet/>
      <dgm:spPr/>
      <dgm:t>
        <a:bodyPr/>
        <a:lstStyle/>
        <a:p>
          <a:endParaRPr lang="fr-FR"/>
        </a:p>
      </dgm:t>
    </dgm:pt>
    <dgm:pt modelId="{1B6E6FC0-2C3A-4CCE-A729-4C212DB20984}">
      <dgm:prSet phldrT="[Texte]" custT="1"/>
      <dgm:spPr/>
      <dgm:t>
        <a:bodyPr/>
        <a:lstStyle/>
        <a:p>
          <a:r>
            <a:rPr lang="fr-FR" sz="1000">
              <a:effectLst>
                <a:glow rad="139700">
                  <a:schemeClr val="accent6">
                    <a:satMod val="175000"/>
                    <a:alpha val="40000"/>
                  </a:schemeClr>
                </a:glow>
              </a:effectLst>
            </a:rPr>
            <a:t>Tous ⊖ = le patt n'a jms vu le virus</a:t>
          </a:r>
        </a:p>
      </dgm:t>
    </dgm:pt>
    <dgm:pt modelId="{66405CF2-4796-427D-B95C-053E948E577A}" type="parTrans" cxnId="{EE3D68EF-6705-4FE0-8C42-CBAA593DB635}">
      <dgm:prSet/>
      <dgm:spPr/>
      <dgm:t>
        <a:bodyPr/>
        <a:lstStyle/>
        <a:p>
          <a:endParaRPr lang="fr-FR"/>
        </a:p>
      </dgm:t>
    </dgm:pt>
    <dgm:pt modelId="{A6DA7CA4-AA6B-45FD-878B-A01F2F9A7E19}" type="sibTrans" cxnId="{EE3D68EF-6705-4FE0-8C42-CBAA593DB635}">
      <dgm:prSet/>
      <dgm:spPr/>
      <dgm:t>
        <a:bodyPr/>
        <a:lstStyle/>
        <a:p>
          <a:endParaRPr lang="fr-FR"/>
        </a:p>
      </dgm:t>
    </dgm:pt>
    <dgm:pt modelId="{5474E38E-C4F2-4EF1-8822-DBF2F393956F}">
      <dgm:prSet phldrT="[Texte]" custT="1"/>
      <dgm:spPr/>
      <dgm:t>
        <a:bodyPr/>
        <a:lstStyle/>
        <a:p>
          <a:r>
            <a:rPr lang="fr-FR" sz="1000">
              <a:effectLst>
                <a:glow rad="139700">
                  <a:schemeClr val="accent6">
                    <a:satMod val="175000"/>
                    <a:alpha val="40000"/>
                  </a:schemeClr>
                </a:glow>
              </a:effectLst>
            </a:rPr>
            <a:t>seul </a:t>
          </a:r>
          <a:r>
            <a:rPr lang="fr-FR" sz="1000" b="1">
              <a:effectLst>
                <a:glow rad="139700">
                  <a:schemeClr val="accent6">
                    <a:satMod val="175000"/>
                    <a:alpha val="40000"/>
                  </a:schemeClr>
                </a:glow>
              </a:effectLst>
            </a:rPr>
            <a:t>Ac antiHBs⊕ =vaccination</a:t>
          </a:r>
        </a:p>
      </dgm:t>
    </dgm:pt>
    <dgm:pt modelId="{A117ACC2-0A89-4369-8D68-20B3F27F7C89}" type="parTrans" cxnId="{970F874A-15A4-4D9F-8B33-D4D49E0110BB}">
      <dgm:prSet/>
      <dgm:spPr/>
      <dgm:t>
        <a:bodyPr/>
        <a:lstStyle/>
        <a:p>
          <a:endParaRPr lang="fr-FR"/>
        </a:p>
      </dgm:t>
    </dgm:pt>
    <dgm:pt modelId="{17A566FC-C9EF-43B1-BA2B-1DDFF8211200}" type="sibTrans" cxnId="{970F874A-15A4-4D9F-8B33-D4D49E0110BB}">
      <dgm:prSet/>
      <dgm:spPr/>
      <dgm:t>
        <a:bodyPr/>
        <a:lstStyle/>
        <a:p>
          <a:endParaRPr lang="fr-FR"/>
        </a:p>
      </dgm:t>
    </dgm:pt>
    <dgm:pt modelId="{02CFDF16-4F14-40F0-AD8D-D652EC39DF7C}">
      <dgm:prSet phldrT="[Texte]" custT="1"/>
      <dgm:spPr/>
      <dgm:t>
        <a:bodyPr/>
        <a:lstStyle/>
        <a:p>
          <a:r>
            <a:rPr lang="fr-FR" sz="900">
              <a:effectLst>
                <a:glow rad="139700">
                  <a:schemeClr val="accent6">
                    <a:satMod val="175000"/>
                    <a:alpha val="40000"/>
                  </a:schemeClr>
                </a:glow>
              </a:effectLst>
            </a:rPr>
            <a:t>(Ac antiHBs⊕ et) </a:t>
          </a:r>
          <a:r>
            <a:rPr lang="fr-FR" sz="1000" b="1">
              <a:effectLst>
                <a:glow rad="139700">
                  <a:schemeClr val="accent6">
                    <a:satMod val="175000"/>
                    <a:alpha val="40000"/>
                  </a:schemeClr>
                </a:glow>
              </a:effectLst>
            </a:rPr>
            <a:t>Ac antiHBc</a:t>
          </a:r>
          <a:r>
            <a:rPr lang="fr-FR" sz="1000" b="1">
              <a:effectLst>
                <a:glow rad="139700">
                  <a:schemeClr val="accent6">
                    <a:satMod val="175000"/>
                    <a:alpha val="40000"/>
                  </a:schemeClr>
                </a:glow>
              </a:effectLst>
              <a:latin typeface="Cambria Math"/>
              <a:ea typeface="Cambria Math"/>
            </a:rPr>
            <a:t>⊕</a:t>
          </a:r>
          <a:r>
            <a:rPr lang="fr-FR" sz="1000" b="1">
              <a:effectLst>
                <a:glow rad="139700">
                  <a:schemeClr val="accent6">
                    <a:satMod val="175000"/>
                    <a:alpha val="40000"/>
                  </a:schemeClr>
                </a:glow>
              </a:effectLst>
            </a:rPr>
            <a:t> =inf° ancienne guérie</a:t>
          </a:r>
        </a:p>
      </dgm:t>
    </dgm:pt>
    <dgm:pt modelId="{47091A65-DDF2-4A1B-8A68-874CCAF6B8A6}" type="parTrans" cxnId="{B2189725-D4BB-4295-9462-201075AD7A8A}">
      <dgm:prSet/>
      <dgm:spPr/>
      <dgm:t>
        <a:bodyPr/>
        <a:lstStyle/>
        <a:p>
          <a:endParaRPr lang="fr-FR"/>
        </a:p>
      </dgm:t>
    </dgm:pt>
    <dgm:pt modelId="{9A353A9E-4978-4AF5-B9B4-72C1B38A6B62}" type="sibTrans" cxnId="{B2189725-D4BB-4295-9462-201075AD7A8A}">
      <dgm:prSet/>
      <dgm:spPr/>
      <dgm:t>
        <a:bodyPr/>
        <a:lstStyle/>
        <a:p>
          <a:endParaRPr lang="fr-FR"/>
        </a:p>
      </dgm:t>
    </dgm:pt>
    <dgm:pt modelId="{11B54D85-6E84-4595-8B11-33CB4C0BF10A}">
      <dgm:prSet custT="1"/>
      <dgm:spPr/>
      <dgm:t>
        <a:bodyPr/>
        <a:lstStyle/>
        <a:p>
          <a:r>
            <a:rPr lang="fr-FR" sz="1000" b="1">
              <a:effectLst>
                <a:glow rad="139700">
                  <a:schemeClr val="accent6">
                    <a:satMod val="175000"/>
                    <a:alpha val="40000"/>
                  </a:schemeClr>
                </a:glow>
              </a:effectLst>
            </a:rPr>
            <a:t>Ag Hs ⊕ ; Ac antiHBs ⊖ ; Ac anti HBc ⊕ </a:t>
          </a:r>
          <a:r>
            <a:rPr lang="fr-FR" sz="1000">
              <a:effectLst>
                <a:glow rad="139700">
                  <a:schemeClr val="accent6">
                    <a:satMod val="175000"/>
                    <a:alpha val="40000"/>
                  </a:schemeClr>
                </a:glow>
              </a:effectLst>
            </a:rPr>
            <a:t>=compléter l'analyse :</a:t>
          </a:r>
        </a:p>
      </dgm:t>
    </dgm:pt>
    <dgm:pt modelId="{88021D2B-8B0F-4746-8907-760F012473B0}" type="parTrans" cxnId="{685679EA-A8DD-4722-BC4D-8F1B0D02C327}">
      <dgm:prSet/>
      <dgm:spPr/>
      <dgm:t>
        <a:bodyPr/>
        <a:lstStyle/>
        <a:p>
          <a:endParaRPr lang="fr-FR"/>
        </a:p>
      </dgm:t>
    </dgm:pt>
    <dgm:pt modelId="{1D9FDD89-7C9B-46CB-A8ED-B7D0F693DF66}" type="sibTrans" cxnId="{685679EA-A8DD-4722-BC4D-8F1B0D02C327}">
      <dgm:prSet/>
      <dgm:spPr/>
      <dgm:t>
        <a:bodyPr/>
        <a:lstStyle/>
        <a:p>
          <a:endParaRPr lang="fr-FR"/>
        </a:p>
      </dgm:t>
    </dgm:pt>
    <dgm:pt modelId="{F25ABDD9-C4AC-415A-A9AA-8E2D2B3C6784}">
      <dgm:prSet custT="1"/>
      <dgm:spPr/>
      <dgm:t>
        <a:bodyPr/>
        <a:lstStyle/>
        <a:p>
          <a:r>
            <a:rPr lang="fr-FR" sz="900" b="1">
              <a:solidFill>
                <a:sysClr val="windowText" lastClr="000000"/>
              </a:solidFill>
            </a:rPr>
            <a:t>IgM antiHBc ; Ag HBe ; Ac antiHBe, ADN viral, transa, CV </a:t>
          </a:r>
          <a:r>
            <a:rPr lang="fr-FR" sz="900">
              <a:solidFill>
                <a:sysClr val="windowText" lastClr="000000"/>
              </a:solidFill>
            </a:rPr>
            <a:t>+</a:t>
          </a:r>
          <a:r>
            <a:rPr lang="fr-FR" sz="900" b="1">
              <a:solidFill>
                <a:sysClr val="windowText" lastClr="000000"/>
              </a:solidFill>
            </a:rPr>
            <a:t>rech. coïnf° à VHD </a:t>
          </a:r>
          <a:r>
            <a:rPr lang="fr-FR" sz="900">
              <a:solidFill>
                <a:sysClr val="windowText" lastClr="000000"/>
              </a:solidFill>
            </a:rPr>
            <a:t>(Ac antiVHD et IgM antiVHD ou PCR VHD)</a:t>
          </a:r>
        </a:p>
      </dgm:t>
    </dgm:pt>
    <dgm:pt modelId="{75805D5D-F3F8-45E1-8A0A-C80B41041B44}" type="parTrans" cxnId="{4F4F7F17-28BE-4414-973A-57127DA3D7F5}">
      <dgm:prSet/>
      <dgm:spPr/>
      <dgm:t>
        <a:bodyPr/>
        <a:lstStyle/>
        <a:p>
          <a:endParaRPr lang="fr-FR"/>
        </a:p>
      </dgm:t>
    </dgm:pt>
    <dgm:pt modelId="{0F073C65-5570-4C55-BE47-60A405471D0F}" type="sibTrans" cxnId="{4F4F7F17-28BE-4414-973A-57127DA3D7F5}">
      <dgm:prSet/>
      <dgm:spPr/>
      <dgm:t>
        <a:bodyPr/>
        <a:lstStyle/>
        <a:p>
          <a:endParaRPr lang="fr-FR"/>
        </a:p>
      </dgm:t>
    </dgm:pt>
    <dgm:pt modelId="{4A050C52-13D6-4632-AB96-C80DD277C79B}">
      <dgm:prSet custT="1"/>
      <dgm:spPr/>
      <dgm:t>
        <a:bodyPr/>
        <a:lstStyle/>
        <a:p>
          <a:r>
            <a:rPr lang="fr-FR" sz="900" b="1">
              <a:effectLst>
                <a:glow rad="139700">
                  <a:schemeClr val="accent4">
                    <a:satMod val="175000"/>
                    <a:alpha val="40000"/>
                  </a:schemeClr>
                </a:glow>
              </a:effectLst>
            </a:rPr>
            <a:t>IgM antiHBc ⊕, Ag HBe ⊕, CV+++ </a:t>
          </a:r>
          <a:r>
            <a:rPr lang="fr-FR" sz="900">
              <a:effectLst>
                <a:glow rad="139700">
                  <a:schemeClr val="accent4">
                    <a:satMod val="175000"/>
                    <a:alpha val="40000"/>
                  </a:schemeClr>
                </a:glow>
              </a:effectLst>
            </a:rPr>
            <a:t>=</a:t>
          </a:r>
          <a:r>
            <a:rPr lang="fr-FR" sz="900" b="1">
              <a:effectLst>
                <a:glow rad="139700">
                  <a:schemeClr val="accent4">
                    <a:satMod val="175000"/>
                    <a:alpha val="40000"/>
                  </a:schemeClr>
                </a:glow>
              </a:effectLst>
            </a:rPr>
            <a:t>HB aiguë</a:t>
          </a:r>
        </a:p>
      </dgm:t>
    </dgm:pt>
    <dgm:pt modelId="{33A863F4-F62A-45A0-B1C9-570E62C9EBA3}" type="parTrans" cxnId="{33DF9F1D-27EF-4256-A13D-FF36F4A74FB7}">
      <dgm:prSet/>
      <dgm:spPr/>
      <dgm:t>
        <a:bodyPr/>
        <a:lstStyle/>
        <a:p>
          <a:endParaRPr lang="fr-FR"/>
        </a:p>
      </dgm:t>
    </dgm:pt>
    <dgm:pt modelId="{0579601F-C45E-423E-B9B4-378353BD2171}" type="sibTrans" cxnId="{33DF9F1D-27EF-4256-A13D-FF36F4A74FB7}">
      <dgm:prSet/>
      <dgm:spPr/>
      <dgm:t>
        <a:bodyPr/>
        <a:lstStyle/>
        <a:p>
          <a:endParaRPr lang="fr-FR"/>
        </a:p>
      </dgm:t>
    </dgm:pt>
    <dgm:pt modelId="{1ED8F52E-1B19-40BA-A365-322C6DC4E9F4}">
      <dgm:prSet custT="1"/>
      <dgm:spPr/>
      <dgm:t>
        <a:bodyPr/>
        <a:lstStyle/>
        <a:p>
          <a:r>
            <a:rPr lang="fr-FR" sz="900" b="1">
              <a:effectLst>
                <a:glow rad="139700">
                  <a:schemeClr val="accent4">
                    <a:satMod val="175000"/>
                    <a:alpha val="40000"/>
                  </a:schemeClr>
                </a:glow>
              </a:effectLst>
            </a:rPr>
            <a:t>IgM antiHBc ⊖ </a:t>
          </a:r>
          <a:r>
            <a:rPr lang="fr-FR" sz="900">
              <a:effectLst>
                <a:glow rad="139700">
                  <a:schemeClr val="accent4">
                    <a:satMod val="175000"/>
                    <a:alpha val="40000"/>
                  </a:schemeClr>
                </a:glow>
              </a:effectLst>
            </a:rPr>
            <a:t>=suspicion </a:t>
          </a:r>
          <a:r>
            <a:rPr lang="fr-FR" sz="900" b="1">
              <a:effectLst>
                <a:glow rad="139700">
                  <a:schemeClr val="accent4">
                    <a:satMod val="175000"/>
                    <a:alpha val="40000"/>
                  </a:schemeClr>
                </a:glow>
              </a:effectLst>
            </a:rPr>
            <a:t>HB chronique</a:t>
          </a:r>
        </a:p>
      </dgm:t>
    </dgm:pt>
    <dgm:pt modelId="{02AA23D4-4574-4A02-8F86-CDAED6EDDEF2}" type="parTrans" cxnId="{5D087E8E-195F-4960-9152-E0A82EF0EC84}">
      <dgm:prSet/>
      <dgm:spPr/>
      <dgm:t>
        <a:bodyPr/>
        <a:lstStyle/>
        <a:p>
          <a:endParaRPr lang="fr-FR"/>
        </a:p>
      </dgm:t>
    </dgm:pt>
    <dgm:pt modelId="{8E9FE2F6-ABBE-493E-97DB-357DE5C0145A}" type="sibTrans" cxnId="{5D087E8E-195F-4960-9152-E0A82EF0EC84}">
      <dgm:prSet/>
      <dgm:spPr/>
      <dgm:t>
        <a:bodyPr/>
        <a:lstStyle/>
        <a:p>
          <a:endParaRPr lang="fr-FR"/>
        </a:p>
      </dgm:t>
    </dgm:pt>
    <dgm:pt modelId="{D95D23E8-D227-4395-ADC0-CC69E14F755A}">
      <dgm:prSet custT="1"/>
      <dgm:spPr/>
      <dgm:t>
        <a:bodyPr/>
        <a:lstStyle/>
        <a:p>
          <a:r>
            <a:rPr lang="fr-FR" sz="1000" b="1">
              <a:solidFill>
                <a:sysClr val="windowText" lastClr="000000"/>
              </a:solidFill>
            </a:rPr>
            <a:t>marqueurs directs ⊕ et Ac antiHBc ⊕ </a:t>
          </a:r>
          <a:r>
            <a:rPr lang="fr-FR" sz="1000">
              <a:solidFill>
                <a:sysClr val="windowText" lastClr="000000"/>
              </a:solidFill>
            </a:rPr>
            <a:t>=</a:t>
          </a:r>
          <a:r>
            <a:rPr lang="fr-FR" sz="1000" b="1">
              <a:solidFill>
                <a:sysClr val="windowText" lastClr="000000"/>
              </a:solidFill>
            </a:rPr>
            <a:t>immunotolérance </a:t>
          </a:r>
          <a:r>
            <a:rPr lang="fr-FR" sz="1000">
              <a:solidFill>
                <a:sysClr val="windowText" lastClr="000000"/>
              </a:solidFill>
            </a:rPr>
            <a:t>(réplication virale intense)</a:t>
          </a:r>
        </a:p>
      </dgm:t>
    </dgm:pt>
    <dgm:pt modelId="{E9A69242-9BD8-49E9-B2B0-0ADBCB7A74CA}" type="parTrans" cxnId="{FB087272-AED3-4BCA-B1FD-F8BCE6A3DEA7}">
      <dgm:prSet/>
      <dgm:spPr/>
      <dgm:t>
        <a:bodyPr/>
        <a:lstStyle/>
        <a:p>
          <a:endParaRPr lang="fr-FR"/>
        </a:p>
      </dgm:t>
    </dgm:pt>
    <dgm:pt modelId="{7ABC0FD3-ED9A-4AE2-B748-8BB9CD62978B}" type="sibTrans" cxnId="{FB087272-AED3-4BCA-B1FD-F8BCE6A3DEA7}">
      <dgm:prSet/>
      <dgm:spPr/>
      <dgm:t>
        <a:bodyPr/>
        <a:lstStyle/>
        <a:p>
          <a:endParaRPr lang="fr-FR"/>
        </a:p>
      </dgm:t>
    </dgm:pt>
    <dgm:pt modelId="{5854BF26-434A-4609-B46A-5DD131928DAC}">
      <dgm:prSet custT="1"/>
      <dgm:spPr/>
      <dgm:t>
        <a:bodyPr/>
        <a:lstStyle/>
        <a:p>
          <a:r>
            <a:rPr lang="fr-FR" sz="1000" b="1">
              <a:solidFill>
                <a:sysClr val="windowText" lastClr="000000"/>
              </a:solidFill>
            </a:rPr>
            <a:t>Ac antiHBe ⊕ </a:t>
          </a:r>
          <a:r>
            <a:rPr lang="fr-FR" sz="1000">
              <a:solidFill>
                <a:sysClr val="windowText" lastClr="000000"/>
              </a:solidFill>
            </a:rPr>
            <a:t>= </a:t>
          </a:r>
          <a:r>
            <a:rPr lang="fr-FR" sz="1000" b="1">
              <a:solidFill>
                <a:sysClr val="windowText" lastClr="000000"/>
              </a:solidFill>
            </a:rPr>
            <a:t>clairance</a:t>
          </a:r>
        </a:p>
      </dgm:t>
    </dgm:pt>
    <dgm:pt modelId="{B269E312-6AA7-42BB-A771-3067205168AD}" type="parTrans" cxnId="{C5FCA71F-5E8E-467C-B266-A50D45DE5DB1}">
      <dgm:prSet/>
      <dgm:spPr/>
      <dgm:t>
        <a:bodyPr/>
        <a:lstStyle/>
        <a:p>
          <a:endParaRPr lang="fr-FR"/>
        </a:p>
      </dgm:t>
    </dgm:pt>
    <dgm:pt modelId="{D5B60005-E575-4694-A1D4-6B14A7EAFA17}" type="sibTrans" cxnId="{C5FCA71F-5E8E-467C-B266-A50D45DE5DB1}">
      <dgm:prSet/>
      <dgm:spPr/>
      <dgm:t>
        <a:bodyPr/>
        <a:lstStyle/>
        <a:p>
          <a:endParaRPr lang="fr-FR"/>
        </a:p>
      </dgm:t>
    </dgm:pt>
    <dgm:pt modelId="{56C293AB-6CB5-4A66-89B3-6AD54E7914A3}">
      <dgm:prSet custT="1"/>
      <dgm:spPr/>
      <dgm:t>
        <a:bodyPr/>
        <a:lstStyle/>
        <a:p>
          <a:r>
            <a:rPr lang="fr-FR" sz="1000" b="1">
              <a:solidFill>
                <a:sysClr val="windowText" lastClr="000000"/>
              </a:solidFill>
            </a:rPr>
            <a:t>CV très basse</a:t>
          </a:r>
          <a:r>
            <a:rPr lang="fr-FR" sz="1000">
              <a:solidFill>
                <a:sysClr val="windowText" lastClr="000000"/>
              </a:solidFill>
            </a:rPr>
            <a:t> = </a:t>
          </a:r>
          <a:r>
            <a:rPr lang="fr-FR" sz="1000" b="1">
              <a:solidFill>
                <a:sysClr val="windowText" lastClr="000000"/>
              </a:solidFill>
            </a:rPr>
            <a:t>portage inactif</a:t>
          </a:r>
        </a:p>
      </dgm:t>
    </dgm:pt>
    <dgm:pt modelId="{B492B50A-C4B6-43BF-8E60-C3F5CCCEC5E2}" type="parTrans" cxnId="{4DEC8B8D-9E95-4F14-ADE6-D8CCDCFD3679}">
      <dgm:prSet/>
      <dgm:spPr/>
      <dgm:t>
        <a:bodyPr/>
        <a:lstStyle/>
        <a:p>
          <a:endParaRPr lang="fr-FR"/>
        </a:p>
      </dgm:t>
    </dgm:pt>
    <dgm:pt modelId="{6A727356-3CA8-483B-9EF9-56AF943AB238}" type="sibTrans" cxnId="{4DEC8B8D-9E95-4F14-ADE6-D8CCDCFD3679}">
      <dgm:prSet/>
      <dgm:spPr/>
      <dgm:t>
        <a:bodyPr/>
        <a:lstStyle/>
        <a:p>
          <a:endParaRPr lang="fr-FR"/>
        </a:p>
      </dgm:t>
    </dgm:pt>
    <dgm:pt modelId="{F15998BB-DFE1-44C3-B53E-D54D6812D696}" type="pres">
      <dgm:prSet presAssocID="{A3BB919E-915D-4A16-BE7D-F1CBED6DE0B9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fr-FR"/>
        </a:p>
      </dgm:t>
    </dgm:pt>
    <dgm:pt modelId="{4C335FF0-E23B-463B-80FD-1E87BC64AE38}" type="pres">
      <dgm:prSet presAssocID="{769C4FD3-767A-404D-B5DD-1B8A2E9DE958}" presName="hierRoot1" presStyleCnt="0">
        <dgm:presLayoutVars>
          <dgm:hierBranch val="init"/>
        </dgm:presLayoutVars>
      </dgm:prSet>
      <dgm:spPr/>
    </dgm:pt>
    <dgm:pt modelId="{A842DB5B-7252-4367-88F5-44D97443223D}" type="pres">
      <dgm:prSet presAssocID="{769C4FD3-767A-404D-B5DD-1B8A2E9DE958}" presName="rootComposite1" presStyleCnt="0"/>
      <dgm:spPr/>
    </dgm:pt>
    <dgm:pt modelId="{5EDF4B28-7768-43D8-93C7-FDC6D31D31C7}" type="pres">
      <dgm:prSet presAssocID="{769C4FD3-767A-404D-B5DD-1B8A2E9DE958}" presName="rootText1" presStyleLbl="node0" presStyleIdx="0" presStyleCnt="1" custScaleX="310516" custScaleY="119833">
        <dgm:presLayoutVars>
          <dgm:chPref val="3"/>
        </dgm:presLayoutVars>
      </dgm:prSet>
      <dgm:spPr/>
      <dgm:t>
        <a:bodyPr/>
        <a:lstStyle/>
        <a:p>
          <a:endParaRPr lang="fr-FR"/>
        </a:p>
      </dgm:t>
    </dgm:pt>
    <dgm:pt modelId="{1E033767-6A23-4A52-87AE-EDDA5E4C78B5}" type="pres">
      <dgm:prSet presAssocID="{769C4FD3-767A-404D-B5DD-1B8A2E9DE958}" presName="rootConnector1" presStyleLbl="node1" presStyleIdx="0" presStyleCnt="0"/>
      <dgm:spPr/>
      <dgm:t>
        <a:bodyPr/>
        <a:lstStyle/>
        <a:p>
          <a:endParaRPr lang="fr-FR"/>
        </a:p>
      </dgm:t>
    </dgm:pt>
    <dgm:pt modelId="{CF8EF31F-2678-4793-9B36-6621B59E64AE}" type="pres">
      <dgm:prSet presAssocID="{769C4FD3-767A-404D-B5DD-1B8A2E9DE958}" presName="hierChild2" presStyleCnt="0"/>
      <dgm:spPr/>
    </dgm:pt>
    <dgm:pt modelId="{B253FA2C-3485-4DAF-B1C4-5E37E99C67C4}" type="pres">
      <dgm:prSet presAssocID="{66405CF2-4796-427D-B95C-053E948E577A}" presName="Name37" presStyleLbl="parChTrans1D2" presStyleIdx="0" presStyleCnt="4"/>
      <dgm:spPr/>
      <dgm:t>
        <a:bodyPr/>
        <a:lstStyle/>
        <a:p>
          <a:endParaRPr lang="fr-FR"/>
        </a:p>
      </dgm:t>
    </dgm:pt>
    <dgm:pt modelId="{CD26D961-0414-4F79-9029-990EF5F92C25}" type="pres">
      <dgm:prSet presAssocID="{1B6E6FC0-2C3A-4CCE-A729-4C212DB20984}" presName="hierRoot2" presStyleCnt="0">
        <dgm:presLayoutVars>
          <dgm:hierBranch val="init"/>
        </dgm:presLayoutVars>
      </dgm:prSet>
      <dgm:spPr/>
    </dgm:pt>
    <dgm:pt modelId="{A6FF6547-BEE0-4AC3-89C9-0190405661C2}" type="pres">
      <dgm:prSet presAssocID="{1B6E6FC0-2C3A-4CCE-A729-4C212DB20984}" presName="rootComposite" presStyleCnt="0"/>
      <dgm:spPr/>
    </dgm:pt>
    <dgm:pt modelId="{171FFE29-16ED-4916-8253-2E0EB085AF5B}" type="pres">
      <dgm:prSet presAssocID="{1B6E6FC0-2C3A-4CCE-A729-4C212DB20984}" presName="rootText" presStyleLbl="node2" presStyleIdx="0" presStyleCnt="4" custScaleX="177030" custScaleY="106835">
        <dgm:presLayoutVars>
          <dgm:chPref val="3"/>
        </dgm:presLayoutVars>
      </dgm:prSet>
      <dgm:spPr/>
      <dgm:t>
        <a:bodyPr/>
        <a:lstStyle/>
        <a:p>
          <a:endParaRPr lang="fr-FR"/>
        </a:p>
      </dgm:t>
    </dgm:pt>
    <dgm:pt modelId="{6C89B884-E9C3-4EEE-BE60-E2DB1D7A20EF}" type="pres">
      <dgm:prSet presAssocID="{1B6E6FC0-2C3A-4CCE-A729-4C212DB20984}" presName="rootConnector" presStyleLbl="node2" presStyleIdx="0" presStyleCnt="4"/>
      <dgm:spPr/>
      <dgm:t>
        <a:bodyPr/>
        <a:lstStyle/>
        <a:p>
          <a:endParaRPr lang="fr-FR"/>
        </a:p>
      </dgm:t>
    </dgm:pt>
    <dgm:pt modelId="{51E6DE8F-BCA7-49D5-8923-F5F4F16F75C3}" type="pres">
      <dgm:prSet presAssocID="{1B6E6FC0-2C3A-4CCE-A729-4C212DB20984}" presName="hierChild4" presStyleCnt="0"/>
      <dgm:spPr/>
    </dgm:pt>
    <dgm:pt modelId="{7034ABB2-F5CD-463F-B62E-0985E215E536}" type="pres">
      <dgm:prSet presAssocID="{1B6E6FC0-2C3A-4CCE-A729-4C212DB20984}" presName="hierChild5" presStyleCnt="0"/>
      <dgm:spPr/>
    </dgm:pt>
    <dgm:pt modelId="{FB620DC6-6220-4DF2-AAD6-0FB89FFCA501}" type="pres">
      <dgm:prSet presAssocID="{A117ACC2-0A89-4369-8D68-20B3F27F7C89}" presName="Name37" presStyleLbl="parChTrans1D2" presStyleIdx="1" presStyleCnt="4"/>
      <dgm:spPr/>
      <dgm:t>
        <a:bodyPr/>
        <a:lstStyle/>
        <a:p>
          <a:endParaRPr lang="fr-FR"/>
        </a:p>
      </dgm:t>
    </dgm:pt>
    <dgm:pt modelId="{EB4DEF9B-23F2-4978-8CEB-C0BF47E61DA9}" type="pres">
      <dgm:prSet presAssocID="{5474E38E-C4F2-4EF1-8822-DBF2F393956F}" presName="hierRoot2" presStyleCnt="0">
        <dgm:presLayoutVars>
          <dgm:hierBranch val="init"/>
        </dgm:presLayoutVars>
      </dgm:prSet>
      <dgm:spPr/>
    </dgm:pt>
    <dgm:pt modelId="{39D77626-009D-48FA-81A0-ABADAE3215BE}" type="pres">
      <dgm:prSet presAssocID="{5474E38E-C4F2-4EF1-8822-DBF2F393956F}" presName="rootComposite" presStyleCnt="0"/>
      <dgm:spPr/>
    </dgm:pt>
    <dgm:pt modelId="{1D9BBD86-36DC-4B5B-AEB5-95F97965EE62}" type="pres">
      <dgm:prSet presAssocID="{5474E38E-C4F2-4EF1-8822-DBF2F393956F}" presName="rootText" presStyleLbl="node2" presStyleIdx="1" presStyleCnt="4" custScaleX="172894" custScaleY="113241">
        <dgm:presLayoutVars>
          <dgm:chPref val="3"/>
        </dgm:presLayoutVars>
      </dgm:prSet>
      <dgm:spPr/>
      <dgm:t>
        <a:bodyPr/>
        <a:lstStyle/>
        <a:p>
          <a:endParaRPr lang="fr-FR"/>
        </a:p>
      </dgm:t>
    </dgm:pt>
    <dgm:pt modelId="{3265DA51-14D7-41FC-AE1D-0862769A1F67}" type="pres">
      <dgm:prSet presAssocID="{5474E38E-C4F2-4EF1-8822-DBF2F393956F}" presName="rootConnector" presStyleLbl="node2" presStyleIdx="1" presStyleCnt="4"/>
      <dgm:spPr/>
      <dgm:t>
        <a:bodyPr/>
        <a:lstStyle/>
        <a:p>
          <a:endParaRPr lang="fr-FR"/>
        </a:p>
      </dgm:t>
    </dgm:pt>
    <dgm:pt modelId="{C26C2C1D-D545-4F96-8F04-D764232FD44E}" type="pres">
      <dgm:prSet presAssocID="{5474E38E-C4F2-4EF1-8822-DBF2F393956F}" presName="hierChild4" presStyleCnt="0"/>
      <dgm:spPr/>
    </dgm:pt>
    <dgm:pt modelId="{DC1A90F7-8393-4002-B3D9-53F2AEE1320F}" type="pres">
      <dgm:prSet presAssocID="{5474E38E-C4F2-4EF1-8822-DBF2F393956F}" presName="hierChild5" presStyleCnt="0"/>
      <dgm:spPr/>
    </dgm:pt>
    <dgm:pt modelId="{429AE3CD-0856-4939-8ECE-764EDD8273DC}" type="pres">
      <dgm:prSet presAssocID="{47091A65-DDF2-4A1B-8A68-874CCAF6B8A6}" presName="Name37" presStyleLbl="parChTrans1D2" presStyleIdx="2" presStyleCnt="4"/>
      <dgm:spPr/>
      <dgm:t>
        <a:bodyPr/>
        <a:lstStyle/>
        <a:p>
          <a:endParaRPr lang="fr-FR"/>
        </a:p>
      </dgm:t>
    </dgm:pt>
    <dgm:pt modelId="{4CD5499F-2633-4EA4-ACDA-FCBEEE707AAC}" type="pres">
      <dgm:prSet presAssocID="{02CFDF16-4F14-40F0-AD8D-D652EC39DF7C}" presName="hierRoot2" presStyleCnt="0">
        <dgm:presLayoutVars>
          <dgm:hierBranch val="init"/>
        </dgm:presLayoutVars>
      </dgm:prSet>
      <dgm:spPr/>
    </dgm:pt>
    <dgm:pt modelId="{33073AE0-EB1F-4759-9588-FD9E68B72C2E}" type="pres">
      <dgm:prSet presAssocID="{02CFDF16-4F14-40F0-AD8D-D652EC39DF7C}" presName="rootComposite" presStyleCnt="0"/>
      <dgm:spPr/>
    </dgm:pt>
    <dgm:pt modelId="{3EE595B6-2FB5-4B38-B833-446A0205F04B}" type="pres">
      <dgm:prSet presAssocID="{02CFDF16-4F14-40F0-AD8D-D652EC39DF7C}" presName="rootText" presStyleLbl="node2" presStyleIdx="2" presStyleCnt="4" custScaleX="278109" custScaleY="108271">
        <dgm:presLayoutVars>
          <dgm:chPref val="3"/>
        </dgm:presLayoutVars>
      </dgm:prSet>
      <dgm:spPr/>
      <dgm:t>
        <a:bodyPr/>
        <a:lstStyle/>
        <a:p>
          <a:endParaRPr lang="fr-FR"/>
        </a:p>
      </dgm:t>
    </dgm:pt>
    <dgm:pt modelId="{FDE6A38B-B2FA-46DD-8273-5336EC07600F}" type="pres">
      <dgm:prSet presAssocID="{02CFDF16-4F14-40F0-AD8D-D652EC39DF7C}" presName="rootConnector" presStyleLbl="node2" presStyleIdx="2" presStyleCnt="4"/>
      <dgm:spPr/>
      <dgm:t>
        <a:bodyPr/>
        <a:lstStyle/>
        <a:p>
          <a:endParaRPr lang="fr-FR"/>
        </a:p>
      </dgm:t>
    </dgm:pt>
    <dgm:pt modelId="{24F3ECF9-760E-4C78-887F-E56748060884}" type="pres">
      <dgm:prSet presAssocID="{02CFDF16-4F14-40F0-AD8D-D652EC39DF7C}" presName="hierChild4" presStyleCnt="0"/>
      <dgm:spPr/>
    </dgm:pt>
    <dgm:pt modelId="{A62092C1-6EB9-4AA7-98BF-CC78AFC690C2}" type="pres">
      <dgm:prSet presAssocID="{02CFDF16-4F14-40F0-AD8D-D652EC39DF7C}" presName="hierChild5" presStyleCnt="0"/>
      <dgm:spPr/>
    </dgm:pt>
    <dgm:pt modelId="{5D30A341-5311-4DF2-B1B2-B560419AC3CC}" type="pres">
      <dgm:prSet presAssocID="{88021D2B-8B0F-4746-8907-760F012473B0}" presName="Name37" presStyleLbl="parChTrans1D2" presStyleIdx="3" presStyleCnt="4"/>
      <dgm:spPr/>
      <dgm:t>
        <a:bodyPr/>
        <a:lstStyle/>
        <a:p>
          <a:endParaRPr lang="fr-FR"/>
        </a:p>
      </dgm:t>
    </dgm:pt>
    <dgm:pt modelId="{0F010DDD-F9AA-425F-B1F6-B231858065F4}" type="pres">
      <dgm:prSet presAssocID="{11B54D85-6E84-4595-8B11-33CB4C0BF10A}" presName="hierRoot2" presStyleCnt="0">
        <dgm:presLayoutVars>
          <dgm:hierBranch/>
        </dgm:presLayoutVars>
      </dgm:prSet>
      <dgm:spPr/>
    </dgm:pt>
    <dgm:pt modelId="{C96631BA-7063-4901-8A6B-60E5506D21C2}" type="pres">
      <dgm:prSet presAssocID="{11B54D85-6E84-4595-8B11-33CB4C0BF10A}" presName="rootComposite" presStyleCnt="0"/>
      <dgm:spPr/>
    </dgm:pt>
    <dgm:pt modelId="{D296D379-564F-4EAE-8EF6-A35DC3053A61}" type="pres">
      <dgm:prSet presAssocID="{11B54D85-6E84-4595-8B11-33CB4C0BF10A}" presName="rootText" presStyleLbl="node2" presStyleIdx="3" presStyleCnt="4" custScaleX="368699" custScaleY="112608">
        <dgm:presLayoutVars>
          <dgm:chPref val="3"/>
        </dgm:presLayoutVars>
      </dgm:prSet>
      <dgm:spPr/>
      <dgm:t>
        <a:bodyPr/>
        <a:lstStyle/>
        <a:p>
          <a:endParaRPr lang="fr-FR"/>
        </a:p>
      </dgm:t>
    </dgm:pt>
    <dgm:pt modelId="{7664B212-2702-473D-BDE4-502F6EACA63C}" type="pres">
      <dgm:prSet presAssocID="{11B54D85-6E84-4595-8B11-33CB4C0BF10A}" presName="rootConnector" presStyleLbl="node2" presStyleIdx="3" presStyleCnt="4"/>
      <dgm:spPr/>
      <dgm:t>
        <a:bodyPr/>
        <a:lstStyle/>
        <a:p>
          <a:endParaRPr lang="fr-FR"/>
        </a:p>
      </dgm:t>
    </dgm:pt>
    <dgm:pt modelId="{12D442DA-1EE6-443D-9B52-51FEB0EF5D41}" type="pres">
      <dgm:prSet presAssocID="{11B54D85-6E84-4595-8B11-33CB4C0BF10A}" presName="hierChild4" presStyleCnt="0"/>
      <dgm:spPr/>
    </dgm:pt>
    <dgm:pt modelId="{CF8E9F3B-33D5-4A79-A5D4-121C113593B4}" type="pres">
      <dgm:prSet presAssocID="{75805D5D-F3F8-45E1-8A0A-C80B41041B44}" presName="Name35" presStyleLbl="parChTrans1D3" presStyleIdx="0" presStyleCnt="1"/>
      <dgm:spPr/>
      <dgm:t>
        <a:bodyPr/>
        <a:lstStyle/>
        <a:p>
          <a:endParaRPr lang="fr-FR"/>
        </a:p>
      </dgm:t>
    </dgm:pt>
    <dgm:pt modelId="{521D76CD-C869-4A76-BAF2-139B532E50D9}" type="pres">
      <dgm:prSet presAssocID="{F25ABDD9-C4AC-415A-A9AA-8E2D2B3C6784}" presName="hierRoot2" presStyleCnt="0">
        <dgm:presLayoutVars>
          <dgm:hierBranch/>
        </dgm:presLayoutVars>
      </dgm:prSet>
      <dgm:spPr/>
    </dgm:pt>
    <dgm:pt modelId="{E15317A6-F11B-466B-9721-D69623121092}" type="pres">
      <dgm:prSet presAssocID="{F25ABDD9-C4AC-415A-A9AA-8E2D2B3C6784}" presName="rootComposite" presStyleCnt="0"/>
      <dgm:spPr/>
    </dgm:pt>
    <dgm:pt modelId="{CCB3139C-F2E9-4287-92B0-17BD2830C625}" type="pres">
      <dgm:prSet presAssocID="{F25ABDD9-C4AC-415A-A9AA-8E2D2B3C6784}" presName="rootText" presStyleLbl="node3" presStyleIdx="0" presStyleCnt="1" custScaleX="522986">
        <dgm:presLayoutVars>
          <dgm:chPref val="3"/>
        </dgm:presLayoutVars>
      </dgm:prSet>
      <dgm:spPr/>
      <dgm:t>
        <a:bodyPr/>
        <a:lstStyle/>
        <a:p>
          <a:endParaRPr lang="fr-FR"/>
        </a:p>
      </dgm:t>
    </dgm:pt>
    <dgm:pt modelId="{DE31E2B5-B715-48B9-94AD-A230770C74EE}" type="pres">
      <dgm:prSet presAssocID="{F25ABDD9-C4AC-415A-A9AA-8E2D2B3C6784}" presName="rootConnector" presStyleLbl="node3" presStyleIdx="0" presStyleCnt="1"/>
      <dgm:spPr/>
      <dgm:t>
        <a:bodyPr/>
        <a:lstStyle/>
        <a:p>
          <a:endParaRPr lang="fr-FR"/>
        </a:p>
      </dgm:t>
    </dgm:pt>
    <dgm:pt modelId="{C61D7FB2-BEF7-4159-ABD9-9DBF7FB189BD}" type="pres">
      <dgm:prSet presAssocID="{F25ABDD9-C4AC-415A-A9AA-8E2D2B3C6784}" presName="hierChild4" presStyleCnt="0"/>
      <dgm:spPr/>
    </dgm:pt>
    <dgm:pt modelId="{E1699F95-F941-432E-ABC4-64D24089713C}" type="pres">
      <dgm:prSet presAssocID="{33A863F4-F62A-45A0-B1C9-570E62C9EBA3}" presName="Name35" presStyleLbl="parChTrans1D4" presStyleIdx="0" presStyleCnt="5"/>
      <dgm:spPr/>
      <dgm:t>
        <a:bodyPr/>
        <a:lstStyle/>
        <a:p>
          <a:endParaRPr lang="fr-FR"/>
        </a:p>
      </dgm:t>
    </dgm:pt>
    <dgm:pt modelId="{C0A12B28-6B5C-4E6F-8284-58499F1512A4}" type="pres">
      <dgm:prSet presAssocID="{4A050C52-13D6-4632-AB96-C80DD277C79B}" presName="hierRoot2" presStyleCnt="0">
        <dgm:presLayoutVars>
          <dgm:hierBranch val="init"/>
        </dgm:presLayoutVars>
      </dgm:prSet>
      <dgm:spPr/>
    </dgm:pt>
    <dgm:pt modelId="{B829D9DF-F540-48C9-A2C3-945E049229A9}" type="pres">
      <dgm:prSet presAssocID="{4A050C52-13D6-4632-AB96-C80DD277C79B}" presName="rootComposite" presStyleCnt="0"/>
      <dgm:spPr/>
    </dgm:pt>
    <dgm:pt modelId="{4BCC801A-11FB-4788-9285-625CD1684994}" type="pres">
      <dgm:prSet presAssocID="{4A050C52-13D6-4632-AB96-C80DD277C79B}" presName="rootText" presStyleLbl="node4" presStyleIdx="0" presStyleCnt="5" custScaleX="258133">
        <dgm:presLayoutVars>
          <dgm:chPref val="3"/>
        </dgm:presLayoutVars>
      </dgm:prSet>
      <dgm:spPr/>
      <dgm:t>
        <a:bodyPr/>
        <a:lstStyle/>
        <a:p>
          <a:endParaRPr lang="fr-FR"/>
        </a:p>
      </dgm:t>
    </dgm:pt>
    <dgm:pt modelId="{9D2DF80E-8AE8-46CB-BDDF-468DD41030E9}" type="pres">
      <dgm:prSet presAssocID="{4A050C52-13D6-4632-AB96-C80DD277C79B}" presName="rootConnector" presStyleLbl="node4" presStyleIdx="0" presStyleCnt="5"/>
      <dgm:spPr/>
      <dgm:t>
        <a:bodyPr/>
        <a:lstStyle/>
        <a:p>
          <a:endParaRPr lang="fr-FR"/>
        </a:p>
      </dgm:t>
    </dgm:pt>
    <dgm:pt modelId="{5C7CA971-AC30-4AA7-AA6B-B911CE8384DE}" type="pres">
      <dgm:prSet presAssocID="{4A050C52-13D6-4632-AB96-C80DD277C79B}" presName="hierChild4" presStyleCnt="0"/>
      <dgm:spPr/>
    </dgm:pt>
    <dgm:pt modelId="{B6A8C5E6-3CCD-43F5-A4E7-72F021B86803}" type="pres">
      <dgm:prSet presAssocID="{4A050C52-13D6-4632-AB96-C80DD277C79B}" presName="hierChild5" presStyleCnt="0"/>
      <dgm:spPr/>
    </dgm:pt>
    <dgm:pt modelId="{D5A3E906-6A0D-4AB4-AB4F-55800C53F8BA}" type="pres">
      <dgm:prSet presAssocID="{02AA23D4-4574-4A02-8F86-CDAED6EDDEF2}" presName="Name35" presStyleLbl="parChTrans1D4" presStyleIdx="1" presStyleCnt="5"/>
      <dgm:spPr/>
      <dgm:t>
        <a:bodyPr/>
        <a:lstStyle/>
        <a:p>
          <a:endParaRPr lang="fr-FR"/>
        </a:p>
      </dgm:t>
    </dgm:pt>
    <dgm:pt modelId="{1358A889-CFA5-49C2-8CE2-7FE7F2FF9BAF}" type="pres">
      <dgm:prSet presAssocID="{1ED8F52E-1B19-40BA-A365-322C6DC4E9F4}" presName="hierRoot2" presStyleCnt="0">
        <dgm:presLayoutVars>
          <dgm:hierBranch val="l"/>
        </dgm:presLayoutVars>
      </dgm:prSet>
      <dgm:spPr/>
    </dgm:pt>
    <dgm:pt modelId="{B5ED1B36-40BD-4C32-AE49-A5F6F8F36A41}" type="pres">
      <dgm:prSet presAssocID="{1ED8F52E-1B19-40BA-A365-322C6DC4E9F4}" presName="rootComposite" presStyleCnt="0"/>
      <dgm:spPr/>
    </dgm:pt>
    <dgm:pt modelId="{58D67453-A113-41F3-BD12-25CA1ED78CB9}" type="pres">
      <dgm:prSet presAssocID="{1ED8F52E-1B19-40BA-A365-322C6DC4E9F4}" presName="rootText" presStyleLbl="node4" presStyleIdx="1" presStyleCnt="5" custScaleX="220667" custScaleY="113564">
        <dgm:presLayoutVars>
          <dgm:chPref val="3"/>
        </dgm:presLayoutVars>
      </dgm:prSet>
      <dgm:spPr/>
      <dgm:t>
        <a:bodyPr/>
        <a:lstStyle/>
        <a:p>
          <a:endParaRPr lang="fr-FR"/>
        </a:p>
      </dgm:t>
    </dgm:pt>
    <dgm:pt modelId="{B3F621CB-8875-4DDC-99AB-6F4050458720}" type="pres">
      <dgm:prSet presAssocID="{1ED8F52E-1B19-40BA-A365-322C6DC4E9F4}" presName="rootConnector" presStyleLbl="node4" presStyleIdx="1" presStyleCnt="5"/>
      <dgm:spPr/>
      <dgm:t>
        <a:bodyPr/>
        <a:lstStyle/>
        <a:p>
          <a:endParaRPr lang="fr-FR"/>
        </a:p>
      </dgm:t>
    </dgm:pt>
    <dgm:pt modelId="{D85BE889-1500-4DE0-BD93-00E9349EDA66}" type="pres">
      <dgm:prSet presAssocID="{1ED8F52E-1B19-40BA-A365-322C6DC4E9F4}" presName="hierChild4" presStyleCnt="0"/>
      <dgm:spPr/>
    </dgm:pt>
    <dgm:pt modelId="{DE259FE1-C6A4-4ED6-8936-36A0AB2A88E4}" type="pres">
      <dgm:prSet presAssocID="{E9A69242-9BD8-49E9-B2B0-0ADBCB7A74CA}" presName="Name50" presStyleLbl="parChTrans1D4" presStyleIdx="2" presStyleCnt="5"/>
      <dgm:spPr/>
      <dgm:t>
        <a:bodyPr/>
        <a:lstStyle/>
        <a:p>
          <a:endParaRPr lang="fr-FR"/>
        </a:p>
      </dgm:t>
    </dgm:pt>
    <dgm:pt modelId="{0338A7BE-F025-4AA9-9780-C2321525138A}" type="pres">
      <dgm:prSet presAssocID="{D95D23E8-D227-4395-ADC0-CC69E14F755A}" presName="hierRoot2" presStyleCnt="0">
        <dgm:presLayoutVars>
          <dgm:hierBranch val="l"/>
        </dgm:presLayoutVars>
      </dgm:prSet>
      <dgm:spPr/>
    </dgm:pt>
    <dgm:pt modelId="{82316439-14E5-4226-B039-C49C01FE484A}" type="pres">
      <dgm:prSet presAssocID="{D95D23E8-D227-4395-ADC0-CC69E14F755A}" presName="rootComposite" presStyleCnt="0"/>
      <dgm:spPr/>
    </dgm:pt>
    <dgm:pt modelId="{E55271CB-13CE-4F0A-B63A-D8CFBCC29AFC}" type="pres">
      <dgm:prSet presAssocID="{D95D23E8-D227-4395-ADC0-CC69E14F755A}" presName="rootText" presStyleLbl="node4" presStyleIdx="2" presStyleCnt="5" custScaleX="435238">
        <dgm:presLayoutVars>
          <dgm:chPref val="3"/>
        </dgm:presLayoutVars>
      </dgm:prSet>
      <dgm:spPr/>
      <dgm:t>
        <a:bodyPr/>
        <a:lstStyle/>
        <a:p>
          <a:endParaRPr lang="fr-FR"/>
        </a:p>
      </dgm:t>
    </dgm:pt>
    <dgm:pt modelId="{894C2FBE-88AC-46FC-918B-DD4B7000C249}" type="pres">
      <dgm:prSet presAssocID="{D95D23E8-D227-4395-ADC0-CC69E14F755A}" presName="rootConnector" presStyleLbl="node4" presStyleIdx="2" presStyleCnt="5"/>
      <dgm:spPr/>
      <dgm:t>
        <a:bodyPr/>
        <a:lstStyle/>
        <a:p>
          <a:endParaRPr lang="fr-FR"/>
        </a:p>
      </dgm:t>
    </dgm:pt>
    <dgm:pt modelId="{A4C14531-48B2-458B-8D7C-7E735440659E}" type="pres">
      <dgm:prSet presAssocID="{D95D23E8-D227-4395-ADC0-CC69E14F755A}" presName="hierChild4" presStyleCnt="0"/>
      <dgm:spPr/>
    </dgm:pt>
    <dgm:pt modelId="{FEA92602-0C37-4783-A207-361665E20967}" type="pres">
      <dgm:prSet presAssocID="{D95D23E8-D227-4395-ADC0-CC69E14F755A}" presName="hierChild5" presStyleCnt="0"/>
      <dgm:spPr/>
    </dgm:pt>
    <dgm:pt modelId="{CA2D067D-0336-4D58-8FF6-1194A3FA8A89}" type="pres">
      <dgm:prSet presAssocID="{B269E312-6AA7-42BB-A771-3067205168AD}" presName="Name50" presStyleLbl="parChTrans1D4" presStyleIdx="3" presStyleCnt="5"/>
      <dgm:spPr/>
      <dgm:t>
        <a:bodyPr/>
        <a:lstStyle/>
        <a:p>
          <a:endParaRPr lang="fr-FR"/>
        </a:p>
      </dgm:t>
    </dgm:pt>
    <dgm:pt modelId="{404669CD-2B4F-4CD0-99AB-2303EF2AFD07}" type="pres">
      <dgm:prSet presAssocID="{5854BF26-434A-4609-B46A-5DD131928DAC}" presName="hierRoot2" presStyleCnt="0">
        <dgm:presLayoutVars>
          <dgm:hierBranch val="init"/>
        </dgm:presLayoutVars>
      </dgm:prSet>
      <dgm:spPr/>
    </dgm:pt>
    <dgm:pt modelId="{E6E3534B-3796-4ECD-8469-B82AD32A3CDD}" type="pres">
      <dgm:prSet presAssocID="{5854BF26-434A-4609-B46A-5DD131928DAC}" presName="rootComposite" presStyleCnt="0"/>
      <dgm:spPr/>
    </dgm:pt>
    <dgm:pt modelId="{A418A2D4-992F-4515-AF05-BD92AAD78024}" type="pres">
      <dgm:prSet presAssocID="{5854BF26-434A-4609-B46A-5DD131928DAC}" presName="rootText" presStyleLbl="node4" presStyleIdx="3" presStyleCnt="5" custScaleX="287670">
        <dgm:presLayoutVars>
          <dgm:chPref val="3"/>
        </dgm:presLayoutVars>
      </dgm:prSet>
      <dgm:spPr/>
      <dgm:t>
        <a:bodyPr/>
        <a:lstStyle/>
        <a:p>
          <a:endParaRPr lang="fr-FR"/>
        </a:p>
      </dgm:t>
    </dgm:pt>
    <dgm:pt modelId="{DB829D76-D933-4A8D-8945-DA5340FEA729}" type="pres">
      <dgm:prSet presAssocID="{5854BF26-434A-4609-B46A-5DD131928DAC}" presName="rootConnector" presStyleLbl="node4" presStyleIdx="3" presStyleCnt="5"/>
      <dgm:spPr/>
      <dgm:t>
        <a:bodyPr/>
        <a:lstStyle/>
        <a:p>
          <a:endParaRPr lang="fr-FR"/>
        </a:p>
      </dgm:t>
    </dgm:pt>
    <dgm:pt modelId="{7C650899-D86B-41C0-BA92-76059E608CF1}" type="pres">
      <dgm:prSet presAssocID="{5854BF26-434A-4609-B46A-5DD131928DAC}" presName="hierChild4" presStyleCnt="0"/>
      <dgm:spPr/>
    </dgm:pt>
    <dgm:pt modelId="{8F5C923A-8D2B-4DBF-B797-677B42BC6462}" type="pres">
      <dgm:prSet presAssocID="{5854BF26-434A-4609-B46A-5DD131928DAC}" presName="hierChild5" presStyleCnt="0"/>
      <dgm:spPr/>
    </dgm:pt>
    <dgm:pt modelId="{29A31124-1AA0-47B8-9842-7CDA9579A4D8}" type="pres">
      <dgm:prSet presAssocID="{B492B50A-C4B6-43BF-8E60-C3F5CCCEC5E2}" presName="Name50" presStyleLbl="parChTrans1D4" presStyleIdx="4" presStyleCnt="5"/>
      <dgm:spPr/>
      <dgm:t>
        <a:bodyPr/>
        <a:lstStyle/>
        <a:p>
          <a:endParaRPr lang="fr-FR"/>
        </a:p>
      </dgm:t>
    </dgm:pt>
    <dgm:pt modelId="{8B3060E1-13FC-4C11-B6E4-9AE33DE76505}" type="pres">
      <dgm:prSet presAssocID="{56C293AB-6CB5-4A66-89B3-6AD54E7914A3}" presName="hierRoot2" presStyleCnt="0">
        <dgm:presLayoutVars>
          <dgm:hierBranch val="init"/>
        </dgm:presLayoutVars>
      </dgm:prSet>
      <dgm:spPr/>
    </dgm:pt>
    <dgm:pt modelId="{F9E4D77D-12CB-4E03-8435-9EC32A181B13}" type="pres">
      <dgm:prSet presAssocID="{56C293AB-6CB5-4A66-89B3-6AD54E7914A3}" presName="rootComposite" presStyleCnt="0"/>
      <dgm:spPr/>
    </dgm:pt>
    <dgm:pt modelId="{9BC763B6-9300-4C0F-BCA1-B73C3793CC54}" type="pres">
      <dgm:prSet presAssocID="{56C293AB-6CB5-4A66-89B3-6AD54E7914A3}" presName="rootText" presStyleLbl="node4" presStyleIdx="4" presStyleCnt="5" custScaleX="286527">
        <dgm:presLayoutVars>
          <dgm:chPref val="3"/>
        </dgm:presLayoutVars>
      </dgm:prSet>
      <dgm:spPr/>
      <dgm:t>
        <a:bodyPr/>
        <a:lstStyle/>
        <a:p>
          <a:endParaRPr lang="fr-FR"/>
        </a:p>
      </dgm:t>
    </dgm:pt>
    <dgm:pt modelId="{011F4B5B-9FD4-4FF5-B32E-58C5FD42750A}" type="pres">
      <dgm:prSet presAssocID="{56C293AB-6CB5-4A66-89B3-6AD54E7914A3}" presName="rootConnector" presStyleLbl="node4" presStyleIdx="4" presStyleCnt="5"/>
      <dgm:spPr/>
      <dgm:t>
        <a:bodyPr/>
        <a:lstStyle/>
        <a:p>
          <a:endParaRPr lang="fr-FR"/>
        </a:p>
      </dgm:t>
    </dgm:pt>
    <dgm:pt modelId="{13371CA5-D77E-45C6-B75D-CE6DDAA38BE7}" type="pres">
      <dgm:prSet presAssocID="{56C293AB-6CB5-4A66-89B3-6AD54E7914A3}" presName="hierChild4" presStyleCnt="0"/>
      <dgm:spPr/>
    </dgm:pt>
    <dgm:pt modelId="{504E56FA-34EF-402F-82E5-771562454A21}" type="pres">
      <dgm:prSet presAssocID="{56C293AB-6CB5-4A66-89B3-6AD54E7914A3}" presName="hierChild5" presStyleCnt="0"/>
      <dgm:spPr/>
    </dgm:pt>
    <dgm:pt modelId="{237D2F65-46EA-4817-9233-11CE5DC2534D}" type="pres">
      <dgm:prSet presAssocID="{1ED8F52E-1B19-40BA-A365-322C6DC4E9F4}" presName="hierChild5" presStyleCnt="0"/>
      <dgm:spPr/>
    </dgm:pt>
    <dgm:pt modelId="{4BDA71D1-8F1E-464B-B990-6C2F4AB8E7BE}" type="pres">
      <dgm:prSet presAssocID="{F25ABDD9-C4AC-415A-A9AA-8E2D2B3C6784}" presName="hierChild5" presStyleCnt="0"/>
      <dgm:spPr/>
    </dgm:pt>
    <dgm:pt modelId="{F83CC6CA-F98A-45FD-883A-4C36649A1D49}" type="pres">
      <dgm:prSet presAssocID="{11B54D85-6E84-4595-8B11-33CB4C0BF10A}" presName="hierChild5" presStyleCnt="0"/>
      <dgm:spPr/>
    </dgm:pt>
    <dgm:pt modelId="{59FB5DC1-FE37-4E70-A863-E0ADECD5CB2C}" type="pres">
      <dgm:prSet presAssocID="{769C4FD3-767A-404D-B5DD-1B8A2E9DE958}" presName="hierChild3" presStyleCnt="0"/>
      <dgm:spPr/>
    </dgm:pt>
  </dgm:ptLst>
  <dgm:cxnLst>
    <dgm:cxn modelId="{685679EA-A8DD-4722-BC4D-8F1B0D02C327}" srcId="{769C4FD3-767A-404D-B5DD-1B8A2E9DE958}" destId="{11B54D85-6E84-4595-8B11-33CB4C0BF10A}" srcOrd="3" destOrd="0" parTransId="{88021D2B-8B0F-4746-8907-760F012473B0}" sibTransId="{1D9FDD89-7C9B-46CB-A8ED-B7D0F693DF66}"/>
    <dgm:cxn modelId="{69AD2F9A-66BB-4F53-AE10-937C7A70D034}" type="presOf" srcId="{4A050C52-13D6-4632-AB96-C80DD277C79B}" destId="{4BCC801A-11FB-4788-9285-625CD1684994}" srcOrd="0" destOrd="0" presId="urn:microsoft.com/office/officeart/2005/8/layout/orgChart1"/>
    <dgm:cxn modelId="{6E0B34F6-B72A-4635-AAA8-B8D212FDB9DD}" type="presOf" srcId="{5474E38E-C4F2-4EF1-8822-DBF2F393956F}" destId="{1D9BBD86-36DC-4B5B-AEB5-95F97965EE62}" srcOrd="0" destOrd="0" presId="urn:microsoft.com/office/officeart/2005/8/layout/orgChart1"/>
    <dgm:cxn modelId="{E1778585-1BC2-46E7-B11A-0E0C1C5861C5}" type="presOf" srcId="{5854BF26-434A-4609-B46A-5DD131928DAC}" destId="{DB829D76-D933-4A8D-8945-DA5340FEA729}" srcOrd="1" destOrd="0" presId="urn:microsoft.com/office/officeart/2005/8/layout/orgChart1"/>
    <dgm:cxn modelId="{8068CA45-4895-4744-91F6-3335AC9666AC}" type="presOf" srcId="{75805D5D-F3F8-45E1-8A0A-C80B41041B44}" destId="{CF8E9F3B-33D5-4A79-A5D4-121C113593B4}" srcOrd="0" destOrd="0" presId="urn:microsoft.com/office/officeart/2005/8/layout/orgChart1"/>
    <dgm:cxn modelId="{08CD0700-43A8-40CA-8769-FFC0B9EAB7A9}" type="presOf" srcId="{D95D23E8-D227-4395-ADC0-CC69E14F755A}" destId="{894C2FBE-88AC-46FC-918B-DD4B7000C249}" srcOrd="1" destOrd="0" presId="urn:microsoft.com/office/officeart/2005/8/layout/orgChart1"/>
    <dgm:cxn modelId="{252091B8-D6E5-4E3F-90BB-CEC740B4068E}" type="presOf" srcId="{769C4FD3-767A-404D-B5DD-1B8A2E9DE958}" destId="{1E033767-6A23-4A52-87AE-EDDA5E4C78B5}" srcOrd="1" destOrd="0" presId="urn:microsoft.com/office/officeart/2005/8/layout/orgChart1"/>
    <dgm:cxn modelId="{D9B04BD7-4E9D-49AA-BBFD-431DD6FC6B79}" type="presOf" srcId="{1ED8F52E-1B19-40BA-A365-322C6DC4E9F4}" destId="{58D67453-A113-41F3-BD12-25CA1ED78CB9}" srcOrd="0" destOrd="0" presId="urn:microsoft.com/office/officeart/2005/8/layout/orgChart1"/>
    <dgm:cxn modelId="{7ADB5D09-549B-4AF2-B622-47A6798C375B}" type="presOf" srcId="{A3BB919E-915D-4A16-BE7D-F1CBED6DE0B9}" destId="{F15998BB-DFE1-44C3-B53E-D54D6812D696}" srcOrd="0" destOrd="0" presId="urn:microsoft.com/office/officeart/2005/8/layout/orgChart1"/>
    <dgm:cxn modelId="{5D087E8E-195F-4960-9152-E0A82EF0EC84}" srcId="{F25ABDD9-C4AC-415A-A9AA-8E2D2B3C6784}" destId="{1ED8F52E-1B19-40BA-A365-322C6DC4E9F4}" srcOrd="1" destOrd="0" parTransId="{02AA23D4-4574-4A02-8F86-CDAED6EDDEF2}" sibTransId="{8E9FE2F6-ABBE-493E-97DB-357DE5C0145A}"/>
    <dgm:cxn modelId="{D0DD048B-7C4A-411C-940C-D321710AFBB9}" type="presOf" srcId="{11B54D85-6E84-4595-8B11-33CB4C0BF10A}" destId="{7664B212-2702-473D-BDE4-502F6EACA63C}" srcOrd="1" destOrd="0" presId="urn:microsoft.com/office/officeart/2005/8/layout/orgChart1"/>
    <dgm:cxn modelId="{98518BF2-6631-430D-86A4-C2C6BA06A098}" type="presOf" srcId="{33A863F4-F62A-45A0-B1C9-570E62C9EBA3}" destId="{E1699F95-F941-432E-ABC4-64D24089713C}" srcOrd="0" destOrd="0" presId="urn:microsoft.com/office/officeart/2005/8/layout/orgChart1"/>
    <dgm:cxn modelId="{45B50095-1352-469D-AB30-A6057314E77C}" type="presOf" srcId="{D95D23E8-D227-4395-ADC0-CC69E14F755A}" destId="{E55271CB-13CE-4F0A-B63A-D8CFBCC29AFC}" srcOrd="0" destOrd="0" presId="urn:microsoft.com/office/officeart/2005/8/layout/orgChart1"/>
    <dgm:cxn modelId="{C5FCA71F-5E8E-467C-B266-A50D45DE5DB1}" srcId="{1ED8F52E-1B19-40BA-A365-322C6DC4E9F4}" destId="{5854BF26-434A-4609-B46A-5DD131928DAC}" srcOrd="1" destOrd="0" parTransId="{B269E312-6AA7-42BB-A771-3067205168AD}" sibTransId="{D5B60005-E575-4694-A1D4-6B14A7EAFA17}"/>
    <dgm:cxn modelId="{F5726551-83DE-405B-A994-108BFBAF5F08}" type="presOf" srcId="{66405CF2-4796-427D-B95C-053E948E577A}" destId="{B253FA2C-3485-4DAF-B1C4-5E37E99C67C4}" srcOrd="0" destOrd="0" presId="urn:microsoft.com/office/officeart/2005/8/layout/orgChart1"/>
    <dgm:cxn modelId="{05B1A5E6-CC5E-4065-83A8-85C034726DDE}" type="presOf" srcId="{4A050C52-13D6-4632-AB96-C80DD277C79B}" destId="{9D2DF80E-8AE8-46CB-BDDF-468DD41030E9}" srcOrd="1" destOrd="0" presId="urn:microsoft.com/office/officeart/2005/8/layout/orgChart1"/>
    <dgm:cxn modelId="{D54DE66B-C489-4237-98CE-D0DD2A4B3112}" type="presOf" srcId="{88021D2B-8B0F-4746-8907-760F012473B0}" destId="{5D30A341-5311-4DF2-B1B2-B560419AC3CC}" srcOrd="0" destOrd="0" presId="urn:microsoft.com/office/officeart/2005/8/layout/orgChart1"/>
    <dgm:cxn modelId="{AC515C41-E977-47A7-BC10-6924B07A6F50}" type="presOf" srcId="{47091A65-DDF2-4A1B-8A68-874CCAF6B8A6}" destId="{429AE3CD-0856-4939-8ECE-764EDD8273DC}" srcOrd="0" destOrd="0" presId="urn:microsoft.com/office/officeart/2005/8/layout/orgChart1"/>
    <dgm:cxn modelId="{71EAA91A-4A85-42A8-8BD9-7CD6F5F0E5AB}" type="presOf" srcId="{1B6E6FC0-2C3A-4CCE-A729-4C212DB20984}" destId="{6C89B884-E9C3-4EEE-BE60-E2DB1D7A20EF}" srcOrd="1" destOrd="0" presId="urn:microsoft.com/office/officeart/2005/8/layout/orgChart1"/>
    <dgm:cxn modelId="{DE516028-F1FC-4C96-A4B4-B9B3B78E2524}" type="presOf" srcId="{B492B50A-C4B6-43BF-8E60-C3F5CCCEC5E2}" destId="{29A31124-1AA0-47B8-9842-7CDA9579A4D8}" srcOrd="0" destOrd="0" presId="urn:microsoft.com/office/officeart/2005/8/layout/orgChart1"/>
    <dgm:cxn modelId="{1BA35122-FB7D-41E1-98CD-DA845629746C}" type="presOf" srcId="{11B54D85-6E84-4595-8B11-33CB4C0BF10A}" destId="{D296D379-564F-4EAE-8EF6-A35DC3053A61}" srcOrd="0" destOrd="0" presId="urn:microsoft.com/office/officeart/2005/8/layout/orgChart1"/>
    <dgm:cxn modelId="{E1B52F63-0AF1-4209-A3C1-587D17BB18D0}" type="presOf" srcId="{02AA23D4-4574-4A02-8F86-CDAED6EDDEF2}" destId="{D5A3E906-6A0D-4AB4-AB4F-55800C53F8BA}" srcOrd="0" destOrd="0" presId="urn:microsoft.com/office/officeart/2005/8/layout/orgChart1"/>
    <dgm:cxn modelId="{EE3D68EF-6705-4FE0-8C42-CBAA593DB635}" srcId="{769C4FD3-767A-404D-B5DD-1B8A2E9DE958}" destId="{1B6E6FC0-2C3A-4CCE-A729-4C212DB20984}" srcOrd="0" destOrd="0" parTransId="{66405CF2-4796-427D-B95C-053E948E577A}" sibTransId="{A6DA7CA4-AA6B-45FD-878B-A01F2F9A7E19}"/>
    <dgm:cxn modelId="{D1D8560F-83E9-4C20-A51B-2A4FF066C7A2}" srcId="{A3BB919E-915D-4A16-BE7D-F1CBED6DE0B9}" destId="{769C4FD3-767A-404D-B5DD-1B8A2E9DE958}" srcOrd="0" destOrd="0" parTransId="{DB66FBCD-26CE-425E-95E4-7759662B37A7}" sibTransId="{60A34C56-6974-46A2-8C91-D159B795D6CE}"/>
    <dgm:cxn modelId="{6E61794C-6B70-46BA-845A-7F53E11812D1}" type="presOf" srcId="{769C4FD3-767A-404D-B5DD-1B8A2E9DE958}" destId="{5EDF4B28-7768-43D8-93C7-FDC6D31D31C7}" srcOrd="0" destOrd="0" presId="urn:microsoft.com/office/officeart/2005/8/layout/orgChart1"/>
    <dgm:cxn modelId="{E04EE034-7FE7-4D05-9C73-661848A70618}" type="presOf" srcId="{A117ACC2-0A89-4369-8D68-20B3F27F7C89}" destId="{FB620DC6-6220-4DF2-AAD6-0FB89FFCA501}" srcOrd="0" destOrd="0" presId="urn:microsoft.com/office/officeart/2005/8/layout/orgChart1"/>
    <dgm:cxn modelId="{40F179FB-4E3E-4AC7-A856-84D3442A95AE}" type="presOf" srcId="{F25ABDD9-C4AC-415A-A9AA-8E2D2B3C6784}" destId="{CCB3139C-F2E9-4287-92B0-17BD2830C625}" srcOrd="0" destOrd="0" presId="urn:microsoft.com/office/officeart/2005/8/layout/orgChart1"/>
    <dgm:cxn modelId="{1724BBFC-F8FA-46E6-9A2F-FC50BF8452ED}" type="presOf" srcId="{56C293AB-6CB5-4A66-89B3-6AD54E7914A3}" destId="{9BC763B6-9300-4C0F-BCA1-B73C3793CC54}" srcOrd="0" destOrd="0" presId="urn:microsoft.com/office/officeart/2005/8/layout/orgChart1"/>
    <dgm:cxn modelId="{4DEC8B8D-9E95-4F14-ADE6-D8CCDCFD3679}" srcId="{1ED8F52E-1B19-40BA-A365-322C6DC4E9F4}" destId="{56C293AB-6CB5-4A66-89B3-6AD54E7914A3}" srcOrd="2" destOrd="0" parTransId="{B492B50A-C4B6-43BF-8E60-C3F5CCCEC5E2}" sibTransId="{6A727356-3CA8-483B-9EF9-56AF943AB238}"/>
    <dgm:cxn modelId="{12666CC9-EBC1-49B1-89B7-45609E509470}" type="presOf" srcId="{1B6E6FC0-2C3A-4CCE-A729-4C212DB20984}" destId="{171FFE29-16ED-4916-8253-2E0EB085AF5B}" srcOrd="0" destOrd="0" presId="urn:microsoft.com/office/officeart/2005/8/layout/orgChart1"/>
    <dgm:cxn modelId="{B2189725-D4BB-4295-9462-201075AD7A8A}" srcId="{769C4FD3-767A-404D-B5DD-1B8A2E9DE958}" destId="{02CFDF16-4F14-40F0-AD8D-D652EC39DF7C}" srcOrd="2" destOrd="0" parTransId="{47091A65-DDF2-4A1B-8A68-874CCAF6B8A6}" sibTransId="{9A353A9E-4978-4AF5-B9B4-72C1B38A6B62}"/>
    <dgm:cxn modelId="{4F4F7F17-28BE-4414-973A-57127DA3D7F5}" srcId="{11B54D85-6E84-4595-8B11-33CB4C0BF10A}" destId="{F25ABDD9-C4AC-415A-A9AA-8E2D2B3C6784}" srcOrd="0" destOrd="0" parTransId="{75805D5D-F3F8-45E1-8A0A-C80B41041B44}" sibTransId="{0F073C65-5570-4C55-BE47-60A405471D0F}"/>
    <dgm:cxn modelId="{133A0C38-5AB7-422C-AB25-77AC1F3C665A}" type="presOf" srcId="{F25ABDD9-C4AC-415A-A9AA-8E2D2B3C6784}" destId="{DE31E2B5-B715-48B9-94AD-A230770C74EE}" srcOrd="1" destOrd="0" presId="urn:microsoft.com/office/officeart/2005/8/layout/orgChart1"/>
    <dgm:cxn modelId="{C2B18CD4-6E29-469F-A193-FD7445A668E7}" type="presOf" srcId="{E9A69242-9BD8-49E9-B2B0-0ADBCB7A74CA}" destId="{DE259FE1-C6A4-4ED6-8936-36A0AB2A88E4}" srcOrd="0" destOrd="0" presId="urn:microsoft.com/office/officeart/2005/8/layout/orgChart1"/>
    <dgm:cxn modelId="{970F874A-15A4-4D9F-8B33-D4D49E0110BB}" srcId="{769C4FD3-767A-404D-B5DD-1B8A2E9DE958}" destId="{5474E38E-C4F2-4EF1-8822-DBF2F393956F}" srcOrd="1" destOrd="0" parTransId="{A117ACC2-0A89-4369-8D68-20B3F27F7C89}" sibTransId="{17A566FC-C9EF-43B1-BA2B-1DDFF8211200}"/>
    <dgm:cxn modelId="{F0A90322-32BC-4481-8D10-848624D218A2}" type="presOf" srcId="{5474E38E-C4F2-4EF1-8822-DBF2F393956F}" destId="{3265DA51-14D7-41FC-AE1D-0862769A1F67}" srcOrd="1" destOrd="0" presId="urn:microsoft.com/office/officeart/2005/8/layout/orgChart1"/>
    <dgm:cxn modelId="{FB087272-AED3-4BCA-B1FD-F8BCE6A3DEA7}" srcId="{1ED8F52E-1B19-40BA-A365-322C6DC4E9F4}" destId="{D95D23E8-D227-4395-ADC0-CC69E14F755A}" srcOrd="0" destOrd="0" parTransId="{E9A69242-9BD8-49E9-B2B0-0ADBCB7A74CA}" sibTransId="{7ABC0FD3-ED9A-4AE2-B748-8BB9CD62978B}"/>
    <dgm:cxn modelId="{4ABD96E4-5E20-47CA-9091-09560B777EBE}" type="presOf" srcId="{02CFDF16-4F14-40F0-AD8D-D652EC39DF7C}" destId="{FDE6A38B-B2FA-46DD-8273-5336EC07600F}" srcOrd="1" destOrd="0" presId="urn:microsoft.com/office/officeart/2005/8/layout/orgChart1"/>
    <dgm:cxn modelId="{D150B131-85A6-4347-B06A-DFD8C352F1B3}" type="presOf" srcId="{02CFDF16-4F14-40F0-AD8D-D652EC39DF7C}" destId="{3EE595B6-2FB5-4B38-B833-446A0205F04B}" srcOrd="0" destOrd="0" presId="urn:microsoft.com/office/officeart/2005/8/layout/orgChart1"/>
    <dgm:cxn modelId="{90868D30-6128-4491-8475-9C3B65C1F248}" type="presOf" srcId="{1ED8F52E-1B19-40BA-A365-322C6DC4E9F4}" destId="{B3F621CB-8875-4DDC-99AB-6F4050458720}" srcOrd="1" destOrd="0" presId="urn:microsoft.com/office/officeart/2005/8/layout/orgChart1"/>
    <dgm:cxn modelId="{AF2D88AD-6D99-45DB-9D1D-339393BE5FFB}" type="presOf" srcId="{5854BF26-434A-4609-B46A-5DD131928DAC}" destId="{A418A2D4-992F-4515-AF05-BD92AAD78024}" srcOrd="0" destOrd="0" presId="urn:microsoft.com/office/officeart/2005/8/layout/orgChart1"/>
    <dgm:cxn modelId="{33DF9F1D-27EF-4256-A13D-FF36F4A74FB7}" srcId="{F25ABDD9-C4AC-415A-A9AA-8E2D2B3C6784}" destId="{4A050C52-13D6-4632-AB96-C80DD277C79B}" srcOrd="0" destOrd="0" parTransId="{33A863F4-F62A-45A0-B1C9-570E62C9EBA3}" sibTransId="{0579601F-C45E-423E-B9B4-378353BD2171}"/>
    <dgm:cxn modelId="{D9409DE8-68D0-4768-A8C8-3D4CF0C9E9B4}" type="presOf" srcId="{56C293AB-6CB5-4A66-89B3-6AD54E7914A3}" destId="{011F4B5B-9FD4-4FF5-B32E-58C5FD42750A}" srcOrd="1" destOrd="0" presId="urn:microsoft.com/office/officeart/2005/8/layout/orgChart1"/>
    <dgm:cxn modelId="{6441AA7B-7D0D-4DC3-A77F-8AE843606E35}" type="presOf" srcId="{B269E312-6AA7-42BB-A771-3067205168AD}" destId="{CA2D067D-0336-4D58-8FF6-1194A3FA8A89}" srcOrd="0" destOrd="0" presId="urn:microsoft.com/office/officeart/2005/8/layout/orgChart1"/>
    <dgm:cxn modelId="{C758F123-7D8E-41F2-894E-B288E1DE602A}" type="presParOf" srcId="{F15998BB-DFE1-44C3-B53E-D54D6812D696}" destId="{4C335FF0-E23B-463B-80FD-1E87BC64AE38}" srcOrd="0" destOrd="0" presId="urn:microsoft.com/office/officeart/2005/8/layout/orgChart1"/>
    <dgm:cxn modelId="{8473F4B6-FFF5-4345-AD59-A5BC2951D839}" type="presParOf" srcId="{4C335FF0-E23B-463B-80FD-1E87BC64AE38}" destId="{A842DB5B-7252-4367-88F5-44D97443223D}" srcOrd="0" destOrd="0" presId="urn:microsoft.com/office/officeart/2005/8/layout/orgChart1"/>
    <dgm:cxn modelId="{47828121-B740-4BE5-BA65-1D3B2FE6BBE4}" type="presParOf" srcId="{A842DB5B-7252-4367-88F5-44D97443223D}" destId="{5EDF4B28-7768-43D8-93C7-FDC6D31D31C7}" srcOrd="0" destOrd="0" presId="urn:microsoft.com/office/officeart/2005/8/layout/orgChart1"/>
    <dgm:cxn modelId="{0EF17766-608D-4DC1-B466-B127ABEB7753}" type="presParOf" srcId="{A842DB5B-7252-4367-88F5-44D97443223D}" destId="{1E033767-6A23-4A52-87AE-EDDA5E4C78B5}" srcOrd="1" destOrd="0" presId="urn:microsoft.com/office/officeart/2005/8/layout/orgChart1"/>
    <dgm:cxn modelId="{300DED6C-041B-4E84-ACA7-F49C14C2B6D6}" type="presParOf" srcId="{4C335FF0-E23B-463B-80FD-1E87BC64AE38}" destId="{CF8EF31F-2678-4793-9B36-6621B59E64AE}" srcOrd="1" destOrd="0" presId="urn:microsoft.com/office/officeart/2005/8/layout/orgChart1"/>
    <dgm:cxn modelId="{AF7542DB-85CD-4600-A186-F81E80025087}" type="presParOf" srcId="{CF8EF31F-2678-4793-9B36-6621B59E64AE}" destId="{B253FA2C-3485-4DAF-B1C4-5E37E99C67C4}" srcOrd="0" destOrd="0" presId="urn:microsoft.com/office/officeart/2005/8/layout/orgChart1"/>
    <dgm:cxn modelId="{60E754FF-1266-4FF1-A690-AFB567BF4D6C}" type="presParOf" srcId="{CF8EF31F-2678-4793-9B36-6621B59E64AE}" destId="{CD26D961-0414-4F79-9029-990EF5F92C25}" srcOrd="1" destOrd="0" presId="urn:microsoft.com/office/officeart/2005/8/layout/orgChart1"/>
    <dgm:cxn modelId="{BFFA5DBE-CF4D-4604-A04B-926EC75424F9}" type="presParOf" srcId="{CD26D961-0414-4F79-9029-990EF5F92C25}" destId="{A6FF6547-BEE0-4AC3-89C9-0190405661C2}" srcOrd="0" destOrd="0" presId="urn:microsoft.com/office/officeart/2005/8/layout/orgChart1"/>
    <dgm:cxn modelId="{4811D5F6-C2D9-4D0D-B983-371651142B3A}" type="presParOf" srcId="{A6FF6547-BEE0-4AC3-89C9-0190405661C2}" destId="{171FFE29-16ED-4916-8253-2E0EB085AF5B}" srcOrd="0" destOrd="0" presId="urn:microsoft.com/office/officeart/2005/8/layout/orgChart1"/>
    <dgm:cxn modelId="{593ECE41-7662-4D35-B6EC-62F65385C0AD}" type="presParOf" srcId="{A6FF6547-BEE0-4AC3-89C9-0190405661C2}" destId="{6C89B884-E9C3-4EEE-BE60-E2DB1D7A20EF}" srcOrd="1" destOrd="0" presId="urn:microsoft.com/office/officeart/2005/8/layout/orgChart1"/>
    <dgm:cxn modelId="{FFE07308-66FD-4C78-B24F-3553F82D60BA}" type="presParOf" srcId="{CD26D961-0414-4F79-9029-990EF5F92C25}" destId="{51E6DE8F-BCA7-49D5-8923-F5F4F16F75C3}" srcOrd="1" destOrd="0" presId="urn:microsoft.com/office/officeart/2005/8/layout/orgChart1"/>
    <dgm:cxn modelId="{778FA09B-A537-4D16-BDB5-CED3425B3CC2}" type="presParOf" srcId="{CD26D961-0414-4F79-9029-990EF5F92C25}" destId="{7034ABB2-F5CD-463F-B62E-0985E215E536}" srcOrd="2" destOrd="0" presId="urn:microsoft.com/office/officeart/2005/8/layout/orgChart1"/>
    <dgm:cxn modelId="{8F91C8B2-F698-4369-B07A-0D8C0ED21946}" type="presParOf" srcId="{CF8EF31F-2678-4793-9B36-6621B59E64AE}" destId="{FB620DC6-6220-4DF2-AAD6-0FB89FFCA501}" srcOrd="2" destOrd="0" presId="urn:microsoft.com/office/officeart/2005/8/layout/orgChart1"/>
    <dgm:cxn modelId="{221EF248-4A7E-4610-BF36-21FD04F07CA7}" type="presParOf" srcId="{CF8EF31F-2678-4793-9B36-6621B59E64AE}" destId="{EB4DEF9B-23F2-4978-8CEB-C0BF47E61DA9}" srcOrd="3" destOrd="0" presId="urn:microsoft.com/office/officeart/2005/8/layout/orgChart1"/>
    <dgm:cxn modelId="{0A861257-BEC7-4EA1-970A-5D808FCFDFCC}" type="presParOf" srcId="{EB4DEF9B-23F2-4978-8CEB-C0BF47E61DA9}" destId="{39D77626-009D-48FA-81A0-ABADAE3215BE}" srcOrd="0" destOrd="0" presId="urn:microsoft.com/office/officeart/2005/8/layout/orgChart1"/>
    <dgm:cxn modelId="{6E8472CE-3204-41F6-B2CC-E3883CE36756}" type="presParOf" srcId="{39D77626-009D-48FA-81A0-ABADAE3215BE}" destId="{1D9BBD86-36DC-4B5B-AEB5-95F97965EE62}" srcOrd="0" destOrd="0" presId="urn:microsoft.com/office/officeart/2005/8/layout/orgChart1"/>
    <dgm:cxn modelId="{B7F92B1D-A2EE-4836-8247-D03DDEB79D95}" type="presParOf" srcId="{39D77626-009D-48FA-81A0-ABADAE3215BE}" destId="{3265DA51-14D7-41FC-AE1D-0862769A1F67}" srcOrd="1" destOrd="0" presId="urn:microsoft.com/office/officeart/2005/8/layout/orgChart1"/>
    <dgm:cxn modelId="{778AE007-53DA-478D-A21F-C6B4F1CD5401}" type="presParOf" srcId="{EB4DEF9B-23F2-4978-8CEB-C0BF47E61DA9}" destId="{C26C2C1D-D545-4F96-8F04-D764232FD44E}" srcOrd="1" destOrd="0" presId="urn:microsoft.com/office/officeart/2005/8/layout/orgChart1"/>
    <dgm:cxn modelId="{632E831E-6C87-42A1-9B58-4EEA5B17366E}" type="presParOf" srcId="{EB4DEF9B-23F2-4978-8CEB-C0BF47E61DA9}" destId="{DC1A90F7-8393-4002-B3D9-53F2AEE1320F}" srcOrd="2" destOrd="0" presId="urn:microsoft.com/office/officeart/2005/8/layout/orgChart1"/>
    <dgm:cxn modelId="{FE7B6387-9AEB-48CF-AA61-40AD3EC4781F}" type="presParOf" srcId="{CF8EF31F-2678-4793-9B36-6621B59E64AE}" destId="{429AE3CD-0856-4939-8ECE-764EDD8273DC}" srcOrd="4" destOrd="0" presId="urn:microsoft.com/office/officeart/2005/8/layout/orgChart1"/>
    <dgm:cxn modelId="{29945357-4889-4A9D-91CF-F39D4EBDCA74}" type="presParOf" srcId="{CF8EF31F-2678-4793-9B36-6621B59E64AE}" destId="{4CD5499F-2633-4EA4-ACDA-FCBEEE707AAC}" srcOrd="5" destOrd="0" presId="urn:microsoft.com/office/officeart/2005/8/layout/orgChart1"/>
    <dgm:cxn modelId="{5545F13D-FEB3-4131-B5F1-BC7929099CE5}" type="presParOf" srcId="{4CD5499F-2633-4EA4-ACDA-FCBEEE707AAC}" destId="{33073AE0-EB1F-4759-9588-FD9E68B72C2E}" srcOrd="0" destOrd="0" presId="urn:microsoft.com/office/officeart/2005/8/layout/orgChart1"/>
    <dgm:cxn modelId="{F525B715-3199-45B7-A72A-D98001D086AE}" type="presParOf" srcId="{33073AE0-EB1F-4759-9588-FD9E68B72C2E}" destId="{3EE595B6-2FB5-4B38-B833-446A0205F04B}" srcOrd="0" destOrd="0" presId="urn:microsoft.com/office/officeart/2005/8/layout/orgChart1"/>
    <dgm:cxn modelId="{7D85D48A-500A-439C-90AF-353ACDFFE676}" type="presParOf" srcId="{33073AE0-EB1F-4759-9588-FD9E68B72C2E}" destId="{FDE6A38B-B2FA-46DD-8273-5336EC07600F}" srcOrd="1" destOrd="0" presId="urn:microsoft.com/office/officeart/2005/8/layout/orgChart1"/>
    <dgm:cxn modelId="{5C0F102D-679E-44BA-89AA-BF5D623178A7}" type="presParOf" srcId="{4CD5499F-2633-4EA4-ACDA-FCBEEE707AAC}" destId="{24F3ECF9-760E-4C78-887F-E56748060884}" srcOrd="1" destOrd="0" presId="urn:microsoft.com/office/officeart/2005/8/layout/orgChart1"/>
    <dgm:cxn modelId="{F161A729-A45F-47F9-BB6E-1B923C114A22}" type="presParOf" srcId="{4CD5499F-2633-4EA4-ACDA-FCBEEE707AAC}" destId="{A62092C1-6EB9-4AA7-98BF-CC78AFC690C2}" srcOrd="2" destOrd="0" presId="urn:microsoft.com/office/officeart/2005/8/layout/orgChart1"/>
    <dgm:cxn modelId="{A90B7CA6-B1EA-443C-87C1-96CE1F436406}" type="presParOf" srcId="{CF8EF31F-2678-4793-9B36-6621B59E64AE}" destId="{5D30A341-5311-4DF2-B1B2-B560419AC3CC}" srcOrd="6" destOrd="0" presId="urn:microsoft.com/office/officeart/2005/8/layout/orgChart1"/>
    <dgm:cxn modelId="{A804BC8A-E06F-473A-99EF-805C4A7DFD59}" type="presParOf" srcId="{CF8EF31F-2678-4793-9B36-6621B59E64AE}" destId="{0F010DDD-F9AA-425F-B1F6-B231858065F4}" srcOrd="7" destOrd="0" presId="urn:microsoft.com/office/officeart/2005/8/layout/orgChart1"/>
    <dgm:cxn modelId="{D692229C-F607-41B8-B9B8-433E324FF706}" type="presParOf" srcId="{0F010DDD-F9AA-425F-B1F6-B231858065F4}" destId="{C96631BA-7063-4901-8A6B-60E5506D21C2}" srcOrd="0" destOrd="0" presId="urn:microsoft.com/office/officeart/2005/8/layout/orgChart1"/>
    <dgm:cxn modelId="{05A26D85-489A-480C-9B0F-C25E94070B27}" type="presParOf" srcId="{C96631BA-7063-4901-8A6B-60E5506D21C2}" destId="{D296D379-564F-4EAE-8EF6-A35DC3053A61}" srcOrd="0" destOrd="0" presId="urn:microsoft.com/office/officeart/2005/8/layout/orgChart1"/>
    <dgm:cxn modelId="{F3FAE459-25BA-4F68-AE84-0E5EE2B1D773}" type="presParOf" srcId="{C96631BA-7063-4901-8A6B-60E5506D21C2}" destId="{7664B212-2702-473D-BDE4-502F6EACA63C}" srcOrd="1" destOrd="0" presId="urn:microsoft.com/office/officeart/2005/8/layout/orgChart1"/>
    <dgm:cxn modelId="{4A57DEBE-3058-4F71-9D72-E8BCAC85A979}" type="presParOf" srcId="{0F010DDD-F9AA-425F-B1F6-B231858065F4}" destId="{12D442DA-1EE6-443D-9B52-51FEB0EF5D41}" srcOrd="1" destOrd="0" presId="urn:microsoft.com/office/officeart/2005/8/layout/orgChart1"/>
    <dgm:cxn modelId="{BE844FAD-B844-43CA-9C42-98E4FE2F5EFA}" type="presParOf" srcId="{12D442DA-1EE6-443D-9B52-51FEB0EF5D41}" destId="{CF8E9F3B-33D5-4A79-A5D4-121C113593B4}" srcOrd="0" destOrd="0" presId="urn:microsoft.com/office/officeart/2005/8/layout/orgChart1"/>
    <dgm:cxn modelId="{6E78E4EE-12F8-48C5-AB44-017A424272AD}" type="presParOf" srcId="{12D442DA-1EE6-443D-9B52-51FEB0EF5D41}" destId="{521D76CD-C869-4A76-BAF2-139B532E50D9}" srcOrd="1" destOrd="0" presId="urn:microsoft.com/office/officeart/2005/8/layout/orgChart1"/>
    <dgm:cxn modelId="{B379C55E-170E-4237-BD7D-7EB896A27D77}" type="presParOf" srcId="{521D76CD-C869-4A76-BAF2-139B532E50D9}" destId="{E15317A6-F11B-466B-9721-D69623121092}" srcOrd="0" destOrd="0" presId="urn:microsoft.com/office/officeart/2005/8/layout/orgChart1"/>
    <dgm:cxn modelId="{CB916DA0-00A8-4A66-95D6-416563EF9B50}" type="presParOf" srcId="{E15317A6-F11B-466B-9721-D69623121092}" destId="{CCB3139C-F2E9-4287-92B0-17BD2830C625}" srcOrd="0" destOrd="0" presId="urn:microsoft.com/office/officeart/2005/8/layout/orgChart1"/>
    <dgm:cxn modelId="{39CCC798-455D-4DD7-B34F-3ED207CC63BB}" type="presParOf" srcId="{E15317A6-F11B-466B-9721-D69623121092}" destId="{DE31E2B5-B715-48B9-94AD-A230770C74EE}" srcOrd="1" destOrd="0" presId="urn:microsoft.com/office/officeart/2005/8/layout/orgChart1"/>
    <dgm:cxn modelId="{A0269B4A-D7A3-4BAF-B49D-BD95C0F7C3C6}" type="presParOf" srcId="{521D76CD-C869-4A76-BAF2-139B532E50D9}" destId="{C61D7FB2-BEF7-4159-ABD9-9DBF7FB189BD}" srcOrd="1" destOrd="0" presId="urn:microsoft.com/office/officeart/2005/8/layout/orgChart1"/>
    <dgm:cxn modelId="{DE144F87-EF0B-42C2-AC08-D031295FC434}" type="presParOf" srcId="{C61D7FB2-BEF7-4159-ABD9-9DBF7FB189BD}" destId="{E1699F95-F941-432E-ABC4-64D24089713C}" srcOrd="0" destOrd="0" presId="urn:microsoft.com/office/officeart/2005/8/layout/orgChart1"/>
    <dgm:cxn modelId="{0286AEA9-C3A7-46BE-913F-D8B1BFBDE77D}" type="presParOf" srcId="{C61D7FB2-BEF7-4159-ABD9-9DBF7FB189BD}" destId="{C0A12B28-6B5C-4E6F-8284-58499F1512A4}" srcOrd="1" destOrd="0" presId="urn:microsoft.com/office/officeart/2005/8/layout/orgChart1"/>
    <dgm:cxn modelId="{42F61CA5-554E-4E2B-B36F-486D1E19E25F}" type="presParOf" srcId="{C0A12B28-6B5C-4E6F-8284-58499F1512A4}" destId="{B829D9DF-F540-48C9-A2C3-945E049229A9}" srcOrd="0" destOrd="0" presId="urn:microsoft.com/office/officeart/2005/8/layout/orgChart1"/>
    <dgm:cxn modelId="{6EA392ED-A9BB-4AA1-8EFE-7DDF17742077}" type="presParOf" srcId="{B829D9DF-F540-48C9-A2C3-945E049229A9}" destId="{4BCC801A-11FB-4788-9285-625CD1684994}" srcOrd="0" destOrd="0" presId="urn:microsoft.com/office/officeart/2005/8/layout/orgChart1"/>
    <dgm:cxn modelId="{A1888B27-FAD1-4321-AF61-FCDF6D8BFF0C}" type="presParOf" srcId="{B829D9DF-F540-48C9-A2C3-945E049229A9}" destId="{9D2DF80E-8AE8-46CB-BDDF-468DD41030E9}" srcOrd="1" destOrd="0" presId="urn:microsoft.com/office/officeart/2005/8/layout/orgChart1"/>
    <dgm:cxn modelId="{964DC9A2-249C-413F-A05A-DBA9E3478593}" type="presParOf" srcId="{C0A12B28-6B5C-4E6F-8284-58499F1512A4}" destId="{5C7CA971-AC30-4AA7-AA6B-B911CE8384DE}" srcOrd="1" destOrd="0" presId="urn:microsoft.com/office/officeart/2005/8/layout/orgChart1"/>
    <dgm:cxn modelId="{E263CC1B-A263-44FD-822C-776F95221B26}" type="presParOf" srcId="{C0A12B28-6B5C-4E6F-8284-58499F1512A4}" destId="{B6A8C5E6-3CCD-43F5-A4E7-72F021B86803}" srcOrd="2" destOrd="0" presId="urn:microsoft.com/office/officeart/2005/8/layout/orgChart1"/>
    <dgm:cxn modelId="{61B45E2B-D01E-447E-B65D-86D6BD4A8908}" type="presParOf" srcId="{C61D7FB2-BEF7-4159-ABD9-9DBF7FB189BD}" destId="{D5A3E906-6A0D-4AB4-AB4F-55800C53F8BA}" srcOrd="2" destOrd="0" presId="urn:microsoft.com/office/officeart/2005/8/layout/orgChart1"/>
    <dgm:cxn modelId="{7692FD92-F578-4510-ACA4-4C0E1D522C29}" type="presParOf" srcId="{C61D7FB2-BEF7-4159-ABD9-9DBF7FB189BD}" destId="{1358A889-CFA5-49C2-8CE2-7FE7F2FF9BAF}" srcOrd="3" destOrd="0" presId="urn:microsoft.com/office/officeart/2005/8/layout/orgChart1"/>
    <dgm:cxn modelId="{8EAEE821-9E82-4B63-A2D7-24BD0CF0F5D4}" type="presParOf" srcId="{1358A889-CFA5-49C2-8CE2-7FE7F2FF9BAF}" destId="{B5ED1B36-40BD-4C32-AE49-A5F6F8F36A41}" srcOrd="0" destOrd="0" presId="urn:microsoft.com/office/officeart/2005/8/layout/orgChart1"/>
    <dgm:cxn modelId="{6785CDF9-B5DA-4CF1-A791-04EE082CCA75}" type="presParOf" srcId="{B5ED1B36-40BD-4C32-AE49-A5F6F8F36A41}" destId="{58D67453-A113-41F3-BD12-25CA1ED78CB9}" srcOrd="0" destOrd="0" presId="urn:microsoft.com/office/officeart/2005/8/layout/orgChart1"/>
    <dgm:cxn modelId="{ADFE3379-5D7A-40D1-B191-07A7DFEC8328}" type="presParOf" srcId="{B5ED1B36-40BD-4C32-AE49-A5F6F8F36A41}" destId="{B3F621CB-8875-4DDC-99AB-6F4050458720}" srcOrd="1" destOrd="0" presId="urn:microsoft.com/office/officeart/2005/8/layout/orgChart1"/>
    <dgm:cxn modelId="{604C241E-B3AE-4225-AC06-456E636CC406}" type="presParOf" srcId="{1358A889-CFA5-49C2-8CE2-7FE7F2FF9BAF}" destId="{D85BE889-1500-4DE0-BD93-00E9349EDA66}" srcOrd="1" destOrd="0" presId="urn:microsoft.com/office/officeart/2005/8/layout/orgChart1"/>
    <dgm:cxn modelId="{3C484F99-F0F0-4E86-A299-4B6A991893C9}" type="presParOf" srcId="{D85BE889-1500-4DE0-BD93-00E9349EDA66}" destId="{DE259FE1-C6A4-4ED6-8936-36A0AB2A88E4}" srcOrd="0" destOrd="0" presId="urn:microsoft.com/office/officeart/2005/8/layout/orgChart1"/>
    <dgm:cxn modelId="{3E6B66C3-C4A3-4BFD-9AF7-020EA6256AE4}" type="presParOf" srcId="{D85BE889-1500-4DE0-BD93-00E9349EDA66}" destId="{0338A7BE-F025-4AA9-9780-C2321525138A}" srcOrd="1" destOrd="0" presId="urn:microsoft.com/office/officeart/2005/8/layout/orgChart1"/>
    <dgm:cxn modelId="{93BB4EFD-97F3-43C7-852A-6A6A11E0D139}" type="presParOf" srcId="{0338A7BE-F025-4AA9-9780-C2321525138A}" destId="{82316439-14E5-4226-B039-C49C01FE484A}" srcOrd="0" destOrd="0" presId="urn:microsoft.com/office/officeart/2005/8/layout/orgChart1"/>
    <dgm:cxn modelId="{BE81068B-4388-443F-AE7E-EB70A1D85164}" type="presParOf" srcId="{82316439-14E5-4226-B039-C49C01FE484A}" destId="{E55271CB-13CE-4F0A-B63A-D8CFBCC29AFC}" srcOrd="0" destOrd="0" presId="urn:microsoft.com/office/officeart/2005/8/layout/orgChart1"/>
    <dgm:cxn modelId="{137CFF32-3694-4A45-B41E-EDE991F4C046}" type="presParOf" srcId="{82316439-14E5-4226-B039-C49C01FE484A}" destId="{894C2FBE-88AC-46FC-918B-DD4B7000C249}" srcOrd="1" destOrd="0" presId="urn:microsoft.com/office/officeart/2005/8/layout/orgChart1"/>
    <dgm:cxn modelId="{1D5DC58B-E362-4520-9927-BCE43EEFE885}" type="presParOf" srcId="{0338A7BE-F025-4AA9-9780-C2321525138A}" destId="{A4C14531-48B2-458B-8D7C-7E735440659E}" srcOrd="1" destOrd="0" presId="urn:microsoft.com/office/officeart/2005/8/layout/orgChart1"/>
    <dgm:cxn modelId="{6FA0262C-67D7-4D5F-A8F2-E016EE4FE337}" type="presParOf" srcId="{0338A7BE-F025-4AA9-9780-C2321525138A}" destId="{FEA92602-0C37-4783-A207-361665E20967}" srcOrd="2" destOrd="0" presId="urn:microsoft.com/office/officeart/2005/8/layout/orgChart1"/>
    <dgm:cxn modelId="{F1539EE1-099D-4B61-AE5B-CD99E0D23D21}" type="presParOf" srcId="{D85BE889-1500-4DE0-BD93-00E9349EDA66}" destId="{CA2D067D-0336-4D58-8FF6-1194A3FA8A89}" srcOrd="2" destOrd="0" presId="urn:microsoft.com/office/officeart/2005/8/layout/orgChart1"/>
    <dgm:cxn modelId="{74F11E63-E6BF-4493-BC3C-677818D63F5C}" type="presParOf" srcId="{D85BE889-1500-4DE0-BD93-00E9349EDA66}" destId="{404669CD-2B4F-4CD0-99AB-2303EF2AFD07}" srcOrd="3" destOrd="0" presId="urn:microsoft.com/office/officeart/2005/8/layout/orgChart1"/>
    <dgm:cxn modelId="{3EA3BD25-0B4E-4F65-AF10-AEE7B4A3F24F}" type="presParOf" srcId="{404669CD-2B4F-4CD0-99AB-2303EF2AFD07}" destId="{E6E3534B-3796-4ECD-8469-B82AD32A3CDD}" srcOrd="0" destOrd="0" presId="urn:microsoft.com/office/officeart/2005/8/layout/orgChart1"/>
    <dgm:cxn modelId="{26D354F9-75AB-4AD5-A4B9-987969575988}" type="presParOf" srcId="{E6E3534B-3796-4ECD-8469-B82AD32A3CDD}" destId="{A418A2D4-992F-4515-AF05-BD92AAD78024}" srcOrd="0" destOrd="0" presId="urn:microsoft.com/office/officeart/2005/8/layout/orgChart1"/>
    <dgm:cxn modelId="{476178B3-272C-4767-A0F1-070A871773D9}" type="presParOf" srcId="{E6E3534B-3796-4ECD-8469-B82AD32A3CDD}" destId="{DB829D76-D933-4A8D-8945-DA5340FEA729}" srcOrd="1" destOrd="0" presId="urn:microsoft.com/office/officeart/2005/8/layout/orgChart1"/>
    <dgm:cxn modelId="{F940B991-7234-4EDA-A8EF-A8ABDEC3D2EE}" type="presParOf" srcId="{404669CD-2B4F-4CD0-99AB-2303EF2AFD07}" destId="{7C650899-D86B-41C0-BA92-76059E608CF1}" srcOrd="1" destOrd="0" presId="urn:microsoft.com/office/officeart/2005/8/layout/orgChart1"/>
    <dgm:cxn modelId="{2D0464A0-A05E-40F2-B67A-192979C29F88}" type="presParOf" srcId="{404669CD-2B4F-4CD0-99AB-2303EF2AFD07}" destId="{8F5C923A-8D2B-4DBF-B797-677B42BC6462}" srcOrd="2" destOrd="0" presId="urn:microsoft.com/office/officeart/2005/8/layout/orgChart1"/>
    <dgm:cxn modelId="{D1B1D125-AF4B-4C68-85A5-FEF06F61EAA9}" type="presParOf" srcId="{D85BE889-1500-4DE0-BD93-00E9349EDA66}" destId="{29A31124-1AA0-47B8-9842-7CDA9579A4D8}" srcOrd="4" destOrd="0" presId="urn:microsoft.com/office/officeart/2005/8/layout/orgChart1"/>
    <dgm:cxn modelId="{CD80D3BE-3496-4654-BC79-A9BAB47BB4D3}" type="presParOf" srcId="{D85BE889-1500-4DE0-BD93-00E9349EDA66}" destId="{8B3060E1-13FC-4C11-B6E4-9AE33DE76505}" srcOrd="5" destOrd="0" presId="urn:microsoft.com/office/officeart/2005/8/layout/orgChart1"/>
    <dgm:cxn modelId="{E30B2D6D-58F2-4479-B4ED-4EC38E7E32EA}" type="presParOf" srcId="{8B3060E1-13FC-4C11-B6E4-9AE33DE76505}" destId="{F9E4D77D-12CB-4E03-8435-9EC32A181B13}" srcOrd="0" destOrd="0" presId="urn:microsoft.com/office/officeart/2005/8/layout/orgChart1"/>
    <dgm:cxn modelId="{579BA426-D9D0-4416-9F96-B263B6803E00}" type="presParOf" srcId="{F9E4D77D-12CB-4E03-8435-9EC32A181B13}" destId="{9BC763B6-9300-4C0F-BCA1-B73C3793CC54}" srcOrd="0" destOrd="0" presId="urn:microsoft.com/office/officeart/2005/8/layout/orgChart1"/>
    <dgm:cxn modelId="{7C7482D7-982D-4FBD-954C-16943D15B38B}" type="presParOf" srcId="{F9E4D77D-12CB-4E03-8435-9EC32A181B13}" destId="{011F4B5B-9FD4-4FF5-B32E-58C5FD42750A}" srcOrd="1" destOrd="0" presId="urn:microsoft.com/office/officeart/2005/8/layout/orgChart1"/>
    <dgm:cxn modelId="{0862D2B7-58FD-47CF-9119-05CAED090B0E}" type="presParOf" srcId="{8B3060E1-13FC-4C11-B6E4-9AE33DE76505}" destId="{13371CA5-D77E-45C6-B75D-CE6DDAA38BE7}" srcOrd="1" destOrd="0" presId="urn:microsoft.com/office/officeart/2005/8/layout/orgChart1"/>
    <dgm:cxn modelId="{C8A381D1-E353-43F4-9F1E-0927268A7269}" type="presParOf" srcId="{8B3060E1-13FC-4C11-B6E4-9AE33DE76505}" destId="{504E56FA-34EF-402F-82E5-771562454A21}" srcOrd="2" destOrd="0" presId="urn:microsoft.com/office/officeart/2005/8/layout/orgChart1"/>
    <dgm:cxn modelId="{963401A9-A3EB-48CB-839F-FE4C6F15AB20}" type="presParOf" srcId="{1358A889-CFA5-49C2-8CE2-7FE7F2FF9BAF}" destId="{237D2F65-46EA-4817-9233-11CE5DC2534D}" srcOrd="2" destOrd="0" presId="urn:microsoft.com/office/officeart/2005/8/layout/orgChart1"/>
    <dgm:cxn modelId="{00852FF5-E06A-413E-8778-53414401E045}" type="presParOf" srcId="{521D76CD-C869-4A76-BAF2-139B532E50D9}" destId="{4BDA71D1-8F1E-464B-B990-6C2F4AB8E7BE}" srcOrd="2" destOrd="0" presId="urn:microsoft.com/office/officeart/2005/8/layout/orgChart1"/>
    <dgm:cxn modelId="{1752B4E2-41E6-46D4-9229-5681C94CDF0B}" type="presParOf" srcId="{0F010DDD-F9AA-425F-B1F6-B231858065F4}" destId="{F83CC6CA-F98A-45FD-883A-4C36649A1D49}" srcOrd="2" destOrd="0" presId="urn:microsoft.com/office/officeart/2005/8/layout/orgChart1"/>
    <dgm:cxn modelId="{3F6D37B3-D9B4-4BFF-B5AF-3B6E7288C534}" type="presParOf" srcId="{4C335FF0-E23B-463B-80FD-1E87BC64AE38}" destId="{59FB5DC1-FE37-4E70-A863-E0ADECD5CB2C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xmlns="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29A31124-1AA0-47B8-9842-7CDA9579A4D8}">
      <dsp:nvSpPr>
        <dsp:cNvPr id="0" name=""/>
        <dsp:cNvSpPr/>
      </dsp:nvSpPr>
      <dsp:spPr>
        <a:xfrm>
          <a:off x="6301768" y="1659243"/>
          <a:ext cx="191741" cy="1089041"/>
        </a:xfrm>
        <a:custGeom>
          <a:avLst/>
          <a:gdLst/>
          <a:ahLst/>
          <a:cxnLst/>
          <a:rect l="0" t="0" r="0" b="0"/>
          <a:pathLst>
            <a:path>
              <a:moveTo>
                <a:pt x="191741" y="0"/>
              </a:moveTo>
              <a:lnTo>
                <a:pt x="191741" y="1089041"/>
              </a:lnTo>
              <a:lnTo>
                <a:pt x="0" y="1089041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A2D067D-0336-4D58-8FF6-1194A3FA8A89}">
      <dsp:nvSpPr>
        <dsp:cNvPr id="0" name=""/>
        <dsp:cNvSpPr/>
      </dsp:nvSpPr>
      <dsp:spPr>
        <a:xfrm>
          <a:off x="6301768" y="1659243"/>
          <a:ext cx="191741" cy="677754"/>
        </a:xfrm>
        <a:custGeom>
          <a:avLst/>
          <a:gdLst/>
          <a:ahLst/>
          <a:cxnLst/>
          <a:rect l="0" t="0" r="0" b="0"/>
          <a:pathLst>
            <a:path>
              <a:moveTo>
                <a:pt x="191741" y="0"/>
              </a:moveTo>
              <a:lnTo>
                <a:pt x="191741" y="677754"/>
              </a:lnTo>
              <a:lnTo>
                <a:pt x="0" y="677754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E259FE1-C6A4-4ED6-8936-36A0AB2A88E4}">
      <dsp:nvSpPr>
        <dsp:cNvPr id="0" name=""/>
        <dsp:cNvSpPr/>
      </dsp:nvSpPr>
      <dsp:spPr>
        <a:xfrm>
          <a:off x="6301768" y="1659243"/>
          <a:ext cx="191741" cy="266467"/>
        </a:xfrm>
        <a:custGeom>
          <a:avLst/>
          <a:gdLst/>
          <a:ahLst/>
          <a:cxnLst/>
          <a:rect l="0" t="0" r="0" b="0"/>
          <a:pathLst>
            <a:path>
              <a:moveTo>
                <a:pt x="191741" y="0"/>
              </a:moveTo>
              <a:lnTo>
                <a:pt x="191741" y="266467"/>
              </a:lnTo>
              <a:lnTo>
                <a:pt x="0" y="266467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5A3E906-6A0D-4AB4-AB4F-55800C53F8BA}">
      <dsp:nvSpPr>
        <dsp:cNvPr id="0" name=""/>
        <dsp:cNvSpPr/>
      </dsp:nvSpPr>
      <dsp:spPr>
        <a:xfrm>
          <a:off x="5173723" y="1208670"/>
          <a:ext cx="808476" cy="12164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0824"/>
              </a:lnTo>
              <a:lnTo>
                <a:pt x="808476" y="60824"/>
              </a:lnTo>
              <a:lnTo>
                <a:pt x="808476" y="121648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1699F95-F941-432E-ABC4-64D24089713C}">
      <dsp:nvSpPr>
        <dsp:cNvPr id="0" name=""/>
        <dsp:cNvSpPr/>
      </dsp:nvSpPr>
      <dsp:spPr>
        <a:xfrm>
          <a:off x="4473762" y="1208670"/>
          <a:ext cx="699960" cy="121648"/>
        </a:xfrm>
        <a:custGeom>
          <a:avLst/>
          <a:gdLst/>
          <a:ahLst/>
          <a:cxnLst/>
          <a:rect l="0" t="0" r="0" b="0"/>
          <a:pathLst>
            <a:path>
              <a:moveTo>
                <a:pt x="699960" y="0"/>
              </a:moveTo>
              <a:lnTo>
                <a:pt x="699960" y="60824"/>
              </a:lnTo>
              <a:lnTo>
                <a:pt x="0" y="60824"/>
              </a:lnTo>
              <a:lnTo>
                <a:pt x="0" y="121648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F8E9F3B-33D5-4A79-A5D4-121C113593B4}">
      <dsp:nvSpPr>
        <dsp:cNvPr id="0" name=""/>
        <dsp:cNvSpPr/>
      </dsp:nvSpPr>
      <dsp:spPr>
        <a:xfrm>
          <a:off x="5128003" y="797383"/>
          <a:ext cx="91440" cy="121648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21648"/>
              </a:lnTo>
            </a:path>
          </a:pathLst>
        </a:custGeom>
        <a:noFill/>
        <a:ln w="254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D30A341-5311-4DF2-B1B2-B560419AC3CC}">
      <dsp:nvSpPr>
        <dsp:cNvPr id="0" name=""/>
        <dsp:cNvSpPr/>
      </dsp:nvSpPr>
      <dsp:spPr>
        <a:xfrm>
          <a:off x="3172225" y="349578"/>
          <a:ext cx="2001498" cy="12164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0824"/>
              </a:lnTo>
              <a:lnTo>
                <a:pt x="2001498" y="60824"/>
              </a:lnTo>
              <a:lnTo>
                <a:pt x="2001498" y="121648"/>
              </a:lnTo>
            </a:path>
          </a:pathLst>
        </a:custGeom>
        <a:noFill/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29AE3CD-0856-4939-8ECE-764EDD8273DC}">
      <dsp:nvSpPr>
        <dsp:cNvPr id="0" name=""/>
        <dsp:cNvSpPr/>
      </dsp:nvSpPr>
      <dsp:spPr>
        <a:xfrm>
          <a:off x="3126505" y="349578"/>
          <a:ext cx="91440" cy="121648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60824"/>
              </a:lnTo>
              <a:lnTo>
                <a:pt x="52164" y="60824"/>
              </a:lnTo>
              <a:lnTo>
                <a:pt x="52164" y="121648"/>
              </a:lnTo>
            </a:path>
          </a:pathLst>
        </a:custGeom>
        <a:noFill/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B620DC6-6220-4DF2-AAD6-0FB89FFCA501}">
      <dsp:nvSpPr>
        <dsp:cNvPr id="0" name=""/>
        <dsp:cNvSpPr/>
      </dsp:nvSpPr>
      <dsp:spPr>
        <a:xfrm>
          <a:off x="1750742" y="349578"/>
          <a:ext cx="1421482" cy="121648"/>
        </a:xfrm>
        <a:custGeom>
          <a:avLst/>
          <a:gdLst/>
          <a:ahLst/>
          <a:cxnLst/>
          <a:rect l="0" t="0" r="0" b="0"/>
          <a:pathLst>
            <a:path>
              <a:moveTo>
                <a:pt x="1421482" y="0"/>
              </a:moveTo>
              <a:lnTo>
                <a:pt x="1421482" y="60824"/>
              </a:lnTo>
              <a:lnTo>
                <a:pt x="0" y="60824"/>
              </a:lnTo>
              <a:lnTo>
                <a:pt x="0" y="121648"/>
              </a:lnTo>
            </a:path>
          </a:pathLst>
        </a:custGeom>
        <a:noFill/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253FA2C-3485-4DAF-B1C4-5E37E99C67C4}">
      <dsp:nvSpPr>
        <dsp:cNvPr id="0" name=""/>
        <dsp:cNvSpPr/>
      </dsp:nvSpPr>
      <dsp:spPr>
        <a:xfrm>
          <a:off x="615579" y="349578"/>
          <a:ext cx="2556645" cy="121648"/>
        </a:xfrm>
        <a:custGeom>
          <a:avLst/>
          <a:gdLst/>
          <a:ahLst/>
          <a:cxnLst/>
          <a:rect l="0" t="0" r="0" b="0"/>
          <a:pathLst>
            <a:path>
              <a:moveTo>
                <a:pt x="2556645" y="0"/>
              </a:moveTo>
              <a:lnTo>
                <a:pt x="2556645" y="60824"/>
              </a:lnTo>
              <a:lnTo>
                <a:pt x="0" y="60824"/>
              </a:lnTo>
              <a:lnTo>
                <a:pt x="0" y="121648"/>
              </a:lnTo>
            </a:path>
          </a:pathLst>
        </a:custGeom>
        <a:noFill/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EDF4B28-7768-43D8-93C7-FDC6D31D31C7}">
      <dsp:nvSpPr>
        <dsp:cNvPr id="0" name=""/>
        <dsp:cNvSpPr/>
      </dsp:nvSpPr>
      <dsp:spPr>
        <a:xfrm>
          <a:off x="2272851" y="2496"/>
          <a:ext cx="1798748" cy="347082"/>
        </a:xfrm>
        <a:prstGeom prst="rect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1000" kern="1200"/>
            <a:t>prescription de 1ère intention :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1000" b="1" kern="1200"/>
            <a:t>Ag HBs + Ac antiHBs + Ac anti HBc</a:t>
          </a:r>
        </a:p>
      </dsp:txBody>
      <dsp:txXfrm>
        <a:off x="2272851" y="2496"/>
        <a:ext cx="1798748" cy="347082"/>
      </dsp:txXfrm>
    </dsp:sp>
    <dsp:sp modelId="{171FFE29-16ED-4916-8253-2E0EB085AF5B}">
      <dsp:nvSpPr>
        <dsp:cNvPr id="0" name=""/>
        <dsp:cNvSpPr/>
      </dsp:nvSpPr>
      <dsp:spPr>
        <a:xfrm>
          <a:off x="102832" y="471227"/>
          <a:ext cx="1025494" cy="309435"/>
        </a:xfrm>
        <a:prstGeom prst="rect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1000" kern="1200">
              <a:effectLst>
                <a:glow rad="139700">
                  <a:schemeClr val="accent6">
                    <a:satMod val="175000"/>
                    <a:alpha val="40000"/>
                  </a:schemeClr>
                </a:glow>
              </a:effectLst>
            </a:rPr>
            <a:t>Tous ⊖ = le patt n'a jms vu le virus</a:t>
          </a:r>
        </a:p>
      </dsp:txBody>
      <dsp:txXfrm>
        <a:off x="102832" y="471227"/>
        <a:ext cx="1025494" cy="309435"/>
      </dsp:txXfrm>
    </dsp:sp>
    <dsp:sp modelId="{1D9BBD86-36DC-4B5B-AEB5-95F97965EE62}">
      <dsp:nvSpPr>
        <dsp:cNvPr id="0" name=""/>
        <dsp:cNvSpPr/>
      </dsp:nvSpPr>
      <dsp:spPr>
        <a:xfrm>
          <a:off x="1249975" y="471227"/>
          <a:ext cx="1001535" cy="327989"/>
        </a:xfrm>
        <a:prstGeom prst="rect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1000" kern="1200">
              <a:effectLst>
                <a:glow rad="139700">
                  <a:schemeClr val="accent6">
                    <a:satMod val="175000"/>
                    <a:alpha val="40000"/>
                  </a:schemeClr>
                </a:glow>
              </a:effectLst>
            </a:rPr>
            <a:t>seul </a:t>
          </a:r>
          <a:r>
            <a:rPr lang="fr-FR" sz="1000" b="1" kern="1200">
              <a:effectLst>
                <a:glow rad="139700">
                  <a:schemeClr val="accent6">
                    <a:satMod val="175000"/>
                    <a:alpha val="40000"/>
                  </a:schemeClr>
                </a:glow>
              </a:effectLst>
            </a:rPr>
            <a:t>Ac antiHBs⊕ =vaccination</a:t>
          </a:r>
        </a:p>
      </dsp:txBody>
      <dsp:txXfrm>
        <a:off x="1249975" y="471227"/>
        <a:ext cx="1001535" cy="327989"/>
      </dsp:txXfrm>
    </dsp:sp>
    <dsp:sp modelId="{3EE595B6-2FB5-4B38-B833-446A0205F04B}">
      <dsp:nvSpPr>
        <dsp:cNvPr id="0" name=""/>
        <dsp:cNvSpPr/>
      </dsp:nvSpPr>
      <dsp:spPr>
        <a:xfrm>
          <a:off x="2373158" y="471227"/>
          <a:ext cx="1611021" cy="313594"/>
        </a:xfrm>
        <a:prstGeom prst="rect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900" kern="1200">
              <a:effectLst>
                <a:glow rad="139700">
                  <a:schemeClr val="accent6">
                    <a:satMod val="175000"/>
                    <a:alpha val="40000"/>
                  </a:schemeClr>
                </a:glow>
              </a:effectLst>
            </a:rPr>
            <a:t>(Ac antiHBs⊕ et) </a:t>
          </a:r>
          <a:r>
            <a:rPr lang="fr-FR" sz="1000" b="1" kern="1200">
              <a:effectLst>
                <a:glow rad="139700">
                  <a:schemeClr val="accent6">
                    <a:satMod val="175000"/>
                    <a:alpha val="40000"/>
                  </a:schemeClr>
                </a:glow>
              </a:effectLst>
            </a:rPr>
            <a:t>Ac antiHBc</a:t>
          </a:r>
          <a:r>
            <a:rPr lang="fr-FR" sz="1000" b="1" kern="1200">
              <a:effectLst>
                <a:glow rad="139700">
                  <a:schemeClr val="accent6">
                    <a:satMod val="175000"/>
                    <a:alpha val="40000"/>
                  </a:schemeClr>
                </a:glow>
              </a:effectLst>
              <a:latin typeface="Cambria Math"/>
              <a:ea typeface="Cambria Math"/>
            </a:rPr>
            <a:t>⊕</a:t>
          </a:r>
          <a:r>
            <a:rPr lang="fr-FR" sz="1000" b="1" kern="1200">
              <a:effectLst>
                <a:glow rad="139700">
                  <a:schemeClr val="accent6">
                    <a:satMod val="175000"/>
                    <a:alpha val="40000"/>
                  </a:schemeClr>
                </a:glow>
              </a:effectLst>
            </a:rPr>
            <a:t> =inf° ancienne guérie</a:t>
          </a:r>
        </a:p>
      </dsp:txBody>
      <dsp:txXfrm>
        <a:off x="2373158" y="471227"/>
        <a:ext cx="1611021" cy="313594"/>
      </dsp:txXfrm>
    </dsp:sp>
    <dsp:sp modelId="{D296D379-564F-4EAE-8EF6-A35DC3053A61}">
      <dsp:nvSpPr>
        <dsp:cNvPr id="0" name=""/>
        <dsp:cNvSpPr/>
      </dsp:nvSpPr>
      <dsp:spPr>
        <a:xfrm>
          <a:off x="4105828" y="471227"/>
          <a:ext cx="2135789" cy="326156"/>
        </a:xfrm>
        <a:prstGeom prst="rect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1000" b="1" kern="1200">
              <a:effectLst>
                <a:glow rad="139700">
                  <a:schemeClr val="accent6">
                    <a:satMod val="175000"/>
                    <a:alpha val="40000"/>
                  </a:schemeClr>
                </a:glow>
              </a:effectLst>
            </a:rPr>
            <a:t>Ag Hs ⊕ ; Ac antiHBs ⊖ ; Ac anti HBc ⊕ </a:t>
          </a:r>
          <a:r>
            <a:rPr lang="fr-FR" sz="1000" kern="1200">
              <a:effectLst>
                <a:glow rad="139700">
                  <a:schemeClr val="accent6">
                    <a:satMod val="175000"/>
                    <a:alpha val="40000"/>
                  </a:schemeClr>
                </a:glow>
              </a:effectLst>
            </a:rPr>
            <a:t>=compléter l'analyse :</a:t>
          </a:r>
        </a:p>
      </dsp:txBody>
      <dsp:txXfrm>
        <a:off x="4105828" y="471227"/>
        <a:ext cx="2135789" cy="326156"/>
      </dsp:txXfrm>
    </dsp:sp>
    <dsp:sp modelId="{CCB3139C-F2E9-4287-92B0-17BD2830C625}">
      <dsp:nvSpPr>
        <dsp:cNvPr id="0" name=""/>
        <dsp:cNvSpPr/>
      </dsp:nvSpPr>
      <dsp:spPr>
        <a:xfrm>
          <a:off x="3658954" y="919031"/>
          <a:ext cx="3029538" cy="289638"/>
        </a:xfrm>
        <a:prstGeom prst="rect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900" b="1" kern="1200">
              <a:solidFill>
                <a:sysClr val="windowText" lastClr="000000"/>
              </a:solidFill>
            </a:rPr>
            <a:t>IgM antiHBc ; Ag HBe ; Ac antiHBe, ADN viral, transa, CV </a:t>
          </a:r>
          <a:r>
            <a:rPr lang="fr-FR" sz="900" kern="1200">
              <a:solidFill>
                <a:sysClr val="windowText" lastClr="000000"/>
              </a:solidFill>
            </a:rPr>
            <a:t>+</a:t>
          </a:r>
          <a:r>
            <a:rPr lang="fr-FR" sz="900" b="1" kern="1200">
              <a:solidFill>
                <a:sysClr val="windowText" lastClr="000000"/>
              </a:solidFill>
            </a:rPr>
            <a:t>rech. coïnf° à VHD </a:t>
          </a:r>
          <a:r>
            <a:rPr lang="fr-FR" sz="900" kern="1200">
              <a:solidFill>
                <a:sysClr val="windowText" lastClr="000000"/>
              </a:solidFill>
            </a:rPr>
            <a:t>(Ac antiVHD et IgM antiVHD ou PCR VHD)</a:t>
          </a:r>
        </a:p>
      </dsp:txBody>
      <dsp:txXfrm>
        <a:off x="3658954" y="919031"/>
        <a:ext cx="3029538" cy="289638"/>
      </dsp:txXfrm>
    </dsp:sp>
    <dsp:sp modelId="{4BCC801A-11FB-4788-9285-625CD1684994}">
      <dsp:nvSpPr>
        <dsp:cNvPr id="0" name=""/>
        <dsp:cNvSpPr/>
      </dsp:nvSpPr>
      <dsp:spPr>
        <a:xfrm>
          <a:off x="3726109" y="1330318"/>
          <a:ext cx="1495305" cy="289638"/>
        </a:xfrm>
        <a:prstGeom prst="rect">
          <a:avLst/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900" b="1" kern="1200">
              <a:effectLst>
                <a:glow rad="139700">
                  <a:schemeClr val="accent4">
                    <a:satMod val="175000"/>
                    <a:alpha val="40000"/>
                  </a:schemeClr>
                </a:glow>
              </a:effectLst>
            </a:rPr>
            <a:t>IgM antiHBc ⊕, Ag HBe ⊕, CV+++ </a:t>
          </a:r>
          <a:r>
            <a:rPr lang="fr-FR" sz="900" kern="1200">
              <a:effectLst>
                <a:glow rad="139700">
                  <a:schemeClr val="accent4">
                    <a:satMod val="175000"/>
                    <a:alpha val="40000"/>
                  </a:schemeClr>
                </a:glow>
              </a:effectLst>
            </a:rPr>
            <a:t>=</a:t>
          </a:r>
          <a:r>
            <a:rPr lang="fr-FR" sz="900" b="1" kern="1200">
              <a:effectLst>
                <a:glow rad="139700">
                  <a:schemeClr val="accent4">
                    <a:satMod val="175000"/>
                    <a:alpha val="40000"/>
                  </a:schemeClr>
                </a:glow>
              </a:effectLst>
            </a:rPr>
            <a:t>HB aiguë</a:t>
          </a:r>
        </a:p>
      </dsp:txBody>
      <dsp:txXfrm>
        <a:off x="3726109" y="1330318"/>
        <a:ext cx="1495305" cy="289638"/>
      </dsp:txXfrm>
    </dsp:sp>
    <dsp:sp modelId="{58D67453-A113-41F3-BD12-25CA1ED78CB9}">
      <dsp:nvSpPr>
        <dsp:cNvPr id="0" name=""/>
        <dsp:cNvSpPr/>
      </dsp:nvSpPr>
      <dsp:spPr>
        <a:xfrm>
          <a:off x="5343063" y="1330318"/>
          <a:ext cx="1278273" cy="328925"/>
        </a:xfrm>
        <a:prstGeom prst="rect">
          <a:avLst/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900" b="1" kern="1200">
              <a:effectLst>
                <a:glow rad="139700">
                  <a:schemeClr val="accent4">
                    <a:satMod val="175000"/>
                    <a:alpha val="40000"/>
                  </a:schemeClr>
                </a:glow>
              </a:effectLst>
            </a:rPr>
            <a:t>IgM antiHBc ⊖ </a:t>
          </a:r>
          <a:r>
            <a:rPr lang="fr-FR" sz="900" kern="1200">
              <a:effectLst>
                <a:glow rad="139700">
                  <a:schemeClr val="accent4">
                    <a:satMod val="175000"/>
                    <a:alpha val="40000"/>
                  </a:schemeClr>
                </a:glow>
              </a:effectLst>
            </a:rPr>
            <a:t>=suspicion </a:t>
          </a:r>
          <a:r>
            <a:rPr lang="fr-FR" sz="900" b="1" kern="1200">
              <a:effectLst>
                <a:glow rad="139700">
                  <a:schemeClr val="accent4">
                    <a:satMod val="175000"/>
                    <a:alpha val="40000"/>
                  </a:schemeClr>
                </a:glow>
              </a:effectLst>
            </a:rPr>
            <a:t>HB chronique</a:t>
          </a:r>
        </a:p>
      </dsp:txBody>
      <dsp:txXfrm>
        <a:off x="5343063" y="1330318"/>
        <a:ext cx="1278273" cy="328925"/>
      </dsp:txXfrm>
    </dsp:sp>
    <dsp:sp modelId="{E55271CB-13CE-4F0A-B63A-D8CFBCC29AFC}">
      <dsp:nvSpPr>
        <dsp:cNvPr id="0" name=""/>
        <dsp:cNvSpPr/>
      </dsp:nvSpPr>
      <dsp:spPr>
        <a:xfrm>
          <a:off x="3780534" y="1780891"/>
          <a:ext cx="2521234" cy="289638"/>
        </a:xfrm>
        <a:prstGeom prst="rect">
          <a:avLst/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1000" b="1" kern="1200">
              <a:solidFill>
                <a:sysClr val="windowText" lastClr="000000"/>
              </a:solidFill>
            </a:rPr>
            <a:t>marqueurs directs ⊕ et Ac antiHBc ⊕ </a:t>
          </a:r>
          <a:r>
            <a:rPr lang="fr-FR" sz="1000" kern="1200">
              <a:solidFill>
                <a:sysClr val="windowText" lastClr="000000"/>
              </a:solidFill>
            </a:rPr>
            <a:t>=</a:t>
          </a:r>
          <a:r>
            <a:rPr lang="fr-FR" sz="1000" b="1" kern="1200">
              <a:solidFill>
                <a:sysClr val="windowText" lastClr="000000"/>
              </a:solidFill>
            </a:rPr>
            <a:t>immunotolérance </a:t>
          </a:r>
          <a:r>
            <a:rPr lang="fr-FR" sz="1000" kern="1200">
              <a:solidFill>
                <a:sysClr val="windowText" lastClr="000000"/>
              </a:solidFill>
            </a:rPr>
            <a:t>(réplication virale intense)</a:t>
          </a:r>
        </a:p>
      </dsp:txBody>
      <dsp:txXfrm>
        <a:off x="3780534" y="1780891"/>
        <a:ext cx="2521234" cy="289638"/>
      </dsp:txXfrm>
    </dsp:sp>
    <dsp:sp modelId="{A418A2D4-992F-4515-AF05-BD92AAD78024}">
      <dsp:nvSpPr>
        <dsp:cNvPr id="0" name=""/>
        <dsp:cNvSpPr/>
      </dsp:nvSpPr>
      <dsp:spPr>
        <a:xfrm>
          <a:off x="4635361" y="2192178"/>
          <a:ext cx="1666406" cy="289638"/>
        </a:xfrm>
        <a:prstGeom prst="rect">
          <a:avLst/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1000" b="1" kern="1200">
              <a:solidFill>
                <a:sysClr val="windowText" lastClr="000000"/>
              </a:solidFill>
            </a:rPr>
            <a:t>Ac antiHBe ⊕ </a:t>
          </a:r>
          <a:r>
            <a:rPr lang="fr-FR" sz="1000" kern="1200">
              <a:solidFill>
                <a:sysClr val="windowText" lastClr="000000"/>
              </a:solidFill>
            </a:rPr>
            <a:t>= </a:t>
          </a:r>
          <a:r>
            <a:rPr lang="fr-FR" sz="1000" b="1" kern="1200">
              <a:solidFill>
                <a:sysClr val="windowText" lastClr="000000"/>
              </a:solidFill>
            </a:rPr>
            <a:t>clairance</a:t>
          </a:r>
        </a:p>
      </dsp:txBody>
      <dsp:txXfrm>
        <a:off x="4635361" y="2192178"/>
        <a:ext cx="1666406" cy="289638"/>
      </dsp:txXfrm>
    </dsp:sp>
    <dsp:sp modelId="{9BC763B6-9300-4C0F-BCA1-B73C3793CC54}">
      <dsp:nvSpPr>
        <dsp:cNvPr id="0" name=""/>
        <dsp:cNvSpPr/>
      </dsp:nvSpPr>
      <dsp:spPr>
        <a:xfrm>
          <a:off x="4641983" y="2603465"/>
          <a:ext cx="1659785" cy="289638"/>
        </a:xfrm>
        <a:prstGeom prst="rect">
          <a:avLst/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1000" b="1" kern="1200">
              <a:solidFill>
                <a:sysClr val="windowText" lastClr="000000"/>
              </a:solidFill>
            </a:rPr>
            <a:t>CV très basse</a:t>
          </a:r>
          <a:r>
            <a:rPr lang="fr-FR" sz="1000" kern="1200">
              <a:solidFill>
                <a:sysClr val="windowText" lastClr="000000"/>
              </a:solidFill>
            </a:rPr>
            <a:t> = </a:t>
          </a:r>
          <a:r>
            <a:rPr lang="fr-FR" sz="1000" b="1" kern="1200">
              <a:solidFill>
                <a:sysClr val="windowText" lastClr="000000"/>
              </a:solidFill>
            </a:rPr>
            <a:t>portage inactif</a:t>
          </a:r>
        </a:p>
      </dsp:txBody>
      <dsp:txXfrm>
        <a:off x="4641983" y="2603465"/>
        <a:ext cx="1659785" cy="28963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B4D802-3934-4799-8445-664A96454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1026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QuentOn</dc:creator>
  <cp:lastModifiedBy>QuentOn</cp:lastModifiedBy>
  <cp:revision>4</cp:revision>
  <dcterms:created xsi:type="dcterms:W3CDTF">2010-01-30T15:38:00Z</dcterms:created>
  <dcterms:modified xsi:type="dcterms:W3CDTF">2010-01-30T15:41:00Z</dcterms:modified>
</cp:coreProperties>
</file>