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772"/>
        <w:tblW w:w="10256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</w:tblGrid>
      <w:tr w:rsidR="00207FBB" w:rsidTr="00207FBB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Numéro du patient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207FBB" w:rsidTr="00207FBB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Age de survenue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  <w:tc>
          <w:tcPr>
            <w:tcW w:w="1282" w:type="dxa"/>
          </w:tcPr>
          <w:p w:rsidR="00207FBB" w:rsidRDefault="00207FBB" w:rsidP="00207F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</w:tr>
    </w:tbl>
    <w:p w:rsidR="008E63FD" w:rsidRDefault="00207FBB">
      <w:r>
        <w:rPr>
          <w:b/>
          <w:bCs/>
          <w:sz w:val="20"/>
          <w:szCs w:val="20"/>
        </w:rPr>
        <w:t>QCM 4 : Sur un échantillon de 7 patients atteints de troubles psychiatriques, on a noté l’âge de début de leur maladie. Les données observées sont les suivantes :</w:t>
      </w:r>
    </w:p>
    <w:sectPr w:rsidR="008E63FD" w:rsidSect="008E6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7FBB"/>
    <w:rsid w:val="00207FBB"/>
    <w:rsid w:val="008E6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3F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207F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212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2015-08-29T09:07:00Z</dcterms:created>
  <dcterms:modified xsi:type="dcterms:W3CDTF">2015-08-29T09:08:00Z</dcterms:modified>
</cp:coreProperties>
</file>