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EE0" w:rsidRDefault="002F794C" w:rsidP="002F794C">
      <w:pPr>
        <w:jc w:val="center"/>
        <w:rPr>
          <w:sz w:val="52"/>
          <w:szCs w:val="52"/>
          <w:u w:val="single"/>
        </w:rPr>
      </w:pPr>
      <w:r w:rsidRPr="002F794C">
        <w:rPr>
          <w:sz w:val="52"/>
          <w:szCs w:val="52"/>
          <w:u w:val="single"/>
        </w:rPr>
        <w:t xml:space="preserve">DM n°2 – Vascularisation, moyens de fixité et étude synthétique </w:t>
      </w:r>
      <w:r>
        <w:rPr>
          <w:sz w:val="52"/>
          <w:szCs w:val="52"/>
          <w:u w:val="single"/>
        </w:rPr>
        <w:t>–</w:t>
      </w:r>
      <w:r w:rsidRPr="002F794C">
        <w:rPr>
          <w:sz w:val="52"/>
          <w:szCs w:val="52"/>
          <w:u w:val="single"/>
        </w:rPr>
        <w:t xml:space="preserve"> Sujet</w:t>
      </w:r>
    </w:p>
    <w:p w:rsidR="002F794C" w:rsidRDefault="002F794C" w:rsidP="002F794C">
      <w:pPr>
        <w:rPr>
          <w:sz w:val="24"/>
          <w:szCs w:val="24"/>
        </w:rPr>
      </w:pPr>
    </w:p>
    <w:p w:rsidR="002F794C" w:rsidRDefault="002F794C" w:rsidP="002F794C">
      <w:pPr>
        <w:rPr>
          <w:sz w:val="24"/>
          <w:szCs w:val="24"/>
        </w:rPr>
      </w:pPr>
    </w:p>
    <w:p w:rsidR="002F794C" w:rsidRDefault="002F794C" w:rsidP="002F794C">
      <w:pPr>
        <w:rPr>
          <w:sz w:val="24"/>
          <w:szCs w:val="24"/>
        </w:rPr>
      </w:pPr>
      <w:r>
        <w:rPr>
          <w:sz w:val="24"/>
          <w:szCs w:val="24"/>
        </w:rPr>
        <w:t xml:space="preserve">1. </w:t>
      </w:r>
      <w:r w:rsidR="00A77C7E">
        <w:rPr>
          <w:sz w:val="24"/>
          <w:szCs w:val="24"/>
        </w:rPr>
        <w:t>Le vagin est principalement vascula</w:t>
      </w:r>
      <w:r w:rsidR="006456EF">
        <w:rPr>
          <w:sz w:val="24"/>
          <w:szCs w:val="24"/>
        </w:rPr>
        <w:t>risé</w:t>
      </w:r>
      <w:r>
        <w:rPr>
          <w:sz w:val="24"/>
          <w:szCs w:val="24"/>
        </w:rPr>
        <w:t xml:space="preserve"> par l’artère vaginale (constante) mais aussi par des rameaux utérins et par l’artère rectale moyenne</w:t>
      </w:r>
    </w:p>
    <w:p w:rsidR="002F794C" w:rsidRDefault="002F794C" w:rsidP="002F794C">
      <w:pPr>
        <w:rPr>
          <w:sz w:val="24"/>
          <w:szCs w:val="24"/>
        </w:rPr>
      </w:pPr>
      <w:r>
        <w:rPr>
          <w:sz w:val="24"/>
          <w:szCs w:val="24"/>
        </w:rPr>
        <w:t xml:space="preserve">2. </w:t>
      </w:r>
      <w:r w:rsidR="007E0403">
        <w:rPr>
          <w:sz w:val="24"/>
          <w:szCs w:val="24"/>
        </w:rPr>
        <w:t xml:space="preserve">Comme pour la vascularisation </w:t>
      </w:r>
      <w:r w:rsidR="002B7CEB">
        <w:rPr>
          <w:sz w:val="24"/>
          <w:szCs w:val="24"/>
        </w:rPr>
        <w:t>veineuse, le drainage lymphatique de l’ovaire droit se fait vers les</w:t>
      </w:r>
      <w:r w:rsidR="002B7CEB" w:rsidRPr="002B7CEB">
        <w:rPr>
          <w:sz w:val="24"/>
          <w:szCs w:val="24"/>
        </w:rPr>
        <w:t xml:space="preserve"> </w:t>
      </w:r>
      <w:r w:rsidR="002B7CEB" w:rsidRPr="002B7CEB">
        <w:rPr>
          <w:rFonts w:asciiTheme="majorHAnsi" w:hAnsiTheme="majorHAnsi"/>
          <w:sz w:val="24"/>
          <w:szCs w:val="24"/>
        </w:rPr>
        <w:t>n</w:t>
      </w:r>
      <w:r w:rsidR="002B7CEB" w:rsidRPr="002B7CEB">
        <w:rPr>
          <w:rStyle w:val="Accentuation"/>
          <w:rFonts w:cs="Arial"/>
          <w:bCs/>
          <w:i w:val="0"/>
          <w:iCs w:val="0"/>
          <w:sz w:val="24"/>
          <w:szCs w:val="24"/>
          <w:shd w:val="clear" w:color="auto" w:fill="FFFFFF"/>
        </w:rPr>
        <w:t>œuds</w:t>
      </w:r>
      <w:r w:rsidR="002B7CEB">
        <w:rPr>
          <w:sz w:val="24"/>
          <w:szCs w:val="24"/>
        </w:rPr>
        <w:t xml:space="preserve"> rénaux droits</w:t>
      </w:r>
    </w:p>
    <w:p w:rsidR="002B7CEB" w:rsidRDefault="002B7CEB" w:rsidP="002F794C">
      <w:pPr>
        <w:rPr>
          <w:sz w:val="24"/>
          <w:szCs w:val="24"/>
        </w:rPr>
      </w:pPr>
      <w:r>
        <w:rPr>
          <w:sz w:val="24"/>
          <w:szCs w:val="24"/>
        </w:rPr>
        <w:t xml:space="preserve">3. L’artère utérine qui vascularise quasi exclusivement l’utérus, surcroise l’urètre puis court le long du bord latéral de l’utérus, celle-ci est goudronnée de manière à s’adapter aux changements de volume durant la grossesse </w:t>
      </w:r>
    </w:p>
    <w:p w:rsidR="002B7CEB" w:rsidRDefault="002B7CEB" w:rsidP="002F794C">
      <w:pPr>
        <w:rPr>
          <w:sz w:val="24"/>
          <w:szCs w:val="24"/>
        </w:rPr>
      </w:pPr>
      <w:r>
        <w:rPr>
          <w:sz w:val="24"/>
          <w:szCs w:val="24"/>
        </w:rPr>
        <w:t xml:space="preserve">4. </w:t>
      </w:r>
      <w:r w:rsidR="00A77C7E">
        <w:rPr>
          <w:sz w:val="24"/>
          <w:szCs w:val="24"/>
        </w:rPr>
        <w:t>La vascularisation de l’ovaire se f</w:t>
      </w:r>
      <w:r w:rsidR="001264C9">
        <w:rPr>
          <w:sz w:val="24"/>
          <w:szCs w:val="24"/>
        </w:rPr>
        <w:t>ait majoritairement par le rameau</w:t>
      </w:r>
      <w:bookmarkStart w:id="0" w:name="_GoBack"/>
      <w:bookmarkEnd w:id="0"/>
      <w:r w:rsidR="00A77C7E">
        <w:rPr>
          <w:sz w:val="24"/>
          <w:szCs w:val="24"/>
        </w:rPr>
        <w:t xml:space="preserve"> </w:t>
      </w:r>
      <w:proofErr w:type="spellStart"/>
      <w:r w:rsidR="00A77C7E">
        <w:rPr>
          <w:sz w:val="24"/>
          <w:szCs w:val="24"/>
        </w:rPr>
        <w:t>ovarique</w:t>
      </w:r>
      <w:proofErr w:type="spellEnd"/>
      <w:r w:rsidR="00A77C7E">
        <w:rPr>
          <w:sz w:val="24"/>
          <w:szCs w:val="24"/>
        </w:rPr>
        <w:t xml:space="preserve"> issue de l’aorte</w:t>
      </w:r>
    </w:p>
    <w:p w:rsidR="00A77C7E" w:rsidRDefault="00A77C7E" w:rsidP="002F794C">
      <w:pPr>
        <w:rPr>
          <w:sz w:val="24"/>
          <w:szCs w:val="24"/>
        </w:rPr>
      </w:pPr>
      <w:r>
        <w:rPr>
          <w:sz w:val="24"/>
          <w:szCs w:val="24"/>
        </w:rPr>
        <w:t>5. Parmi les anomalies de malformation</w:t>
      </w:r>
      <w:r w:rsidR="00651B63">
        <w:rPr>
          <w:sz w:val="24"/>
          <w:szCs w:val="24"/>
        </w:rPr>
        <w:t>s utérines</w:t>
      </w:r>
      <w:r>
        <w:rPr>
          <w:sz w:val="24"/>
          <w:szCs w:val="24"/>
        </w:rPr>
        <w:t xml:space="preserve"> on peut avoir un utérus dit bicorps </w:t>
      </w:r>
      <w:proofErr w:type="spellStart"/>
      <w:r>
        <w:rPr>
          <w:sz w:val="24"/>
          <w:szCs w:val="24"/>
        </w:rPr>
        <w:t>bicervical</w:t>
      </w:r>
      <w:proofErr w:type="spellEnd"/>
      <w:r>
        <w:rPr>
          <w:sz w:val="24"/>
          <w:szCs w:val="24"/>
        </w:rPr>
        <w:t xml:space="preserve"> </w:t>
      </w:r>
      <w:proofErr w:type="spellStart"/>
      <w:r>
        <w:rPr>
          <w:sz w:val="24"/>
          <w:szCs w:val="24"/>
        </w:rPr>
        <w:t>cad</w:t>
      </w:r>
      <w:proofErr w:type="spellEnd"/>
      <w:r>
        <w:rPr>
          <w:sz w:val="24"/>
          <w:szCs w:val="24"/>
        </w:rPr>
        <w:t xml:space="preserve"> un utérus possédant 2 corps séparés totalement par une cloison centrale et 2 vagins </w:t>
      </w:r>
    </w:p>
    <w:p w:rsidR="00A77C7E" w:rsidRDefault="00A77C7E" w:rsidP="002F794C">
      <w:pPr>
        <w:rPr>
          <w:rStyle w:val="Accentuation"/>
          <w:rFonts w:cs="Arial"/>
          <w:bCs/>
          <w:i w:val="0"/>
          <w:iCs w:val="0"/>
          <w:sz w:val="24"/>
          <w:szCs w:val="24"/>
          <w:shd w:val="clear" w:color="auto" w:fill="FFFFFF"/>
        </w:rPr>
      </w:pPr>
      <w:r>
        <w:rPr>
          <w:sz w:val="24"/>
          <w:szCs w:val="24"/>
        </w:rPr>
        <w:t>6. Le drainage lymphatique de l’utérus est multiple, il compte : les n</w:t>
      </w:r>
      <w:r w:rsidRPr="002B7CEB">
        <w:rPr>
          <w:rStyle w:val="Accentuation"/>
          <w:rFonts w:cs="Arial"/>
          <w:bCs/>
          <w:i w:val="0"/>
          <w:iCs w:val="0"/>
          <w:sz w:val="24"/>
          <w:szCs w:val="24"/>
          <w:shd w:val="clear" w:color="auto" w:fill="FFFFFF"/>
        </w:rPr>
        <w:t>œ</w:t>
      </w:r>
      <w:r>
        <w:rPr>
          <w:rStyle w:val="Accentuation"/>
          <w:rFonts w:cs="Arial"/>
          <w:bCs/>
          <w:i w:val="0"/>
          <w:iCs w:val="0"/>
          <w:sz w:val="24"/>
          <w:szCs w:val="24"/>
          <w:shd w:val="clear" w:color="auto" w:fill="FFFFFF"/>
        </w:rPr>
        <w:t xml:space="preserve">uds iliaques internes, externes, ovariens </w:t>
      </w:r>
      <w:r w:rsidR="00651B63">
        <w:rPr>
          <w:rStyle w:val="Accentuation"/>
          <w:rFonts w:cs="Arial"/>
          <w:bCs/>
          <w:i w:val="0"/>
          <w:iCs w:val="0"/>
          <w:sz w:val="24"/>
          <w:szCs w:val="24"/>
          <w:shd w:val="clear" w:color="auto" w:fill="FFFFFF"/>
        </w:rPr>
        <w:t xml:space="preserve">qui remontent vers ceux </w:t>
      </w:r>
      <w:proofErr w:type="spellStart"/>
      <w:r w:rsidR="00651B63">
        <w:rPr>
          <w:rStyle w:val="Accentuation"/>
          <w:rFonts w:cs="Arial"/>
          <w:bCs/>
          <w:i w:val="0"/>
          <w:iCs w:val="0"/>
          <w:sz w:val="24"/>
          <w:szCs w:val="24"/>
          <w:shd w:val="clear" w:color="auto" w:fill="FFFFFF"/>
        </w:rPr>
        <w:t>abdo</w:t>
      </w:r>
      <w:proofErr w:type="spellEnd"/>
      <w:r>
        <w:rPr>
          <w:rStyle w:val="Accentuation"/>
          <w:rFonts w:cs="Arial"/>
          <w:bCs/>
          <w:i w:val="0"/>
          <w:iCs w:val="0"/>
          <w:sz w:val="24"/>
          <w:szCs w:val="24"/>
          <w:shd w:val="clear" w:color="auto" w:fill="FFFFFF"/>
        </w:rPr>
        <w:t xml:space="preserve">-aortiques, sacrés et inguinaux </w:t>
      </w:r>
    </w:p>
    <w:p w:rsidR="00651B63" w:rsidRDefault="00651B63"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 xml:space="preserve">7. Parmi les anomalies </w:t>
      </w:r>
      <w:proofErr w:type="spellStart"/>
      <w:r>
        <w:rPr>
          <w:rStyle w:val="Accentuation"/>
          <w:rFonts w:cs="Arial"/>
          <w:bCs/>
          <w:i w:val="0"/>
          <w:iCs w:val="0"/>
          <w:sz w:val="24"/>
          <w:szCs w:val="24"/>
          <w:shd w:val="clear" w:color="auto" w:fill="FFFFFF"/>
        </w:rPr>
        <w:t>mulleriennes</w:t>
      </w:r>
      <w:proofErr w:type="spellEnd"/>
      <w:r>
        <w:rPr>
          <w:rStyle w:val="Accentuation"/>
          <w:rFonts w:cs="Arial"/>
          <w:bCs/>
          <w:i w:val="0"/>
          <w:iCs w:val="0"/>
          <w:sz w:val="24"/>
          <w:szCs w:val="24"/>
          <w:shd w:val="clear" w:color="auto" w:fill="FFFFFF"/>
        </w:rPr>
        <w:t xml:space="preserve">, on peut avoir un </w:t>
      </w:r>
      <w:proofErr w:type="spellStart"/>
      <w:r>
        <w:rPr>
          <w:rStyle w:val="Accentuation"/>
          <w:rFonts w:cs="Arial"/>
          <w:bCs/>
          <w:i w:val="0"/>
          <w:iCs w:val="0"/>
          <w:sz w:val="24"/>
          <w:szCs w:val="24"/>
          <w:shd w:val="clear" w:color="auto" w:fill="FFFFFF"/>
        </w:rPr>
        <w:t>hydatite</w:t>
      </w:r>
      <w:proofErr w:type="spellEnd"/>
      <w:r>
        <w:rPr>
          <w:rStyle w:val="Accentuation"/>
          <w:rFonts w:cs="Arial"/>
          <w:bCs/>
          <w:i w:val="0"/>
          <w:iCs w:val="0"/>
          <w:sz w:val="24"/>
          <w:szCs w:val="24"/>
          <w:shd w:val="clear" w:color="auto" w:fill="FFFFFF"/>
        </w:rPr>
        <w:t xml:space="preserve"> vésiculeux, un </w:t>
      </w:r>
      <w:proofErr w:type="spellStart"/>
      <w:r>
        <w:rPr>
          <w:rStyle w:val="Accentuation"/>
          <w:rFonts w:cs="Arial"/>
          <w:bCs/>
          <w:i w:val="0"/>
          <w:iCs w:val="0"/>
          <w:sz w:val="24"/>
          <w:szCs w:val="24"/>
          <w:shd w:val="clear" w:color="auto" w:fill="FFFFFF"/>
        </w:rPr>
        <w:t>epo</w:t>
      </w:r>
      <w:proofErr w:type="spellEnd"/>
      <w:r>
        <w:rPr>
          <w:rStyle w:val="Accentuation"/>
          <w:rFonts w:cs="Arial"/>
          <w:bCs/>
          <w:i w:val="0"/>
          <w:iCs w:val="0"/>
          <w:sz w:val="24"/>
          <w:szCs w:val="24"/>
          <w:shd w:val="clear" w:color="auto" w:fill="FFFFFF"/>
        </w:rPr>
        <w:t xml:space="preserve"> ou para-</w:t>
      </w:r>
      <w:proofErr w:type="spellStart"/>
      <w:r>
        <w:rPr>
          <w:rStyle w:val="Accentuation"/>
          <w:rFonts w:cs="Arial"/>
          <w:bCs/>
          <w:i w:val="0"/>
          <w:iCs w:val="0"/>
          <w:sz w:val="24"/>
          <w:szCs w:val="24"/>
          <w:shd w:val="clear" w:color="auto" w:fill="FFFFFF"/>
        </w:rPr>
        <w:t>ophoron</w:t>
      </w:r>
      <w:proofErr w:type="spellEnd"/>
      <w:r>
        <w:rPr>
          <w:rStyle w:val="Accentuation"/>
          <w:rFonts w:cs="Arial"/>
          <w:bCs/>
          <w:i w:val="0"/>
          <w:iCs w:val="0"/>
          <w:sz w:val="24"/>
          <w:szCs w:val="24"/>
          <w:shd w:val="clear" w:color="auto" w:fill="FFFFFF"/>
        </w:rPr>
        <w:t xml:space="preserve"> ou un canal para-utérin</w:t>
      </w:r>
    </w:p>
    <w:p w:rsidR="00651B63" w:rsidRDefault="00651B63"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 xml:space="preserve">8. Le péritoine recouvre la vessie, forme le fascia vésico-vaginal puis recouvre partiellement l’utérus avant de former le cul de sac de Douglas et de remonter sur le rectum </w:t>
      </w:r>
    </w:p>
    <w:p w:rsidR="00651B63" w:rsidRDefault="00651B63"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 xml:space="preserve">9. </w:t>
      </w:r>
      <w:r w:rsidR="00A420C7">
        <w:rPr>
          <w:rStyle w:val="Accentuation"/>
          <w:rFonts w:cs="Arial"/>
          <w:bCs/>
          <w:i w:val="0"/>
          <w:iCs w:val="0"/>
          <w:sz w:val="24"/>
          <w:szCs w:val="24"/>
          <w:shd w:val="clear" w:color="auto" w:fill="FFFFFF"/>
        </w:rPr>
        <w:t>Le l</w:t>
      </w:r>
      <w:r w:rsidR="00C733FC">
        <w:rPr>
          <w:rStyle w:val="Accentuation"/>
          <w:rFonts w:cs="Arial"/>
          <w:bCs/>
          <w:i w:val="0"/>
          <w:iCs w:val="0"/>
          <w:sz w:val="24"/>
          <w:szCs w:val="24"/>
          <w:shd w:val="clear" w:color="auto" w:fill="FFFFFF"/>
        </w:rPr>
        <w:t xml:space="preserve">igament large, </w:t>
      </w:r>
      <w:r w:rsidR="00A420C7">
        <w:rPr>
          <w:rStyle w:val="Accentuation"/>
          <w:rFonts w:cs="Arial"/>
          <w:bCs/>
          <w:i w:val="0"/>
          <w:iCs w:val="0"/>
          <w:sz w:val="24"/>
          <w:szCs w:val="24"/>
          <w:shd w:val="clear" w:color="auto" w:fill="FFFFFF"/>
        </w:rPr>
        <w:t>correspond</w:t>
      </w:r>
      <w:r w:rsidR="00C733FC">
        <w:rPr>
          <w:rStyle w:val="Accentuation"/>
          <w:rFonts w:cs="Arial"/>
          <w:bCs/>
          <w:i w:val="0"/>
          <w:iCs w:val="0"/>
          <w:sz w:val="24"/>
          <w:szCs w:val="24"/>
          <w:shd w:val="clear" w:color="auto" w:fill="FFFFFF"/>
        </w:rPr>
        <w:t>ant</w:t>
      </w:r>
      <w:r w:rsidR="00A420C7">
        <w:rPr>
          <w:rStyle w:val="Accentuation"/>
          <w:rFonts w:cs="Arial"/>
          <w:bCs/>
          <w:i w:val="0"/>
          <w:iCs w:val="0"/>
          <w:sz w:val="24"/>
          <w:szCs w:val="24"/>
          <w:shd w:val="clear" w:color="auto" w:fill="FFFFFF"/>
        </w:rPr>
        <w:t xml:space="preserve"> à une déform</w:t>
      </w:r>
      <w:r w:rsidR="00C733FC">
        <w:rPr>
          <w:rStyle w:val="Accentuation"/>
          <w:rFonts w:cs="Arial"/>
          <w:bCs/>
          <w:i w:val="0"/>
          <w:iCs w:val="0"/>
          <w:sz w:val="24"/>
          <w:szCs w:val="24"/>
          <w:shd w:val="clear" w:color="auto" w:fill="FFFFFF"/>
        </w:rPr>
        <w:t>ation du péritoine, est tel « </w:t>
      </w:r>
      <w:r w:rsidR="00A420C7">
        <w:rPr>
          <w:rStyle w:val="Accentuation"/>
          <w:rFonts w:cs="Arial"/>
          <w:bCs/>
          <w:i w:val="0"/>
          <w:iCs w:val="0"/>
          <w:sz w:val="24"/>
          <w:szCs w:val="24"/>
          <w:shd w:val="clear" w:color="auto" w:fill="FFFFFF"/>
        </w:rPr>
        <w:t>un drap posé sur le corps de l’utérus</w:t>
      </w:r>
      <w:r w:rsidR="00C733FC">
        <w:rPr>
          <w:rStyle w:val="Accentuation"/>
          <w:rFonts w:cs="Arial"/>
          <w:bCs/>
          <w:i w:val="0"/>
          <w:iCs w:val="0"/>
          <w:sz w:val="24"/>
          <w:szCs w:val="24"/>
          <w:shd w:val="clear" w:color="auto" w:fill="FFFFFF"/>
        </w:rPr>
        <w:t xml:space="preserve"> prenant la forme d’un fantôme</w:t>
      </w:r>
      <w:r w:rsidR="00A420C7">
        <w:rPr>
          <w:rStyle w:val="Accentuation"/>
          <w:rFonts w:cs="Arial"/>
          <w:bCs/>
          <w:i w:val="0"/>
          <w:iCs w:val="0"/>
          <w:sz w:val="24"/>
          <w:szCs w:val="24"/>
          <w:shd w:val="clear" w:color="auto" w:fill="FFFFFF"/>
        </w:rPr>
        <w:t xml:space="preserve"> avec ses 3 bras </w:t>
      </w:r>
      <w:r w:rsidR="00C733FC">
        <w:rPr>
          <w:rStyle w:val="Accentuation"/>
          <w:rFonts w:cs="Arial"/>
          <w:bCs/>
          <w:i w:val="0"/>
          <w:iCs w:val="0"/>
          <w:sz w:val="24"/>
          <w:szCs w:val="24"/>
          <w:shd w:val="clear" w:color="auto" w:fill="FFFFFF"/>
        </w:rPr>
        <w:t>de chaque côté »</w:t>
      </w:r>
    </w:p>
    <w:p w:rsidR="00C733FC" w:rsidRDefault="00C733FC"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 xml:space="preserve">10. Ce ligament large possède une partie supérieure constituée d’un aileron antérieur ou </w:t>
      </w:r>
      <w:proofErr w:type="spellStart"/>
      <w:r>
        <w:rPr>
          <w:rStyle w:val="Accentuation"/>
          <w:rFonts w:cs="Arial"/>
          <w:bCs/>
          <w:i w:val="0"/>
          <w:iCs w:val="0"/>
          <w:sz w:val="24"/>
          <w:szCs w:val="24"/>
          <w:shd w:val="clear" w:color="auto" w:fill="FFFFFF"/>
        </w:rPr>
        <w:t>mésovarium</w:t>
      </w:r>
      <w:proofErr w:type="spellEnd"/>
      <w:r>
        <w:rPr>
          <w:rStyle w:val="Accentuation"/>
          <w:rFonts w:cs="Arial"/>
          <w:bCs/>
          <w:i w:val="0"/>
          <w:iCs w:val="0"/>
          <w:sz w:val="24"/>
          <w:szCs w:val="24"/>
          <w:shd w:val="clear" w:color="auto" w:fill="FFFFFF"/>
        </w:rPr>
        <w:t xml:space="preserve">, d’un aileron supérieur et d’un aileron postérieur ou </w:t>
      </w:r>
      <w:proofErr w:type="spellStart"/>
      <w:r>
        <w:rPr>
          <w:rStyle w:val="Accentuation"/>
          <w:rFonts w:cs="Arial"/>
          <w:bCs/>
          <w:i w:val="0"/>
          <w:iCs w:val="0"/>
          <w:sz w:val="24"/>
          <w:szCs w:val="24"/>
          <w:shd w:val="clear" w:color="auto" w:fill="FFFFFF"/>
        </w:rPr>
        <w:t>mésosalpinx</w:t>
      </w:r>
      <w:proofErr w:type="spellEnd"/>
    </w:p>
    <w:p w:rsidR="00C733FC" w:rsidRDefault="00C733FC"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 xml:space="preserve">11. La partie basse, élargie du ligament large correspond à sa base et s’appelle le paramètre, cette partie se rétrécie sur le dessus pour former le </w:t>
      </w:r>
      <w:proofErr w:type="spellStart"/>
      <w:r>
        <w:rPr>
          <w:rStyle w:val="Accentuation"/>
          <w:rFonts w:cs="Arial"/>
          <w:bCs/>
          <w:i w:val="0"/>
          <w:iCs w:val="0"/>
          <w:sz w:val="24"/>
          <w:szCs w:val="24"/>
          <w:shd w:val="clear" w:color="auto" w:fill="FFFFFF"/>
        </w:rPr>
        <w:t>mésomètre</w:t>
      </w:r>
      <w:proofErr w:type="spellEnd"/>
    </w:p>
    <w:p w:rsidR="00C733FC" w:rsidRDefault="00C733FC"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 xml:space="preserve">12. L’aileron antérieur du ligament large suit le ligament rond et son aileron postérieur suit le ligament lombo-ovarien </w:t>
      </w:r>
    </w:p>
    <w:p w:rsidR="00BC1732" w:rsidRDefault="00BC1732"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13. Le péritoine ne repose pas sur l’ovaire, en effet celui-ci est intra-péritonéal contrairement aux autres organes du petit bassin qui sont majoritairement sous-péritonéaux</w:t>
      </w:r>
    </w:p>
    <w:p w:rsidR="00DD2188" w:rsidRDefault="00DD2188"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lastRenderedPageBreak/>
        <w:t xml:space="preserve">14. Lors du vieillissement, s’accompagnant d’une faiblesse musculaire des diaphragmes, on peut avoir ce qu’on appelle une descente d’organes. Ce phénomène peut se voir aussi en cas d’hyperpression abdominale ou lors de traumatismes obstétriques. </w:t>
      </w:r>
    </w:p>
    <w:p w:rsidR="00DD2188" w:rsidRDefault="00DD2188"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 xml:space="preserve">15. Le </w:t>
      </w:r>
      <w:proofErr w:type="spellStart"/>
      <w:r>
        <w:rPr>
          <w:rStyle w:val="Accentuation"/>
          <w:rFonts w:cs="Arial"/>
          <w:bCs/>
          <w:i w:val="0"/>
          <w:iCs w:val="0"/>
          <w:sz w:val="24"/>
          <w:szCs w:val="24"/>
          <w:shd w:val="clear" w:color="auto" w:fill="FFFFFF"/>
        </w:rPr>
        <w:t>cystocèle</w:t>
      </w:r>
      <w:proofErr w:type="spellEnd"/>
      <w:r>
        <w:rPr>
          <w:rStyle w:val="Accentuation"/>
          <w:rFonts w:cs="Arial"/>
          <w:bCs/>
          <w:i w:val="0"/>
          <w:iCs w:val="0"/>
          <w:sz w:val="24"/>
          <w:szCs w:val="24"/>
          <w:shd w:val="clear" w:color="auto" w:fill="FFFFFF"/>
        </w:rPr>
        <w:t xml:space="preserve"> correspond à la sortie par le vagin de l’utérus</w:t>
      </w:r>
    </w:p>
    <w:p w:rsidR="00DD2188" w:rsidRDefault="00DD2188"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16. Le sphincter strié de l’anus repose sur le NCFP, élément important de fixité des organes du petit bassin</w:t>
      </w:r>
    </w:p>
    <w:p w:rsidR="00782061" w:rsidRDefault="00782061"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 xml:space="preserve">17. Le ligament rond est responsable d’une certaine stabilité de l’utérus et permet son </w:t>
      </w:r>
      <w:proofErr w:type="spellStart"/>
      <w:r>
        <w:rPr>
          <w:rStyle w:val="Accentuation"/>
          <w:rFonts w:cs="Arial"/>
          <w:bCs/>
          <w:i w:val="0"/>
          <w:iCs w:val="0"/>
          <w:sz w:val="24"/>
          <w:szCs w:val="24"/>
          <w:shd w:val="clear" w:color="auto" w:fill="FFFFFF"/>
        </w:rPr>
        <w:t>anté-version</w:t>
      </w:r>
      <w:proofErr w:type="spellEnd"/>
    </w:p>
    <w:p w:rsidR="00782061" w:rsidRDefault="00782061" w:rsidP="002F794C">
      <w:pPr>
        <w:rPr>
          <w:rStyle w:val="Accentuation"/>
          <w:rFonts w:cs="Arial"/>
          <w:bCs/>
          <w:i w:val="0"/>
          <w:iCs w:val="0"/>
          <w:sz w:val="24"/>
          <w:szCs w:val="24"/>
          <w:shd w:val="clear" w:color="auto" w:fill="FFFFFF"/>
        </w:rPr>
      </w:pPr>
      <w:r>
        <w:rPr>
          <w:rStyle w:val="Accentuation"/>
          <w:rFonts w:cs="Arial"/>
          <w:bCs/>
          <w:i w:val="0"/>
          <w:iCs w:val="0"/>
          <w:sz w:val="24"/>
          <w:szCs w:val="24"/>
          <w:shd w:val="clear" w:color="auto" w:fill="FFFFFF"/>
        </w:rPr>
        <w:t>18. La lame SRGP est un feutrage fibreux qui entoure les principaux vaisseaux du petit bassin (notamment l’artère ombilicale ++)</w:t>
      </w:r>
    </w:p>
    <w:p w:rsidR="00782061" w:rsidRDefault="00782061" w:rsidP="002F794C">
      <w:pPr>
        <w:rPr>
          <w:rStyle w:val="Accentuation"/>
          <w:rFonts w:cs="Arial"/>
          <w:bCs/>
          <w:i w:val="0"/>
          <w:iCs w:val="0"/>
          <w:color w:val="000000" w:themeColor="text1"/>
          <w:sz w:val="24"/>
          <w:szCs w:val="24"/>
          <w:shd w:val="clear" w:color="auto" w:fill="FFFFFF"/>
        </w:rPr>
      </w:pPr>
      <w:r>
        <w:rPr>
          <w:rStyle w:val="Accentuation"/>
          <w:rFonts w:cs="Arial"/>
          <w:bCs/>
          <w:i w:val="0"/>
          <w:iCs w:val="0"/>
          <w:sz w:val="24"/>
          <w:szCs w:val="24"/>
          <w:shd w:val="clear" w:color="auto" w:fill="FFFFFF"/>
        </w:rPr>
        <w:t>19. On décrit 2 fossettes de part et d’autre de l’uretère sur une vue supérieure/</w:t>
      </w:r>
      <w:proofErr w:type="spellStart"/>
      <w:r>
        <w:rPr>
          <w:rStyle w:val="Accentuation"/>
          <w:rFonts w:cs="Arial"/>
          <w:bCs/>
          <w:i w:val="0"/>
          <w:iCs w:val="0"/>
          <w:sz w:val="24"/>
          <w:szCs w:val="24"/>
          <w:shd w:val="clear" w:color="auto" w:fill="FFFFFF"/>
        </w:rPr>
        <w:t>c</w:t>
      </w:r>
      <w:r w:rsidRPr="00782061">
        <w:rPr>
          <w:rStyle w:val="Accentuation"/>
          <w:rFonts w:cs="Arial"/>
          <w:bCs/>
          <w:i w:val="0"/>
          <w:iCs w:val="0"/>
          <w:color w:val="000000" w:themeColor="text1"/>
          <w:sz w:val="24"/>
          <w:szCs w:val="24"/>
          <w:shd w:val="clear" w:color="auto" w:fill="FFFFFF"/>
        </w:rPr>
        <w:t>œ</w:t>
      </w:r>
      <w:r w:rsidR="00AB4AA5">
        <w:rPr>
          <w:rStyle w:val="Accentuation"/>
          <w:rFonts w:cs="Arial"/>
          <w:bCs/>
          <w:i w:val="0"/>
          <w:iCs w:val="0"/>
          <w:color w:val="000000" w:themeColor="text1"/>
          <w:sz w:val="24"/>
          <w:szCs w:val="24"/>
          <w:shd w:val="clear" w:color="auto" w:fill="FFFFFF"/>
        </w:rPr>
        <w:t>li</w:t>
      </w:r>
      <w:r>
        <w:rPr>
          <w:rStyle w:val="Accentuation"/>
          <w:rFonts w:cs="Arial"/>
          <w:bCs/>
          <w:i w:val="0"/>
          <w:iCs w:val="0"/>
          <w:color w:val="000000" w:themeColor="text1"/>
          <w:sz w:val="24"/>
          <w:szCs w:val="24"/>
          <w:shd w:val="clear" w:color="auto" w:fill="FFFFFF"/>
        </w:rPr>
        <w:t>oscopique</w:t>
      </w:r>
      <w:proofErr w:type="spellEnd"/>
      <w:r>
        <w:rPr>
          <w:rStyle w:val="Accentuation"/>
          <w:rFonts w:cs="Arial"/>
          <w:bCs/>
          <w:i w:val="0"/>
          <w:iCs w:val="0"/>
          <w:color w:val="000000" w:themeColor="text1"/>
          <w:sz w:val="24"/>
          <w:szCs w:val="24"/>
          <w:shd w:val="clear" w:color="auto" w:fill="FFFFFF"/>
        </w:rPr>
        <w:t> : une fossette pré-</w:t>
      </w:r>
      <w:proofErr w:type="spellStart"/>
      <w:r>
        <w:rPr>
          <w:rStyle w:val="Accentuation"/>
          <w:rFonts w:cs="Arial"/>
          <w:bCs/>
          <w:i w:val="0"/>
          <w:iCs w:val="0"/>
          <w:color w:val="000000" w:themeColor="text1"/>
          <w:sz w:val="24"/>
          <w:szCs w:val="24"/>
          <w:shd w:val="clear" w:color="auto" w:fill="FFFFFF"/>
        </w:rPr>
        <w:t>urétérique</w:t>
      </w:r>
      <w:proofErr w:type="spellEnd"/>
      <w:r>
        <w:rPr>
          <w:rStyle w:val="Accentuation"/>
          <w:rFonts w:cs="Arial"/>
          <w:bCs/>
          <w:i w:val="0"/>
          <w:iCs w:val="0"/>
          <w:color w:val="000000" w:themeColor="text1"/>
          <w:sz w:val="24"/>
          <w:szCs w:val="24"/>
          <w:shd w:val="clear" w:color="auto" w:fill="FFFFFF"/>
        </w:rPr>
        <w:t xml:space="preserve"> (en avant de l’</w:t>
      </w:r>
      <w:proofErr w:type="spellStart"/>
      <w:r>
        <w:rPr>
          <w:rStyle w:val="Accentuation"/>
          <w:rFonts w:cs="Arial"/>
          <w:bCs/>
          <w:i w:val="0"/>
          <w:iCs w:val="0"/>
          <w:color w:val="000000" w:themeColor="text1"/>
          <w:sz w:val="24"/>
          <w:szCs w:val="24"/>
          <w:shd w:val="clear" w:color="auto" w:fill="FFFFFF"/>
        </w:rPr>
        <w:t>urétère</w:t>
      </w:r>
      <w:proofErr w:type="spellEnd"/>
      <w:r>
        <w:rPr>
          <w:rStyle w:val="Accentuation"/>
          <w:rFonts w:cs="Arial"/>
          <w:bCs/>
          <w:i w:val="0"/>
          <w:iCs w:val="0"/>
          <w:color w:val="000000" w:themeColor="text1"/>
          <w:sz w:val="24"/>
          <w:szCs w:val="24"/>
          <w:shd w:val="clear" w:color="auto" w:fill="FFFFFF"/>
        </w:rPr>
        <w:t>) où se trouve l’ovaire de la nullipare et une fossette rétro-</w:t>
      </w:r>
      <w:proofErr w:type="spellStart"/>
      <w:r>
        <w:rPr>
          <w:rStyle w:val="Accentuation"/>
          <w:rFonts w:cs="Arial"/>
          <w:bCs/>
          <w:i w:val="0"/>
          <w:iCs w:val="0"/>
          <w:color w:val="000000" w:themeColor="text1"/>
          <w:sz w:val="24"/>
          <w:szCs w:val="24"/>
          <w:shd w:val="clear" w:color="auto" w:fill="FFFFFF"/>
        </w:rPr>
        <w:t>urétérique</w:t>
      </w:r>
      <w:proofErr w:type="spellEnd"/>
      <w:r>
        <w:rPr>
          <w:rStyle w:val="Accentuation"/>
          <w:rFonts w:cs="Arial"/>
          <w:bCs/>
          <w:i w:val="0"/>
          <w:iCs w:val="0"/>
          <w:color w:val="000000" w:themeColor="text1"/>
          <w:sz w:val="24"/>
          <w:szCs w:val="24"/>
          <w:shd w:val="clear" w:color="auto" w:fill="FFFFFF"/>
        </w:rPr>
        <w:t xml:space="preserve"> </w:t>
      </w:r>
      <w:r w:rsidR="00AB4AA5">
        <w:rPr>
          <w:rStyle w:val="Accentuation"/>
          <w:rFonts w:cs="Arial"/>
          <w:bCs/>
          <w:i w:val="0"/>
          <w:iCs w:val="0"/>
          <w:color w:val="000000" w:themeColor="text1"/>
          <w:sz w:val="24"/>
          <w:szCs w:val="24"/>
          <w:shd w:val="clear" w:color="auto" w:fill="FFFFFF"/>
        </w:rPr>
        <w:t>qui contient l’ovaire de la multipare</w:t>
      </w:r>
    </w:p>
    <w:p w:rsidR="00AB4AA5" w:rsidRPr="002F794C" w:rsidRDefault="00AB4AA5" w:rsidP="002F794C">
      <w:pPr>
        <w:rPr>
          <w:sz w:val="24"/>
          <w:szCs w:val="24"/>
        </w:rPr>
      </w:pPr>
      <w:r>
        <w:rPr>
          <w:rStyle w:val="Accentuation"/>
          <w:rFonts w:cs="Arial"/>
          <w:bCs/>
          <w:i w:val="0"/>
          <w:iCs w:val="0"/>
          <w:color w:val="000000" w:themeColor="text1"/>
          <w:sz w:val="24"/>
          <w:szCs w:val="24"/>
          <w:shd w:val="clear" w:color="auto" w:fill="FFFFFF"/>
        </w:rPr>
        <w:t>20. En regard du muscle psoas passe le nerf sciatique qui va descendre entre ses 2 faisceaux ainsi que l’artère et la veine iliaque externe</w:t>
      </w:r>
    </w:p>
    <w:sectPr w:rsidR="00AB4AA5" w:rsidRPr="002F79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94C"/>
    <w:rsid w:val="000E0EE0"/>
    <w:rsid w:val="001264C9"/>
    <w:rsid w:val="002B7CEB"/>
    <w:rsid w:val="002F794C"/>
    <w:rsid w:val="006456EF"/>
    <w:rsid w:val="00651B63"/>
    <w:rsid w:val="00782061"/>
    <w:rsid w:val="007E0403"/>
    <w:rsid w:val="00A420C7"/>
    <w:rsid w:val="00A77C7E"/>
    <w:rsid w:val="00AB4AA5"/>
    <w:rsid w:val="00BC1732"/>
    <w:rsid w:val="00C733FC"/>
    <w:rsid w:val="00DD21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E3BECA-7BAA-44B6-9FAD-64CFA4F0D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F794C"/>
    <w:pPr>
      <w:ind w:left="720"/>
      <w:contextualSpacing/>
    </w:pPr>
  </w:style>
  <w:style w:type="character" w:styleId="Accentuation">
    <w:name w:val="Emphasis"/>
    <w:basedOn w:val="Policepardfaut"/>
    <w:uiPriority w:val="20"/>
    <w:qFormat/>
    <w:rsid w:val="002B7C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487</Words>
  <Characters>2684</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dc:creator>
  <cp:keywords/>
  <dc:description/>
  <cp:lastModifiedBy>Camille</cp:lastModifiedBy>
  <cp:revision>6</cp:revision>
  <dcterms:created xsi:type="dcterms:W3CDTF">2016-05-01T12:52:00Z</dcterms:created>
  <dcterms:modified xsi:type="dcterms:W3CDTF">2016-05-03T20:30:00Z</dcterms:modified>
</cp:coreProperties>
</file>