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4CB36" w14:textId="2FA02BDC" w:rsidR="001B038E" w:rsidRPr="0055059B" w:rsidRDefault="001B038E" w:rsidP="00277044">
      <w:pPr>
        <w:spacing w:after="0" w:line="240" w:lineRule="auto"/>
        <w:rPr>
          <w:rFonts w:eastAsia="Times New Roman" w:cs="Calibri"/>
          <w:b/>
          <w:sz w:val="32"/>
          <w:szCs w:val="32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1312" behindDoc="0" locked="0" layoutInCell="1" allowOverlap="1" wp14:anchorId="55EFA4AE" wp14:editId="646E9734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194B"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0BA58" wp14:editId="33A19792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rect w14:anchorId="57E0186A" id="Rectangle 2" o:spid="_x0000_s1026" style="position:absolute;margin-left:-7.9pt;margin-top:-9.55pt;width:536.55pt;height: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hQ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" filled="f" strokecolor="#a5a5a5 [2092]" strokeweight="2pt"/>
            </w:pict>
          </mc:Fallback>
        </mc:AlternateContent>
      </w:r>
      <w:r w:rsidR="00277044">
        <w:rPr>
          <w:rFonts w:eastAsia="Times New Roman" w:cs="Calibri"/>
          <w:b/>
          <w:i/>
          <w:sz w:val="40"/>
          <w:szCs w:val="40"/>
        </w:rPr>
        <w:t xml:space="preserve"> </w:t>
      </w:r>
      <w:r w:rsidR="006E375C">
        <w:rPr>
          <w:rFonts w:eastAsia="Times New Roman" w:cs="Calibri"/>
          <w:b/>
          <w:i/>
          <w:sz w:val="40"/>
          <w:szCs w:val="40"/>
        </w:rPr>
        <w:t>Devoir maison n°1</w:t>
      </w:r>
      <w:r w:rsidR="001E3F08">
        <w:rPr>
          <w:rFonts w:eastAsia="Times New Roman" w:cs="Calibri"/>
          <w:b/>
          <w:i/>
          <w:sz w:val="40"/>
          <w:szCs w:val="40"/>
        </w:rPr>
        <w:t xml:space="preserve">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 w:rsidR="00FF0B3B">
        <w:rPr>
          <w:rFonts w:eastAsia="Times New Roman" w:cs="Calibri"/>
          <w:b/>
          <w:sz w:val="40"/>
          <w:szCs w:val="40"/>
        </w:rPr>
        <w:t xml:space="preserve">UE </w:t>
      </w:r>
      <w:r w:rsidR="006E375C" w:rsidRPr="006E375C">
        <w:rPr>
          <w:rFonts w:eastAsia="Times New Roman" w:cs="Calibri"/>
          <w:b/>
          <w:sz w:val="40"/>
          <w:szCs w:val="40"/>
        </w:rPr>
        <w:t>10</w:t>
      </w:r>
      <w:r w:rsidR="00020705">
        <w:rPr>
          <w:rFonts w:eastAsia="Times New Roman" w:cs="Calibri"/>
          <w:b/>
          <w:sz w:val="40"/>
          <w:szCs w:val="40"/>
        </w:rPr>
        <w:t xml:space="preserve"> </w:t>
      </w:r>
    </w:p>
    <w:p w14:paraId="4B34C0A4" w14:textId="0B5A186E" w:rsidR="0055059B" w:rsidRPr="0055059B" w:rsidRDefault="007A10B3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2015-2016</w:t>
      </w:r>
      <w:r w:rsidR="006F2243">
        <w:rPr>
          <w:rFonts w:eastAsia="Times New Roman" w:cs="Calibri"/>
          <w:sz w:val="36"/>
          <w:szCs w:val="40"/>
        </w:rPr>
        <w:t> </w:t>
      </w:r>
    </w:p>
    <w:p w14:paraId="2BB6A48F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5610883" w14:textId="328D3942" w:rsidR="0050312F" w:rsidRDefault="0050312F" w:rsidP="000B6DC2">
      <w:pPr>
        <w:pStyle w:val="Sansinterligne"/>
        <w:tabs>
          <w:tab w:val="left" w:pos="1020"/>
        </w:tabs>
        <w:spacing w:after="160"/>
        <w:rPr>
          <w:rFonts w:ascii="Arial" w:eastAsia="Calibri" w:hAnsi="Arial" w:cs="Arial"/>
          <w:sz w:val="20"/>
          <w:szCs w:val="20"/>
        </w:rPr>
      </w:pPr>
    </w:p>
    <w:p w14:paraId="544C549C" w14:textId="406D316D" w:rsidR="002E168E" w:rsidRPr="000B6DC2" w:rsidRDefault="002E168E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t>QCM 1</w:t>
      </w:r>
      <w:r w:rsidR="00020705">
        <w:rPr>
          <w:rFonts w:ascii="Arial" w:hAnsi="Arial" w:cs="Arial"/>
          <w:b/>
          <w:sz w:val="20"/>
          <w:szCs w:val="20"/>
        </w:rPr>
        <w:t> :</w:t>
      </w:r>
      <w:r w:rsidR="00B143C9">
        <w:rPr>
          <w:rFonts w:ascii="Arial" w:hAnsi="Arial" w:cs="Arial"/>
          <w:b/>
          <w:sz w:val="20"/>
          <w:szCs w:val="20"/>
        </w:rPr>
        <w:t xml:space="preserve"> A propos des généralités, </w:t>
      </w:r>
      <w:proofErr w:type="gramStart"/>
      <w:r w:rsidR="00B143C9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B143C9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0F56C2EF" w14:textId="61E87406" w:rsidR="002E168E" w:rsidRPr="000B6DC2" w:rsidRDefault="00FA011C" w:rsidP="002E168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B143C9">
        <w:rPr>
          <w:rFonts w:ascii="Arial" w:hAnsi="Arial" w:cs="Arial"/>
          <w:sz w:val="20"/>
          <w:szCs w:val="20"/>
        </w:rPr>
        <w:t>La différenciation sexuelle du cerveau démarre au cours du développement fœtal</w:t>
      </w:r>
      <w:r w:rsidR="00804CC8">
        <w:rPr>
          <w:rFonts w:ascii="Arial" w:hAnsi="Arial" w:cs="Arial"/>
          <w:sz w:val="20"/>
          <w:szCs w:val="20"/>
        </w:rPr>
        <w:t>.</w:t>
      </w:r>
    </w:p>
    <w:p w14:paraId="0E8111A3" w14:textId="7835D1B0" w:rsidR="002E168E" w:rsidRPr="000B6DC2" w:rsidRDefault="002E168E" w:rsidP="002E168E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B143C9">
        <w:rPr>
          <w:rFonts w:ascii="Arial" w:hAnsi="Arial" w:cs="Arial"/>
          <w:sz w:val="20"/>
          <w:szCs w:val="20"/>
        </w:rPr>
        <w:t>Un transgenre qui pense être une femme aura un cerveau avec des images et des marqueurs de récepteurs qui correspondent à ce qu’on retrouve dans un cerveau féminin</w:t>
      </w:r>
      <w:r w:rsidR="00804CC8">
        <w:rPr>
          <w:rFonts w:ascii="Arial" w:hAnsi="Arial" w:cs="Arial"/>
          <w:sz w:val="20"/>
          <w:szCs w:val="20"/>
        </w:rPr>
        <w:t>.</w:t>
      </w:r>
    </w:p>
    <w:p w14:paraId="342FB1DB" w14:textId="686C3105" w:rsidR="00FA011C" w:rsidRDefault="00CB3032" w:rsidP="00FA011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9327F6">
        <w:rPr>
          <w:rFonts w:ascii="Arial" w:hAnsi="Arial" w:cs="Arial"/>
          <w:sz w:val="20"/>
          <w:szCs w:val="20"/>
        </w:rPr>
        <w:t xml:space="preserve"> </w:t>
      </w:r>
      <w:r w:rsidR="00B143C9">
        <w:rPr>
          <w:rFonts w:ascii="Arial" w:hAnsi="Arial" w:cs="Arial"/>
          <w:sz w:val="20"/>
          <w:szCs w:val="20"/>
        </w:rPr>
        <w:t>Le vieillissement chez la femme (ménopause) est progressif et continu</w:t>
      </w:r>
      <w:r w:rsidR="00804CC8">
        <w:rPr>
          <w:rFonts w:ascii="Arial" w:hAnsi="Arial" w:cs="Arial"/>
          <w:sz w:val="20"/>
          <w:szCs w:val="20"/>
        </w:rPr>
        <w:t>.</w:t>
      </w:r>
    </w:p>
    <w:p w14:paraId="5444C81F" w14:textId="3044BEC1" w:rsidR="002E168E" w:rsidRPr="000B6DC2" w:rsidRDefault="00CB3032" w:rsidP="00FA011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46520A">
        <w:rPr>
          <w:rFonts w:ascii="Arial" w:hAnsi="Arial" w:cs="Arial"/>
          <w:sz w:val="20"/>
          <w:szCs w:val="20"/>
        </w:rPr>
        <w:t>La mise en place du sexe gonadique concerne la différenciation des OGE et des OGI</w:t>
      </w:r>
      <w:r w:rsidR="00804CC8">
        <w:rPr>
          <w:rFonts w:ascii="Arial" w:hAnsi="Arial" w:cs="Arial"/>
          <w:sz w:val="20"/>
          <w:szCs w:val="20"/>
        </w:rPr>
        <w:t>.</w:t>
      </w:r>
    </w:p>
    <w:p w14:paraId="73BF2AA2" w14:textId="675290FA" w:rsidR="002E168E" w:rsidRDefault="002E168E" w:rsidP="002E168E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7A10B3"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6590B9D5" w14:textId="77777777" w:rsidR="007A10B3" w:rsidRDefault="007A10B3" w:rsidP="002E168E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3F421A24" w14:textId="15A9EE38" w:rsidR="007A10B3" w:rsidRPr="000B6DC2" w:rsidRDefault="007A10B3" w:rsidP="007A10B3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0B6DC2">
        <w:rPr>
          <w:rFonts w:ascii="Arial" w:hAnsi="Arial" w:cs="Arial"/>
          <w:b/>
          <w:sz w:val="20"/>
          <w:szCs w:val="20"/>
        </w:rPr>
        <w:t xml:space="preserve"> : </w:t>
      </w:r>
      <w:r w:rsidR="0046520A">
        <w:rPr>
          <w:rFonts w:ascii="Arial" w:hAnsi="Arial" w:cs="Arial"/>
          <w:b/>
          <w:sz w:val="20"/>
          <w:szCs w:val="20"/>
        </w:rPr>
        <w:t xml:space="preserve">A propos des généralités, </w:t>
      </w:r>
      <w:proofErr w:type="gramStart"/>
      <w:r w:rsidR="0046520A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46520A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65F1A72D" w14:textId="4C25E04B" w:rsidR="007A10B3" w:rsidRPr="000B6DC2" w:rsidRDefault="007A10B3" w:rsidP="007A10B3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46520A">
        <w:rPr>
          <w:rFonts w:ascii="Arial" w:hAnsi="Arial" w:cs="Arial"/>
          <w:sz w:val="20"/>
          <w:szCs w:val="20"/>
        </w:rPr>
        <w:t>La détermination sexuelle concerne uniquement la différenciation de la gonade dans le sens féminin ou masculin</w:t>
      </w:r>
      <w:r w:rsidR="00804CC8">
        <w:rPr>
          <w:rFonts w:ascii="Arial" w:hAnsi="Arial" w:cs="Arial"/>
          <w:sz w:val="20"/>
          <w:szCs w:val="20"/>
        </w:rPr>
        <w:t>.</w:t>
      </w:r>
    </w:p>
    <w:p w14:paraId="02A749DC" w14:textId="093CA962" w:rsidR="007A10B3" w:rsidRPr="000B6DC2" w:rsidRDefault="007A10B3" w:rsidP="007A10B3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46520A">
        <w:rPr>
          <w:rFonts w:ascii="Arial" w:hAnsi="Arial" w:cs="Arial"/>
          <w:sz w:val="20"/>
          <w:szCs w:val="20"/>
        </w:rPr>
        <w:t>C’est assez tard dans le développement embryonnaire que les cellules embryonnaires vont se diviser en 2 catégories : le soma et le germen</w:t>
      </w:r>
      <w:r w:rsidR="00804CC8">
        <w:rPr>
          <w:rFonts w:ascii="Arial" w:hAnsi="Arial" w:cs="Arial"/>
          <w:sz w:val="20"/>
          <w:szCs w:val="20"/>
        </w:rPr>
        <w:t>.</w:t>
      </w:r>
    </w:p>
    <w:p w14:paraId="66C92E99" w14:textId="3DC19875" w:rsidR="007A10B3" w:rsidRDefault="007A10B3" w:rsidP="007A10B3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46520A">
        <w:rPr>
          <w:rFonts w:ascii="Arial" w:hAnsi="Arial" w:cs="Arial"/>
          <w:sz w:val="20"/>
          <w:szCs w:val="20"/>
        </w:rPr>
        <w:t xml:space="preserve"> Les cellules germinales subissent le mécanisme de la mitose</w:t>
      </w:r>
      <w:r w:rsidR="00804CC8">
        <w:rPr>
          <w:rFonts w:ascii="Arial" w:hAnsi="Arial" w:cs="Arial"/>
          <w:sz w:val="20"/>
          <w:szCs w:val="20"/>
        </w:rPr>
        <w:t>.</w:t>
      </w:r>
    </w:p>
    <w:p w14:paraId="4F0D8DD5" w14:textId="34099F8C" w:rsidR="007A10B3" w:rsidRPr="000B6DC2" w:rsidRDefault="007A10B3" w:rsidP="007A10B3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804CC8">
        <w:rPr>
          <w:rFonts w:ascii="Arial" w:hAnsi="Arial" w:cs="Arial"/>
          <w:sz w:val="20"/>
          <w:szCs w:val="20"/>
        </w:rPr>
        <w:t>La fécondation permet de rétablir la diploïdie.</w:t>
      </w:r>
    </w:p>
    <w:p w14:paraId="56070496" w14:textId="77777777" w:rsidR="007A10B3" w:rsidRDefault="007A10B3" w:rsidP="007A10B3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6ED6D012" w14:textId="77777777" w:rsidR="00020705" w:rsidRDefault="00020705" w:rsidP="007A10B3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2740D323" w14:textId="3AD8E226" w:rsidR="00020705" w:rsidRPr="000B6DC2" w:rsidRDefault="00020705" w:rsidP="00020705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>
        <w:rPr>
          <w:rFonts w:ascii="Arial" w:hAnsi="Arial" w:cs="Arial"/>
          <w:b/>
          <w:sz w:val="20"/>
          <w:szCs w:val="20"/>
        </w:rPr>
        <w:t> :</w:t>
      </w:r>
      <w:r w:rsidR="00CE1EED">
        <w:rPr>
          <w:rFonts w:ascii="Arial" w:hAnsi="Arial" w:cs="Arial"/>
          <w:b/>
          <w:sz w:val="20"/>
          <w:szCs w:val="20"/>
        </w:rPr>
        <w:t xml:space="preserve"> A propos de la différenciation sexuelle, </w:t>
      </w:r>
      <w:proofErr w:type="gramStart"/>
      <w:r w:rsidR="00CE1EED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CE1EED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7CF0BB6E" w14:textId="75BB26A7" w:rsidR="00020705" w:rsidRPr="000B6DC2" w:rsidRDefault="00020705" w:rsidP="00020705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CE1EED">
        <w:rPr>
          <w:rFonts w:ascii="Arial" w:hAnsi="Arial" w:cs="Arial"/>
          <w:sz w:val="20"/>
          <w:szCs w:val="20"/>
        </w:rPr>
        <w:t>On a 3 stades dans la différenciation sexuelle du fœtus : établissement du sexe chromosomique, mise en place du sexe gonadique, involution du sexe phénotypique</w:t>
      </w:r>
      <w:r w:rsidR="000C260B">
        <w:rPr>
          <w:rFonts w:ascii="Arial" w:hAnsi="Arial" w:cs="Arial"/>
          <w:sz w:val="20"/>
          <w:szCs w:val="20"/>
        </w:rPr>
        <w:t>.</w:t>
      </w:r>
    </w:p>
    <w:p w14:paraId="3A53635F" w14:textId="16F619D7" w:rsidR="00020705" w:rsidRPr="000B6DC2" w:rsidRDefault="00020705" w:rsidP="00020705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0C260B">
        <w:rPr>
          <w:rFonts w:ascii="Arial" w:hAnsi="Arial" w:cs="Arial"/>
          <w:sz w:val="20"/>
          <w:szCs w:val="20"/>
        </w:rPr>
        <w:t>A aucun moment du développement on ne retrouve un stade commun aux deux sexes.</w:t>
      </w:r>
    </w:p>
    <w:p w14:paraId="2C180975" w14:textId="503C381E" w:rsidR="00020705" w:rsidRDefault="00020705" w:rsidP="00020705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0C260B">
        <w:rPr>
          <w:rFonts w:ascii="Arial" w:hAnsi="Arial" w:cs="Arial"/>
          <w:sz w:val="20"/>
          <w:szCs w:val="20"/>
        </w:rPr>
        <w:t>Ce ne sont pas seulement les gènes portés par le chromosome Y qui sont responsables de la détermination testiculaire.</w:t>
      </w:r>
    </w:p>
    <w:p w14:paraId="312F8E18" w14:textId="4513DD61" w:rsidR="00020705" w:rsidRPr="000B6DC2" w:rsidRDefault="00020705" w:rsidP="00020705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0C260B">
        <w:rPr>
          <w:rFonts w:ascii="Arial" w:hAnsi="Arial" w:cs="Arial"/>
          <w:sz w:val="20"/>
          <w:szCs w:val="20"/>
        </w:rPr>
        <w:t>La région pseudo-autosomale est la seule région des chromosomes sexuels pour lesquels on a les deux allèles des gènes (maternel et paternel).</w:t>
      </w:r>
    </w:p>
    <w:p w14:paraId="086AF83A" w14:textId="77777777" w:rsidR="00020705" w:rsidRDefault="00020705" w:rsidP="00020705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0AC183D1" w14:textId="77777777" w:rsidR="00020705" w:rsidRDefault="00020705" w:rsidP="00020705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302ABA24" w14:textId="3E124395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b/>
          <w:sz w:val="20"/>
          <w:szCs w:val="20"/>
        </w:rPr>
        <w:t> :</w:t>
      </w:r>
      <w:r w:rsidR="00F3551A">
        <w:rPr>
          <w:rFonts w:ascii="Arial" w:hAnsi="Arial" w:cs="Arial"/>
          <w:b/>
          <w:sz w:val="20"/>
          <w:szCs w:val="20"/>
        </w:rPr>
        <w:t xml:space="preserve"> </w:t>
      </w:r>
      <w:r w:rsidR="00270E44">
        <w:rPr>
          <w:rFonts w:ascii="Arial" w:hAnsi="Arial" w:cs="Arial"/>
          <w:b/>
          <w:sz w:val="20"/>
          <w:szCs w:val="20"/>
        </w:rPr>
        <w:t xml:space="preserve">A propos de la différenciation sexuelle, </w:t>
      </w:r>
      <w:proofErr w:type="gramStart"/>
      <w:r w:rsidR="00270E44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270E44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7233B39E" w14:textId="65CA26E1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0C260B">
        <w:rPr>
          <w:rFonts w:ascii="Arial" w:hAnsi="Arial" w:cs="Arial"/>
          <w:sz w:val="20"/>
          <w:szCs w:val="20"/>
        </w:rPr>
        <w:t>Le gène SRY est indispensable à la détermination testiculaire.</w:t>
      </w:r>
    </w:p>
    <w:p w14:paraId="447EAB9C" w14:textId="32B621CE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0C260B">
        <w:rPr>
          <w:rFonts w:ascii="Arial" w:hAnsi="Arial" w:cs="Arial"/>
          <w:sz w:val="20"/>
          <w:szCs w:val="20"/>
        </w:rPr>
        <w:t>Les facteurs AZF sont indispensables à la survie des cellules germinales mâles et à leur prolifération</w:t>
      </w:r>
      <w:r w:rsidR="00270E44">
        <w:rPr>
          <w:rFonts w:ascii="Arial" w:hAnsi="Arial" w:cs="Arial"/>
          <w:sz w:val="20"/>
          <w:szCs w:val="20"/>
        </w:rPr>
        <w:t>. Ces facteurs contrôlent la fertilité.</w:t>
      </w:r>
    </w:p>
    <w:p w14:paraId="4A8A5936" w14:textId="20B54128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681331">
        <w:rPr>
          <w:rFonts w:ascii="Arial" w:hAnsi="Arial" w:cs="Arial"/>
          <w:sz w:val="20"/>
          <w:szCs w:val="20"/>
        </w:rPr>
        <w:t>Chez la femme, un des deux chromosomes X est inactivé. C’est le X d’origine paternelle qui est inactivé.</w:t>
      </w:r>
    </w:p>
    <w:p w14:paraId="388D48C8" w14:textId="7DA4DFC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6867E3">
        <w:rPr>
          <w:rFonts w:ascii="Arial" w:hAnsi="Arial" w:cs="Arial"/>
          <w:sz w:val="20"/>
          <w:szCs w:val="20"/>
        </w:rPr>
        <w:t>Les cellules germinales primordiales sont des cellules sexuelles indifférenciées.</w:t>
      </w:r>
    </w:p>
    <w:p w14:paraId="1F2DE42B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3E971259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0903AAF" w14:textId="0101A05C" w:rsidR="00270E44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 w:rsidRPr="000B6DC2">
        <w:rPr>
          <w:rFonts w:ascii="Arial" w:hAnsi="Arial" w:cs="Arial"/>
          <w:b/>
          <w:sz w:val="20"/>
          <w:szCs w:val="20"/>
        </w:rPr>
        <w:t xml:space="preserve"> : </w:t>
      </w:r>
      <w:r w:rsidR="00270E44">
        <w:rPr>
          <w:rFonts w:ascii="Arial" w:hAnsi="Arial" w:cs="Arial"/>
          <w:b/>
          <w:sz w:val="20"/>
          <w:szCs w:val="20"/>
        </w:rPr>
        <w:t xml:space="preserve">A propos des pathologies, </w:t>
      </w:r>
      <w:proofErr w:type="gramStart"/>
      <w:r w:rsidR="00270E44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270E44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719DFBA7" w14:textId="53A5B9F8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270E44">
        <w:rPr>
          <w:rFonts w:ascii="Arial" w:hAnsi="Arial" w:cs="Arial"/>
          <w:sz w:val="20"/>
          <w:szCs w:val="20"/>
        </w:rPr>
        <w:t>Un individu 47XXY sera atteint du</w:t>
      </w:r>
      <w:r w:rsidR="00681331">
        <w:rPr>
          <w:rFonts w:ascii="Arial" w:hAnsi="Arial" w:cs="Arial"/>
          <w:sz w:val="20"/>
          <w:szCs w:val="20"/>
        </w:rPr>
        <w:t xml:space="preserve"> syndrome de Turner.</w:t>
      </w:r>
    </w:p>
    <w:p w14:paraId="54CC356B" w14:textId="3E7A70BB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270E44">
        <w:rPr>
          <w:rFonts w:ascii="Arial" w:hAnsi="Arial" w:cs="Arial"/>
          <w:sz w:val="20"/>
          <w:szCs w:val="20"/>
        </w:rPr>
        <w:t>Un individu 45 Y0 aura des OGE et OGI masculins mais des gonades indifférenciées</w:t>
      </w:r>
      <w:r w:rsidR="00681331">
        <w:rPr>
          <w:rFonts w:ascii="Arial" w:hAnsi="Arial" w:cs="Arial"/>
          <w:sz w:val="20"/>
          <w:szCs w:val="20"/>
        </w:rPr>
        <w:t>.</w:t>
      </w:r>
    </w:p>
    <w:p w14:paraId="392A3E89" w14:textId="5ADF1F0C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681331">
        <w:rPr>
          <w:rFonts w:ascii="Arial" w:hAnsi="Arial" w:cs="Arial"/>
          <w:sz w:val="20"/>
          <w:szCs w:val="20"/>
        </w:rPr>
        <w:t xml:space="preserve"> Les femmes atteintes du syndrome de Turner sont de petite taille.</w:t>
      </w:r>
    </w:p>
    <w:p w14:paraId="24ADE07E" w14:textId="09B79766" w:rsidR="006E375C" w:rsidRPr="000B6DC2" w:rsidRDefault="006E375C" w:rsidP="006E375C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681331">
        <w:rPr>
          <w:rFonts w:ascii="Arial" w:hAnsi="Arial" w:cs="Arial"/>
          <w:sz w:val="20"/>
          <w:szCs w:val="20"/>
        </w:rPr>
        <w:t>Un individu atteint du syndrome de Klinefelter est un homme.</w:t>
      </w:r>
      <w:r>
        <w:rPr>
          <w:rFonts w:ascii="Arial" w:hAnsi="Arial" w:cs="Arial"/>
          <w:sz w:val="20"/>
          <w:szCs w:val="20"/>
        </w:rPr>
        <w:tab/>
      </w:r>
    </w:p>
    <w:p w14:paraId="3D8A09A1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73A046BE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66C6DE62" w14:textId="2CF0BED4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>
        <w:rPr>
          <w:rFonts w:ascii="Arial" w:hAnsi="Arial" w:cs="Arial"/>
          <w:b/>
          <w:sz w:val="20"/>
          <w:szCs w:val="20"/>
        </w:rPr>
        <w:t> :</w:t>
      </w:r>
      <w:r w:rsidR="006867E3">
        <w:rPr>
          <w:rFonts w:ascii="Arial" w:hAnsi="Arial" w:cs="Arial"/>
          <w:b/>
          <w:sz w:val="20"/>
          <w:szCs w:val="20"/>
        </w:rPr>
        <w:t xml:space="preserve"> A propos des dates (&lt;3) du stade indifférencié, </w:t>
      </w:r>
      <w:proofErr w:type="gramStart"/>
      <w:r w:rsidR="006867E3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6867E3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764E3D13" w14:textId="15587EA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6867E3">
        <w:rPr>
          <w:rFonts w:ascii="Arial" w:hAnsi="Arial" w:cs="Arial"/>
          <w:sz w:val="20"/>
          <w:szCs w:val="20"/>
        </w:rPr>
        <w:t>Le canal de Muller apparait à la 4</w:t>
      </w:r>
      <w:r w:rsidR="006867E3" w:rsidRPr="006867E3">
        <w:rPr>
          <w:rFonts w:ascii="Arial" w:hAnsi="Arial" w:cs="Arial"/>
          <w:sz w:val="20"/>
          <w:szCs w:val="20"/>
          <w:vertAlign w:val="superscript"/>
        </w:rPr>
        <w:t>ème</w:t>
      </w:r>
      <w:r w:rsidR="006867E3">
        <w:rPr>
          <w:rFonts w:ascii="Arial" w:hAnsi="Arial" w:cs="Arial"/>
          <w:sz w:val="20"/>
          <w:szCs w:val="20"/>
        </w:rPr>
        <w:t xml:space="preserve"> semaine.</w:t>
      </w:r>
    </w:p>
    <w:p w14:paraId="3289FC30" w14:textId="42CD6868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6867E3">
        <w:rPr>
          <w:rFonts w:ascii="Arial" w:hAnsi="Arial" w:cs="Arial"/>
          <w:sz w:val="20"/>
          <w:szCs w:val="20"/>
        </w:rPr>
        <w:t>Le tubercule génital est en place à la 5</w:t>
      </w:r>
      <w:r w:rsidR="006867E3" w:rsidRPr="006867E3">
        <w:rPr>
          <w:rFonts w:ascii="Arial" w:hAnsi="Arial" w:cs="Arial"/>
          <w:sz w:val="20"/>
          <w:szCs w:val="20"/>
          <w:vertAlign w:val="superscript"/>
        </w:rPr>
        <w:t>ème</w:t>
      </w:r>
      <w:r w:rsidR="006867E3">
        <w:rPr>
          <w:rFonts w:ascii="Arial" w:hAnsi="Arial" w:cs="Arial"/>
          <w:sz w:val="20"/>
          <w:szCs w:val="20"/>
        </w:rPr>
        <w:t xml:space="preserve"> semaine.</w:t>
      </w:r>
    </w:p>
    <w:p w14:paraId="729C81B2" w14:textId="57448B30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6867E3">
        <w:rPr>
          <w:rFonts w:ascii="Arial" w:hAnsi="Arial" w:cs="Arial"/>
          <w:sz w:val="20"/>
          <w:szCs w:val="20"/>
        </w:rPr>
        <w:t>Le canal de Wolff et le cloaque apparaissent à 1 mois de gestation.</w:t>
      </w:r>
    </w:p>
    <w:p w14:paraId="792875B5" w14:textId="18380810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975F67">
        <w:rPr>
          <w:rFonts w:ascii="Arial" w:hAnsi="Arial" w:cs="Arial"/>
          <w:sz w:val="20"/>
          <w:szCs w:val="20"/>
        </w:rPr>
        <w:t>L’éminence cloacale apparait à la 7</w:t>
      </w:r>
      <w:r w:rsidR="00975F67" w:rsidRPr="00975F67">
        <w:rPr>
          <w:rFonts w:ascii="Arial" w:hAnsi="Arial" w:cs="Arial"/>
          <w:sz w:val="20"/>
          <w:szCs w:val="20"/>
          <w:vertAlign w:val="superscript"/>
        </w:rPr>
        <w:t>ème</w:t>
      </w:r>
      <w:r w:rsidR="00975F67">
        <w:rPr>
          <w:rFonts w:ascii="Arial" w:hAnsi="Arial" w:cs="Arial"/>
          <w:sz w:val="20"/>
          <w:szCs w:val="20"/>
        </w:rPr>
        <w:t xml:space="preserve"> semaine.</w:t>
      </w:r>
    </w:p>
    <w:p w14:paraId="20389E43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5281EAFA" w14:textId="229A34C3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F0A620F" w14:textId="4BB6F76C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7</w:t>
      </w:r>
      <w:r>
        <w:rPr>
          <w:rFonts w:ascii="Arial" w:hAnsi="Arial" w:cs="Arial"/>
          <w:b/>
          <w:sz w:val="20"/>
          <w:szCs w:val="20"/>
        </w:rPr>
        <w:t> :</w:t>
      </w:r>
      <w:r w:rsidR="00975F67">
        <w:rPr>
          <w:rFonts w:ascii="Arial" w:hAnsi="Arial" w:cs="Arial"/>
          <w:b/>
          <w:sz w:val="20"/>
          <w:szCs w:val="20"/>
        </w:rPr>
        <w:t xml:space="preserve"> A propos de la différenciation sexuelle, </w:t>
      </w:r>
      <w:proofErr w:type="gramStart"/>
      <w:r w:rsidR="00975F67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975F67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1C60A3A1" w14:textId="2349AF0E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975F67">
        <w:rPr>
          <w:rFonts w:ascii="Arial" w:hAnsi="Arial" w:cs="Arial"/>
          <w:sz w:val="20"/>
          <w:szCs w:val="20"/>
        </w:rPr>
        <w:t>L’AMH permet le développement des canaux de Muller.</w:t>
      </w:r>
    </w:p>
    <w:p w14:paraId="42722A95" w14:textId="721C9E6C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975F67">
        <w:rPr>
          <w:rFonts w:ascii="Arial" w:hAnsi="Arial" w:cs="Arial"/>
          <w:sz w:val="20"/>
          <w:szCs w:val="20"/>
        </w:rPr>
        <w:t>Les cellules germinales primordiales apparaissent dans la partie postérieure de la vésicule vitelline, près de l’allantoïde.</w:t>
      </w:r>
    </w:p>
    <w:p w14:paraId="30D880D4" w14:textId="64048951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975F67">
        <w:rPr>
          <w:rFonts w:ascii="Arial" w:hAnsi="Arial" w:cs="Arial"/>
          <w:sz w:val="20"/>
          <w:szCs w:val="20"/>
        </w:rPr>
        <w:t>Les cellules germinales vont migrer le long de la paroi postérieure du tube digestif pour arriver au niveau des crêtes génitales.</w:t>
      </w:r>
    </w:p>
    <w:p w14:paraId="7CD311AA" w14:textId="68106710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975F67">
        <w:rPr>
          <w:rFonts w:ascii="Arial" w:hAnsi="Arial" w:cs="Arial"/>
          <w:sz w:val="20"/>
          <w:szCs w:val="20"/>
        </w:rPr>
        <w:t>Le 1</w:t>
      </w:r>
      <w:r w:rsidR="00975F67" w:rsidRPr="00975F67">
        <w:rPr>
          <w:rFonts w:ascii="Arial" w:hAnsi="Arial" w:cs="Arial"/>
          <w:sz w:val="20"/>
          <w:szCs w:val="20"/>
          <w:vertAlign w:val="superscript"/>
        </w:rPr>
        <w:t>er</w:t>
      </w:r>
      <w:r w:rsidR="00975F67">
        <w:rPr>
          <w:rFonts w:ascii="Arial" w:hAnsi="Arial" w:cs="Arial"/>
          <w:sz w:val="20"/>
          <w:szCs w:val="20"/>
        </w:rPr>
        <w:t xml:space="preserve"> évènement de la détermination testiculaire est la différenciation des cellules mésenchymateuses en cellules de Sertoli.</w:t>
      </w:r>
    </w:p>
    <w:p w14:paraId="48599FFE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72915A2C" w14:textId="77777777" w:rsidR="00A11A4C" w:rsidRDefault="00A11A4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14:paraId="247789EF" w14:textId="0D4D891A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8</w:t>
      </w:r>
      <w:r w:rsidRPr="000B6DC2">
        <w:rPr>
          <w:rFonts w:ascii="Arial" w:hAnsi="Arial" w:cs="Arial"/>
          <w:b/>
          <w:sz w:val="20"/>
          <w:szCs w:val="20"/>
        </w:rPr>
        <w:t xml:space="preserve"> : </w:t>
      </w:r>
      <w:r w:rsidR="00F3551A">
        <w:rPr>
          <w:rFonts w:ascii="Arial" w:hAnsi="Arial" w:cs="Arial"/>
          <w:b/>
          <w:sz w:val="20"/>
          <w:szCs w:val="20"/>
        </w:rPr>
        <w:t xml:space="preserve">A propos de la mise en place du sexe gonadique, </w:t>
      </w:r>
      <w:proofErr w:type="gramStart"/>
      <w:r w:rsidR="00F3551A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F3551A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18F35F55" w14:textId="3E98462F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F3551A">
        <w:rPr>
          <w:rFonts w:ascii="Arial" w:hAnsi="Arial" w:cs="Arial"/>
          <w:sz w:val="20"/>
          <w:szCs w:val="20"/>
        </w:rPr>
        <w:t>A un certain étage du fœtus, le tissu mésenchymateux du corps de Wolff va s’épaissir et donner la crête génitale.</w:t>
      </w:r>
    </w:p>
    <w:p w14:paraId="4B9CFA9F" w14:textId="060077F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F3551A">
        <w:rPr>
          <w:rFonts w:ascii="Arial" w:hAnsi="Arial" w:cs="Arial"/>
          <w:sz w:val="20"/>
          <w:szCs w:val="20"/>
        </w:rPr>
        <w:t xml:space="preserve">La gonade </w:t>
      </w:r>
      <w:r w:rsidR="00A17974">
        <w:rPr>
          <w:rFonts w:ascii="Arial" w:hAnsi="Arial" w:cs="Arial"/>
          <w:sz w:val="20"/>
          <w:szCs w:val="20"/>
        </w:rPr>
        <w:t xml:space="preserve">a </w:t>
      </w:r>
      <w:r w:rsidR="00F3551A">
        <w:rPr>
          <w:rFonts w:ascii="Arial" w:hAnsi="Arial" w:cs="Arial"/>
          <w:sz w:val="20"/>
          <w:szCs w:val="20"/>
        </w:rPr>
        <w:t>deux types de cellules : les cellules germinales et des cellules somatiques.</w:t>
      </w:r>
    </w:p>
    <w:p w14:paraId="60478F2F" w14:textId="56913249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A17974">
        <w:rPr>
          <w:rFonts w:ascii="Arial" w:hAnsi="Arial" w:cs="Arial"/>
          <w:sz w:val="20"/>
          <w:szCs w:val="20"/>
        </w:rPr>
        <w:t xml:space="preserve"> La différenciation testiculaire à lieu entre la 6</w:t>
      </w:r>
      <w:r w:rsidR="00A17974" w:rsidRPr="00A17974">
        <w:rPr>
          <w:rFonts w:ascii="Arial" w:hAnsi="Arial" w:cs="Arial"/>
          <w:sz w:val="20"/>
          <w:szCs w:val="20"/>
          <w:vertAlign w:val="superscript"/>
        </w:rPr>
        <w:t>ème</w:t>
      </w:r>
      <w:r w:rsidR="00A17974">
        <w:rPr>
          <w:rFonts w:ascii="Arial" w:hAnsi="Arial" w:cs="Arial"/>
          <w:sz w:val="20"/>
          <w:szCs w:val="20"/>
        </w:rPr>
        <w:t xml:space="preserve"> et la 7</w:t>
      </w:r>
      <w:r w:rsidR="00A17974" w:rsidRPr="00A17974">
        <w:rPr>
          <w:rFonts w:ascii="Arial" w:hAnsi="Arial" w:cs="Arial"/>
          <w:sz w:val="20"/>
          <w:szCs w:val="20"/>
          <w:vertAlign w:val="superscript"/>
        </w:rPr>
        <w:t>ème</w:t>
      </w:r>
      <w:r w:rsidR="00A17974">
        <w:rPr>
          <w:rFonts w:ascii="Arial" w:hAnsi="Arial" w:cs="Arial"/>
          <w:sz w:val="20"/>
          <w:szCs w:val="20"/>
        </w:rPr>
        <w:t xml:space="preserve"> semaine.</w:t>
      </w:r>
    </w:p>
    <w:p w14:paraId="344CEDB8" w14:textId="520A71EE" w:rsidR="006E375C" w:rsidRPr="000B6DC2" w:rsidRDefault="006E375C" w:rsidP="006E375C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A17974">
        <w:rPr>
          <w:rFonts w:ascii="Arial" w:hAnsi="Arial" w:cs="Arial"/>
          <w:sz w:val="20"/>
          <w:szCs w:val="20"/>
        </w:rPr>
        <w:t>Les crêtes génitales représentent l’</w:t>
      </w:r>
      <w:r w:rsidR="00E92524">
        <w:rPr>
          <w:rFonts w:ascii="Arial" w:hAnsi="Arial" w:cs="Arial"/>
          <w:sz w:val="20"/>
          <w:szCs w:val="20"/>
        </w:rPr>
        <w:t>ébauche des</w:t>
      </w:r>
      <w:r w:rsidR="00A17974">
        <w:rPr>
          <w:rFonts w:ascii="Arial" w:hAnsi="Arial" w:cs="Arial"/>
          <w:sz w:val="20"/>
          <w:szCs w:val="20"/>
        </w:rPr>
        <w:t xml:space="preserve"> future</w:t>
      </w:r>
      <w:r w:rsidR="00E92524">
        <w:rPr>
          <w:rFonts w:ascii="Arial" w:hAnsi="Arial" w:cs="Arial"/>
          <w:sz w:val="20"/>
          <w:szCs w:val="20"/>
        </w:rPr>
        <w:t>s</w:t>
      </w:r>
      <w:r w:rsidR="00A17974">
        <w:rPr>
          <w:rFonts w:ascii="Arial" w:hAnsi="Arial" w:cs="Arial"/>
          <w:sz w:val="20"/>
          <w:szCs w:val="20"/>
        </w:rPr>
        <w:t xml:space="preserve"> gonade</w:t>
      </w:r>
      <w:r w:rsidR="00E92524">
        <w:rPr>
          <w:rFonts w:ascii="Arial" w:hAnsi="Arial" w:cs="Arial"/>
          <w:sz w:val="20"/>
          <w:szCs w:val="20"/>
        </w:rPr>
        <w:t>s</w:t>
      </w:r>
      <w:r w:rsidR="00A17974">
        <w:rPr>
          <w:rFonts w:ascii="Arial" w:hAnsi="Arial" w:cs="Arial"/>
          <w:sz w:val="20"/>
          <w:szCs w:val="20"/>
        </w:rPr>
        <w:t>.</w:t>
      </w:r>
    </w:p>
    <w:p w14:paraId="0648780D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253233C9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1F96E2E" w14:textId="66625868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9</w:t>
      </w:r>
      <w:r>
        <w:rPr>
          <w:rFonts w:ascii="Arial" w:hAnsi="Arial" w:cs="Arial"/>
          <w:b/>
          <w:sz w:val="20"/>
          <w:szCs w:val="20"/>
        </w:rPr>
        <w:t> :</w:t>
      </w:r>
      <w:r w:rsidR="00AE76BE">
        <w:rPr>
          <w:rFonts w:ascii="Arial" w:hAnsi="Arial" w:cs="Arial"/>
          <w:b/>
          <w:sz w:val="20"/>
          <w:szCs w:val="20"/>
        </w:rPr>
        <w:t xml:space="preserve"> A propos de la différenciation testiculaire, </w:t>
      </w:r>
      <w:proofErr w:type="gramStart"/>
      <w:r w:rsidR="00AE76BE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AE76BE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29048B1E" w14:textId="4171B27D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AE76BE">
        <w:rPr>
          <w:rFonts w:ascii="Arial" w:hAnsi="Arial" w:cs="Arial"/>
          <w:sz w:val="20"/>
          <w:szCs w:val="20"/>
        </w:rPr>
        <w:t>L’apparition des cellules de Leydig va permettre la différenciation des cellules mésenchymateuses en cellules de Sertoli.</w:t>
      </w:r>
    </w:p>
    <w:p w14:paraId="2E59BE6A" w14:textId="739ACE3D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AE76BE">
        <w:rPr>
          <w:rFonts w:ascii="Arial" w:hAnsi="Arial" w:cs="Arial"/>
          <w:sz w:val="20"/>
          <w:szCs w:val="20"/>
        </w:rPr>
        <w:t>Les cellules de Sertoli fabriquent de la testostérone.</w:t>
      </w:r>
    </w:p>
    <w:p w14:paraId="43EAAB0B" w14:textId="40C36F52" w:rsidR="006E375C" w:rsidRDefault="006E375C" w:rsidP="00AE76BE">
      <w:pPr>
        <w:pStyle w:val="Sansinterligne"/>
        <w:tabs>
          <w:tab w:val="left" w:pos="8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AE76BE">
        <w:rPr>
          <w:rFonts w:ascii="Arial" w:hAnsi="Arial" w:cs="Arial"/>
          <w:sz w:val="20"/>
          <w:szCs w:val="20"/>
        </w:rPr>
        <w:t>Les OGE sont testostérone dépendants.</w:t>
      </w:r>
    </w:p>
    <w:p w14:paraId="1CB0AA3A" w14:textId="09E9E0CE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AE76BE">
        <w:rPr>
          <w:rFonts w:ascii="Arial" w:hAnsi="Arial" w:cs="Arial"/>
          <w:sz w:val="20"/>
          <w:szCs w:val="20"/>
        </w:rPr>
        <w:t>A la 12</w:t>
      </w:r>
      <w:r w:rsidR="00AE76BE" w:rsidRPr="00AE76BE">
        <w:rPr>
          <w:rFonts w:ascii="Arial" w:hAnsi="Arial" w:cs="Arial"/>
          <w:sz w:val="20"/>
          <w:szCs w:val="20"/>
          <w:vertAlign w:val="superscript"/>
        </w:rPr>
        <w:t>ème</w:t>
      </w:r>
      <w:r w:rsidR="00AE76BE">
        <w:rPr>
          <w:rFonts w:ascii="Arial" w:hAnsi="Arial" w:cs="Arial"/>
          <w:sz w:val="20"/>
          <w:szCs w:val="20"/>
        </w:rPr>
        <w:t xml:space="preserve"> semaines de développement embryonnaire, la différenciation testiculaire est terminée et la spermatogénèse a débuté.</w:t>
      </w:r>
    </w:p>
    <w:p w14:paraId="6B3E2047" w14:textId="6A24BEF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</w:t>
      </w:r>
      <w:r w:rsidR="00CF2B92">
        <w:rPr>
          <w:rFonts w:ascii="Arial" w:eastAsia="Calibri" w:hAnsi="Arial" w:cs="Arial"/>
          <w:sz w:val="20"/>
          <w:szCs w:val="20"/>
        </w:rPr>
        <w:t>tions A, B, C et D sont fausses</w:t>
      </w:r>
    </w:p>
    <w:p w14:paraId="61ADF57F" w14:textId="5473C65A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A7E897A" w14:textId="07F6D93A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  <w:u w:val="single"/>
        </w:rPr>
        <w:t>0</w:t>
      </w:r>
      <w:r>
        <w:rPr>
          <w:rFonts w:ascii="Arial" w:hAnsi="Arial" w:cs="Arial"/>
          <w:b/>
          <w:sz w:val="20"/>
          <w:szCs w:val="20"/>
        </w:rPr>
        <w:t> :</w:t>
      </w:r>
      <w:r w:rsidR="00C64B6A">
        <w:rPr>
          <w:rFonts w:ascii="Arial" w:hAnsi="Arial" w:cs="Arial"/>
          <w:b/>
          <w:sz w:val="20"/>
          <w:szCs w:val="20"/>
        </w:rPr>
        <w:t xml:space="preserve"> A propos de la différenciation sexuelle, </w:t>
      </w:r>
      <w:proofErr w:type="gramStart"/>
      <w:r w:rsidR="00C64B6A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C64B6A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036CBBC8" w14:textId="6CC37234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C64B6A">
        <w:rPr>
          <w:rFonts w:ascii="Arial" w:hAnsi="Arial" w:cs="Arial"/>
          <w:sz w:val="20"/>
          <w:szCs w:val="20"/>
        </w:rPr>
        <w:t>La production de testostérone est maximale au 6</w:t>
      </w:r>
      <w:r w:rsidR="00C64B6A" w:rsidRPr="00C64B6A">
        <w:rPr>
          <w:rFonts w:ascii="Arial" w:hAnsi="Arial" w:cs="Arial"/>
          <w:sz w:val="20"/>
          <w:szCs w:val="20"/>
          <w:vertAlign w:val="superscript"/>
        </w:rPr>
        <w:t>ème</w:t>
      </w:r>
      <w:r w:rsidR="00C64B6A">
        <w:rPr>
          <w:rFonts w:ascii="Arial" w:hAnsi="Arial" w:cs="Arial"/>
          <w:sz w:val="20"/>
          <w:szCs w:val="20"/>
        </w:rPr>
        <w:t xml:space="preserve"> mois chez le fœtus masculin.</w:t>
      </w:r>
    </w:p>
    <w:p w14:paraId="7D6C8C71" w14:textId="4785CD8A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C64B6A">
        <w:rPr>
          <w:rFonts w:ascii="Arial" w:hAnsi="Arial" w:cs="Arial"/>
          <w:sz w:val="20"/>
          <w:szCs w:val="20"/>
        </w:rPr>
        <w:t>Lors de la différenciation ovarienne, les cordons sexuels persistent en région corticale.</w:t>
      </w:r>
    </w:p>
    <w:p w14:paraId="4854D25F" w14:textId="38BED612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C64B6A">
        <w:rPr>
          <w:rFonts w:ascii="Arial" w:hAnsi="Arial" w:cs="Arial"/>
          <w:sz w:val="20"/>
          <w:szCs w:val="20"/>
        </w:rPr>
        <w:t>Chez le fœtus féminin, les canaux de Muller donneront : pavillon, trompes, utérus, col de l’utérus, et 2/3 internes du vagin.</w:t>
      </w:r>
    </w:p>
    <w:p w14:paraId="79176225" w14:textId="0D19EED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C64B6A">
        <w:rPr>
          <w:rFonts w:ascii="Arial" w:hAnsi="Arial" w:cs="Arial"/>
          <w:sz w:val="20"/>
          <w:szCs w:val="20"/>
        </w:rPr>
        <w:t>La prolifération des cellules germinales femelle continuent après la naissance pendant quelques mois.</w:t>
      </w:r>
    </w:p>
    <w:p w14:paraId="111D2B44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27119311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6843B1F7" w14:textId="33C22189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11</w:t>
      </w:r>
      <w:r w:rsidRPr="000B6DC2">
        <w:rPr>
          <w:rFonts w:ascii="Arial" w:hAnsi="Arial" w:cs="Arial"/>
          <w:b/>
          <w:sz w:val="20"/>
          <w:szCs w:val="20"/>
        </w:rPr>
        <w:t xml:space="preserve"> : </w:t>
      </w:r>
      <w:r w:rsidR="00E22D87">
        <w:rPr>
          <w:rFonts w:ascii="Arial" w:hAnsi="Arial" w:cs="Arial"/>
          <w:b/>
          <w:sz w:val="20"/>
          <w:szCs w:val="20"/>
        </w:rPr>
        <w:t xml:space="preserve">A propos de la différenciation sexuelle, </w:t>
      </w:r>
      <w:proofErr w:type="gramStart"/>
      <w:r w:rsidR="00E22D87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E22D87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080F32D1" w14:textId="0CBFA625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7D37EA">
        <w:rPr>
          <w:rFonts w:ascii="Arial" w:hAnsi="Arial" w:cs="Arial"/>
          <w:sz w:val="20"/>
          <w:szCs w:val="20"/>
        </w:rPr>
        <w:t xml:space="preserve">Une petite partie de la prostate est un vestige des </w:t>
      </w:r>
      <w:r w:rsidR="00E22D87">
        <w:rPr>
          <w:rFonts w:ascii="Arial" w:hAnsi="Arial" w:cs="Arial"/>
          <w:sz w:val="20"/>
          <w:szCs w:val="20"/>
        </w:rPr>
        <w:t>structures Mülleriennes.</w:t>
      </w:r>
      <w:r w:rsidR="007D37EA">
        <w:rPr>
          <w:rFonts w:ascii="Arial" w:hAnsi="Arial" w:cs="Arial"/>
          <w:sz w:val="20"/>
          <w:szCs w:val="20"/>
        </w:rPr>
        <w:t xml:space="preserve"> </w:t>
      </w:r>
    </w:p>
    <w:p w14:paraId="4A1D267C" w14:textId="3CFB28F0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E22D87">
        <w:rPr>
          <w:rFonts w:ascii="Arial" w:hAnsi="Arial" w:cs="Arial"/>
          <w:sz w:val="20"/>
          <w:szCs w:val="20"/>
        </w:rPr>
        <w:t>Chez le fœtus féminin, la partie supérieure des canaux de Wolff fusionnent.</w:t>
      </w:r>
    </w:p>
    <w:p w14:paraId="5B5A437A" w14:textId="6A957CCE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E22D87">
        <w:rPr>
          <w:rFonts w:ascii="Arial" w:hAnsi="Arial" w:cs="Arial"/>
          <w:sz w:val="20"/>
          <w:szCs w:val="20"/>
        </w:rPr>
        <w:t xml:space="preserve"> Chez le fœtus féminin, la partie inférieure des canaux de Wolff fusionnent.</w:t>
      </w:r>
    </w:p>
    <w:p w14:paraId="30DB96C2" w14:textId="5E31F280" w:rsidR="006E375C" w:rsidRPr="000B6DC2" w:rsidRDefault="006E375C" w:rsidP="006E375C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E22D87">
        <w:rPr>
          <w:rFonts w:ascii="Arial" w:hAnsi="Arial" w:cs="Arial"/>
          <w:sz w:val="20"/>
          <w:szCs w:val="20"/>
        </w:rPr>
        <w:t>La résorption de la cloison médiane de l’utérus à lieu à la fin du 3</w:t>
      </w:r>
      <w:r w:rsidR="00E22D87" w:rsidRPr="00E22D87">
        <w:rPr>
          <w:rFonts w:ascii="Arial" w:hAnsi="Arial" w:cs="Arial"/>
          <w:sz w:val="20"/>
          <w:szCs w:val="20"/>
          <w:vertAlign w:val="superscript"/>
        </w:rPr>
        <w:t>ème</w:t>
      </w:r>
      <w:r w:rsidR="00E22D87">
        <w:rPr>
          <w:rFonts w:ascii="Arial" w:hAnsi="Arial" w:cs="Arial"/>
          <w:sz w:val="20"/>
          <w:szCs w:val="20"/>
        </w:rPr>
        <w:t xml:space="preserve"> mois.</w:t>
      </w:r>
      <w:r>
        <w:rPr>
          <w:rFonts w:ascii="Arial" w:hAnsi="Arial" w:cs="Arial"/>
          <w:sz w:val="20"/>
          <w:szCs w:val="20"/>
        </w:rPr>
        <w:tab/>
      </w:r>
    </w:p>
    <w:p w14:paraId="7333587B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13D655E1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20A9617F" w14:textId="2CAE89F5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12</w:t>
      </w:r>
      <w:r>
        <w:rPr>
          <w:rFonts w:ascii="Arial" w:hAnsi="Arial" w:cs="Arial"/>
          <w:b/>
          <w:sz w:val="20"/>
          <w:szCs w:val="20"/>
        </w:rPr>
        <w:t> :</w:t>
      </w:r>
      <w:r w:rsidR="0040611C">
        <w:rPr>
          <w:rFonts w:ascii="Arial" w:hAnsi="Arial" w:cs="Arial"/>
          <w:b/>
          <w:sz w:val="20"/>
          <w:szCs w:val="20"/>
        </w:rPr>
        <w:t xml:space="preserve"> A propos du syndrome d’insensibilité complète aux androgènes, </w:t>
      </w:r>
      <w:proofErr w:type="gramStart"/>
      <w:r w:rsidR="0040611C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40611C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1D0E06ED" w14:textId="3D032CF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DB5606">
        <w:rPr>
          <w:rFonts w:ascii="Arial" w:hAnsi="Arial" w:cs="Arial"/>
          <w:sz w:val="20"/>
          <w:szCs w:val="20"/>
        </w:rPr>
        <w:t>Le phénotype du sujet est masculin.</w:t>
      </w:r>
    </w:p>
    <w:p w14:paraId="3E2C7802" w14:textId="32FCADC3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DB5606">
        <w:rPr>
          <w:rFonts w:ascii="Arial" w:hAnsi="Arial" w:cs="Arial"/>
          <w:sz w:val="20"/>
          <w:szCs w:val="20"/>
        </w:rPr>
        <w:t>La testostérone est présente mais n’induit aucun effet.</w:t>
      </w:r>
    </w:p>
    <w:p w14:paraId="4B04AA42" w14:textId="465CCBD7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DB5606">
        <w:rPr>
          <w:rFonts w:ascii="Arial" w:hAnsi="Arial" w:cs="Arial"/>
          <w:sz w:val="20"/>
          <w:szCs w:val="20"/>
        </w:rPr>
        <w:t>Les testicules sont présents et fabriquent de l’AMH.</w:t>
      </w:r>
    </w:p>
    <w:p w14:paraId="0D049566" w14:textId="7D782853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DB5606">
        <w:rPr>
          <w:rFonts w:ascii="Arial" w:hAnsi="Arial" w:cs="Arial"/>
          <w:sz w:val="20"/>
          <w:szCs w:val="20"/>
        </w:rPr>
        <w:t>On a un taux anormalement élevé de testostérone qui du coup, va s’aromatiser en œstrogènes.</w:t>
      </w:r>
    </w:p>
    <w:p w14:paraId="03E4215B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0000099A" w14:textId="4699DB00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4C55208" w14:textId="6D9A9AD3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</w:rPr>
        <w:t> :</w:t>
      </w:r>
      <w:r w:rsidR="000E6D8D">
        <w:rPr>
          <w:rFonts w:ascii="Arial" w:hAnsi="Arial" w:cs="Arial"/>
          <w:b/>
          <w:sz w:val="20"/>
          <w:szCs w:val="20"/>
        </w:rPr>
        <w:t xml:space="preserve"> A propos de la mise en place des OGE, </w:t>
      </w:r>
      <w:proofErr w:type="gramStart"/>
      <w:r w:rsidR="000E6D8D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0E6D8D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30E8DFF6" w14:textId="73D18E37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DB5606">
        <w:rPr>
          <w:rFonts w:ascii="Arial" w:hAnsi="Arial" w:cs="Arial"/>
          <w:sz w:val="20"/>
          <w:szCs w:val="20"/>
        </w:rPr>
        <w:t>Les plis cloacaux se joignent à leur extrémité postérieure pour former le tubercule génital.</w:t>
      </w:r>
    </w:p>
    <w:p w14:paraId="70E4BF26" w14:textId="71435A9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0E6D8D">
        <w:rPr>
          <w:rFonts w:ascii="Arial" w:hAnsi="Arial" w:cs="Arial"/>
          <w:sz w:val="20"/>
          <w:szCs w:val="20"/>
        </w:rPr>
        <w:t>Le périnée va partager la membrane cloacale en deux : membrane urinaire et membrane génitale.</w:t>
      </w:r>
    </w:p>
    <w:p w14:paraId="12860C65" w14:textId="21833E57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7F1D29">
        <w:rPr>
          <w:rFonts w:ascii="Arial" w:hAnsi="Arial" w:cs="Arial"/>
          <w:sz w:val="20"/>
          <w:szCs w:val="20"/>
        </w:rPr>
        <w:t>Les bourrelets labio-scrotaux apparaissent médialement par rapport aux plis uro-génitaux et anaux.</w:t>
      </w:r>
    </w:p>
    <w:p w14:paraId="3B962E45" w14:textId="06F04680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7F1D29">
        <w:rPr>
          <w:rFonts w:ascii="Arial" w:hAnsi="Arial" w:cs="Arial"/>
          <w:sz w:val="20"/>
          <w:szCs w:val="20"/>
        </w:rPr>
        <w:t>On peut déterminer le sexe du fœtus uniquement à partir de la fin du 5</w:t>
      </w:r>
      <w:r w:rsidR="007F1D29" w:rsidRPr="007F1D29">
        <w:rPr>
          <w:rFonts w:ascii="Arial" w:hAnsi="Arial" w:cs="Arial"/>
          <w:sz w:val="20"/>
          <w:szCs w:val="20"/>
          <w:vertAlign w:val="superscript"/>
        </w:rPr>
        <w:t>ème</w:t>
      </w:r>
      <w:r w:rsidR="007F1D29">
        <w:rPr>
          <w:rFonts w:ascii="Arial" w:hAnsi="Arial" w:cs="Arial"/>
          <w:sz w:val="20"/>
          <w:szCs w:val="20"/>
        </w:rPr>
        <w:t xml:space="preserve"> mois.</w:t>
      </w:r>
    </w:p>
    <w:p w14:paraId="0B79F405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60932D52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93E83E6" w14:textId="7D366CEA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14</w:t>
      </w:r>
      <w:r w:rsidRPr="000B6DC2">
        <w:rPr>
          <w:rFonts w:ascii="Arial" w:hAnsi="Arial" w:cs="Arial"/>
          <w:b/>
          <w:sz w:val="20"/>
          <w:szCs w:val="20"/>
        </w:rPr>
        <w:t xml:space="preserve"> : </w:t>
      </w:r>
      <w:r w:rsidR="00B80A2F">
        <w:rPr>
          <w:rFonts w:ascii="Arial" w:hAnsi="Arial" w:cs="Arial"/>
          <w:b/>
          <w:sz w:val="20"/>
          <w:szCs w:val="20"/>
        </w:rPr>
        <w:t xml:space="preserve">A propos de la mise en place des OGE chez un fœtus male, </w:t>
      </w:r>
      <w:proofErr w:type="gramStart"/>
      <w:r w:rsidR="00B80A2F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B80A2F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3E56D19E" w14:textId="060EF05C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7F1D29">
        <w:rPr>
          <w:rFonts w:ascii="Arial" w:hAnsi="Arial" w:cs="Arial"/>
          <w:sz w:val="20"/>
          <w:szCs w:val="20"/>
        </w:rPr>
        <w:t>Chez le fœtus masculin, on a une fusion progressive des replis uro-génitaux sur le bord ventral du pénis d’arrière en avant qui permet d’isoler l’urètre pénien définitif.</w:t>
      </w:r>
    </w:p>
    <w:p w14:paraId="23B463AE" w14:textId="4F7ABE41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7F1D29">
        <w:rPr>
          <w:rFonts w:ascii="Arial" w:hAnsi="Arial" w:cs="Arial"/>
          <w:sz w:val="20"/>
          <w:szCs w:val="20"/>
        </w:rPr>
        <w:t>L’hypospadias (non descente des testicules) est un des premiers signes de non masculinisation complète du fœtus masculin.</w:t>
      </w:r>
    </w:p>
    <w:p w14:paraId="5A60D669" w14:textId="3CB97A4D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7F1D29">
        <w:rPr>
          <w:rFonts w:ascii="Arial" w:hAnsi="Arial" w:cs="Arial"/>
          <w:sz w:val="20"/>
          <w:szCs w:val="20"/>
        </w:rPr>
        <w:t xml:space="preserve"> La vitesse de croissance du </w:t>
      </w:r>
      <w:r w:rsidR="00632FE3">
        <w:rPr>
          <w:rFonts w:ascii="Arial" w:hAnsi="Arial" w:cs="Arial"/>
          <w:sz w:val="20"/>
          <w:szCs w:val="20"/>
        </w:rPr>
        <w:t>pénis</w:t>
      </w:r>
      <w:r w:rsidR="007F1D29">
        <w:rPr>
          <w:rFonts w:ascii="Arial" w:hAnsi="Arial" w:cs="Arial"/>
          <w:sz w:val="20"/>
          <w:szCs w:val="20"/>
        </w:rPr>
        <w:t xml:space="preserve"> est minimale à la 20</w:t>
      </w:r>
      <w:r w:rsidR="007F1D29" w:rsidRPr="007F1D29">
        <w:rPr>
          <w:rFonts w:ascii="Arial" w:hAnsi="Arial" w:cs="Arial"/>
          <w:sz w:val="20"/>
          <w:szCs w:val="20"/>
          <w:vertAlign w:val="superscript"/>
        </w:rPr>
        <w:t>ème</w:t>
      </w:r>
      <w:r w:rsidR="007F1D29">
        <w:rPr>
          <w:rFonts w:ascii="Arial" w:hAnsi="Arial" w:cs="Arial"/>
          <w:sz w:val="20"/>
          <w:szCs w:val="20"/>
        </w:rPr>
        <w:t xml:space="preserve"> semaine.</w:t>
      </w:r>
    </w:p>
    <w:p w14:paraId="500E6FEE" w14:textId="43A6558C" w:rsidR="006E375C" w:rsidRPr="000B6DC2" w:rsidRDefault="006E375C" w:rsidP="006E375C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B80A2F">
        <w:rPr>
          <w:rFonts w:ascii="Arial" w:hAnsi="Arial" w:cs="Arial"/>
          <w:sz w:val="20"/>
          <w:szCs w:val="20"/>
        </w:rPr>
        <w:t>Lors de la descente testiculaire, on a 2 étapes : inguino-scrotale puis trans abdominale.</w:t>
      </w:r>
      <w:r>
        <w:rPr>
          <w:rFonts w:ascii="Arial" w:hAnsi="Arial" w:cs="Arial"/>
          <w:sz w:val="20"/>
          <w:szCs w:val="20"/>
        </w:rPr>
        <w:tab/>
      </w:r>
    </w:p>
    <w:p w14:paraId="54E8EBFB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06B1D2F4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6EF69B27" w14:textId="73F1B64B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15</w:t>
      </w:r>
      <w:r>
        <w:rPr>
          <w:rFonts w:ascii="Arial" w:hAnsi="Arial" w:cs="Arial"/>
          <w:b/>
          <w:sz w:val="20"/>
          <w:szCs w:val="20"/>
        </w:rPr>
        <w:t> :</w:t>
      </w:r>
      <w:r w:rsidR="00B80A2F">
        <w:rPr>
          <w:rFonts w:ascii="Arial" w:hAnsi="Arial" w:cs="Arial"/>
          <w:b/>
          <w:sz w:val="20"/>
          <w:szCs w:val="20"/>
        </w:rPr>
        <w:t xml:space="preserve"> A propos de la mise en place des OGE chez le fœtus féminin, </w:t>
      </w:r>
      <w:proofErr w:type="gramStart"/>
      <w:r w:rsidR="00B80A2F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B80A2F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05AB1012" w14:textId="784FB040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B80A2F">
        <w:rPr>
          <w:rFonts w:ascii="Arial" w:hAnsi="Arial" w:cs="Arial"/>
          <w:sz w:val="20"/>
          <w:szCs w:val="20"/>
        </w:rPr>
        <w:t>Les plis uro-génitaux vont donner les grandes lèvres.</w:t>
      </w:r>
    </w:p>
    <w:p w14:paraId="0E944168" w14:textId="3DFAE4CE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B80A2F">
        <w:rPr>
          <w:rFonts w:ascii="Arial" w:hAnsi="Arial" w:cs="Arial"/>
          <w:sz w:val="20"/>
          <w:szCs w:val="20"/>
        </w:rPr>
        <w:t>Chez le fœtus féminin, le tubercule génital commence par s’allonger puis va régresser.</w:t>
      </w:r>
    </w:p>
    <w:p w14:paraId="689DF577" w14:textId="4B82BEF0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B80A2F">
        <w:rPr>
          <w:rFonts w:ascii="Arial" w:hAnsi="Arial" w:cs="Arial"/>
          <w:sz w:val="20"/>
          <w:szCs w:val="20"/>
        </w:rPr>
        <w:t>La distance ano-génitale est plus importante chez la fille que chez le garçon.</w:t>
      </w:r>
    </w:p>
    <w:p w14:paraId="0EDEC966" w14:textId="4B955170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B80A2F">
        <w:rPr>
          <w:rFonts w:ascii="Arial" w:hAnsi="Arial" w:cs="Arial"/>
          <w:sz w:val="20"/>
          <w:szCs w:val="20"/>
        </w:rPr>
        <w:t>On a une absence de fusion des plis uro-génitaux.</w:t>
      </w:r>
    </w:p>
    <w:p w14:paraId="13E10880" w14:textId="22FF2478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3126CD1C" w14:textId="77777777" w:rsidR="00A11A4C" w:rsidRDefault="00A11A4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3B0FE40D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96B59EE" w14:textId="77777777" w:rsidR="00A11A4C" w:rsidRDefault="00A11A4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  <w:u w:val="single"/>
        </w:rPr>
      </w:pPr>
    </w:p>
    <w:p w14:paraId="63A71EF7" w14:textId="46FFABB7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>
        <w:rPr>
          <w:rFonts w:ascii="Arial" w:hAnsi="Arial" w:cs="Arial"/>
          <w:b/>
          <w:sz w:val="20"/>
          <w:szCs w:val="20"/>
        </w:rPr>
        <w:t> :</w:t>
      </w:r>
      <w:r w:rsidR="00C23F53">
        <w:rPr>
          <w:rFonts w:ascii="Arial" w:hAnsi="Arial" w:cs="Arial"/>
          <w:b/>
          <w:sz w:val="20"/>
          <w:szCs w:val="20"/>
        </w:rPr>
        <w:t xml:space="preserve"> A propos des gènes de la différenciation sexuelle, </w:t>
      </w:r>
      <w:proofErr w:type="gramStart"/>
      <w:r w:rsidR="00C23F53">
        <w:rPr>
          <w:rFonts w:ascii="Arial" w:hAnsi="Arial" w:cs="Arial"/>
          <w:b/>
          <w:sz w:val="20"/>
          <w:szCs w:val="20"/>
        </w:rPr>
        <w:t>donnez la</w:t>
      </w:r>
      <w:proofErr w:type="gramEnd"/>
      <w:r w:rsidR="00C23F53">
        <w:rPr>
          <w:rFonts w:ascii="Arial" w:hAnsi="Arial" w:cs="Arial"/>
          <w:b/>
          <w:sz w:val="20"/>
          <w:szCs w:val="20"/>
        </w:rPr>
        <w:t xml:space="preserve"> ou les vraies :</w:t>
      </w:r>
    </w:p>
    <w:p w14:paraId="1D5BE571" w14:textId="7EA9F6A9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C23F53">
        <w:rPr>
          <w:rFonts w:ascii="Arial" w:hAnsi="Arial" w:cs="Arial"/>
          <w:sz w:val="20"/>
          <w:szCs w:val="20"/>
        </w:rPr>
        <w:t>Le gène SF-1 intervient dans la phase de gonade indifférenciée.</w:t>
      </w:r>
    </w:p>
    <w:p w14:paraId="697DCF41" w14:textId="36D5A95F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C23F53">
        <w:rPr>
          <w:rFonts w:ascii="Arial" w:hAnsi="Arial" w:cs="Arial"/>
          <w:sz w:val="20"/>
          <w:szCs w:val="20"/>
        </w:rPr>
        <w:t>Les gènes WNT4,RSPO7,FOXL2 blo</w:t>
      </w:r>
      <w:r w:rsidR="00805E5C">
        <w:rPr>
          <w:rFonts w:ascii="Arial" w:hAnsi="Arial" w:cs="Arial"/>
          <w:sz w:val="20"/>
          <w:szCs w:val="20"/>
        </w:rPr>
        <w:t>quent la détermination testiculaire</w:t>
      </w:r>
      <w:r w:rsidR="00C23F53">
        <w:rPr>
          <w:rFonts w:ascii="Arial" w:hAnsi="Arial" w:cs="Arial"/>
          <w:sz w:val="20"/>
          <w:szCs w:val="20"/>
        </w:rPr>
        <w:t xml:space="preserve"> et participent à la détermination ovarienne. </w:t>
      </w:r>
    </w:p>
    <w:p w14:paraId="1A84DB17" w14:textId="67224FCE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95286B">
        <w:rPr>
          <w:rFonts w:ascii="Arial" w:hAnsi="Arial" w:cs="Arial"/>
          <w:sz w:val="20"/>
          <w:szCs w:val="20"/>
        </w:rPr>
        <w:t>Le gène DAX1 en double dose est indispensable pour la bonne différenciation dans le sens féminin.</w:t>
      </w:r>
    </w:p>
    <w:p w14:paraId="75D5B919" w14:textId="21FF34A8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E86E8C">
        <w:rPr>
          <w:rFonts w:ascii="Arial" w:hAnsi="Arial" w:cs="Arial"/>
          <w:sz w:val="20"/>
          <w:szCs w:val="20"/>
        </w:rPr>
        <w:t>Le gène SRY est le premier dans la cascade des évènements de la différenciation dans le sens masculin.</w:t>
      </w:r>
    </w:p>
    <w:p w14:paraId="232AF9AE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42B95CF4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C2FE730" w14:textId="55CA42C9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17</w:t>
      </w:r>
      <w:r w:rsidRPr="000B6DC2">
        <w:rPr>
          <w:rFonts w:ascii="Arial" w:hAnsi="Arial" w:cs="Arial"/>
          <w:b/>
          <w:sz w:val="20"/>
          <w:szCs w:val="20"/>
        </w:rPr>
        <w:t xml:space="preserve"> : </w:t>
      </w:r>
      <w:r w:rsidR="00422CED">
        <w:rPr>
          <w:rFonts w:ascii="Arial" w:hAnsi="Arial" w:cs="Arial"/>
          <w:b/>
          <w:sz w:val="20"/>
          <w:szCs w:val="20"/>
        </w:rPr>
        <w:t>A propos des gènes de la différenciation :</w:t>
      </w:r>
    </w:p>
    <w:p w14:paraId="34C50184" w14:textId="12A06B7D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422CED">
        <w:rPr>
          <w:rFonts w:ascii="Arial" w:hAnsi="Arial" w:cs="Arial"/>
          <w:sz w:val="20"/>
          <w:szCs w:val="20"/>
        </w:rPr>
        <w:t>Le gène SRY est situé sur le bras court du chromosome X.</w:t>
      </w:r>
    </w:p>
    <w:p w14:paraId="04D80012" w14:textId="6795B652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422CED">
        <w:rPr>
          <w:rFonts w:ascii="Arial" w:hAnsi="Arial" w:cs="Arial"/>
          <w:sz w:val="20"/>
          <w:szCs w:val="20"/>
        </w:rPr>
        <w:t>Le gène SRY code pour un facteur de transcription exprimé dans le testicule.</w:t>
      </w:r>
    </w:p>
    <w:p w14:paraId="6D876138" w14:textId="3EBFF3A3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422CED">
        <w:rPr>
          <w:rFonts w:ascii="Arial" w:hAnsi="Arial" w:cs="Arial"/>
          <w:sz w:val="20"/>
          <w:szCs w:val="20"/>
        </w:rPr>
        <w:t xml:space="preserve"> L’absence de SRY est nécessaire à la détermination ovarienne mais pas suffisante.</w:t>
      </w:r>
    </w:p>
    <w:p w14:paraId="7DA98166" w14:textId="378413D1" w:rsidR="006E375C" w:rsidRPr="000B6DC2" w:rsidRDefault="006E375C" w:rsidP="006E375C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422CED">
        <w:rPr>
          <w:rFonts w:ascii="Arial" w:hAnsi="Arial" w:cs="Arial"/>
          <w:sz w:val="20"/>
          <w:szCs w:val="20"/>
        </w:rPr>
        <w:t>DAX1 est présent chez la femme et chez l’homme.</w:t>
      </w:r>
      <w:r>
        <w:rPr>
          <w:rFonts w:ascii="Arial" w:hAnsi="Arial" w:cs="Arial"/>
          <w:sz w:val="20"/>
          <w:szCs w:val="20"/>
        </w:rPr>
        <w:tab/>
      </w:r>
    </w:p>
    <w:p w14:paraId="6AD62129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33C30C85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CC41013" w14:textId="7C531E46" w:rsidR="006E375C" w:rsidRPr="000B6DC2" w:rsidRDefault="006E375C" w:rsidP="006E375C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18</w:t>
      </w:r>
      <w:r>
        <w:rPr>
          <w:rFonts w:ascii="Arial" w:hAnsi="Arial" w:cs="Arial"/>
          <w:b/>
          <w:sz w:val="20"/>
          <w:szCs w:val="20"/>
        </w:rPr>
        <w:t> :</w:t>
      </w:r>
      <w:r w:rsidR="00A11A4C">
        <w:rPr>
          <w:rFonts w:ascii="Arial" w:hAnsi="Arial" w:cs="Arial"/>
          <w:b/>
          <w:sz w:val="20"/>
          <w:szCs w:val="20"/>
        </w:rPr>
        <w:t xml:space="preserve"> </w:t>
      </w:r>
      <w:r w:rsidR="00A11A4C">
        <w:rPr>
          <w:rFonts w:ascii="Arial" w:hAnsi="Arial" w:cs="Arial"/>
          <w:b/>
          <w:sz w:val="20"/>
          <w:szCs w:val="20"/>
        </w:rPr>
        <w:t>A propos des gènes de la différenciation :</w:t>
      </w:r>
    </w:p>
    <w:p w14:paraId="68A986DC" w14:textId="29E5B1CD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A11A4C">
        <w:rPr>
          <w:rFonts w:ascii="Arial" w:hAnsi="Arial" w:cs="Arial"/>
          <w:sz w:val="20"/>
          <w:szCs w:val="20"/>
        </w:rPr>
        <w:t>Pour la détermination ovarienne, l’expression de SOX9 est indispensable.</w:t>
      </w:r>
    </w:p>
    <w:p w14:paraId="4AA79D95" w14:textId="20078AD6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A11A4C">
        <w:rPr>
          <w:rFonts w:ascii="Arial" w:hAnsi="Arial" w:cs="Arial"/>
          <w:sz w:val="20"/>
          <w:szCs w:val="20"/>
        </w:rPr>
        <w:t>WNT4 participe à la prolifération des cellules Mülleriennes et empêche la dégradation de la béta caténine.</w:t>
      </w:r>
    </w:p>
    <w:p w14:paraId="1B553A0B" w14:textId="291F87CD" w:rsidR="006E375C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A11A4C">
        <w:rPr>
          <w:rFonts w:ascii="Arial" w:hAnsi="Arial" w:cs="Arial"/>
          <w:sz w:val="20"/>
          <w:szCs w:val="20"/>
        </w:rPr>
        <w:t>Le gène RSPO1 contrôle la fonction et l’expression de WNT4.</w:t>
      </w:r>
    </w:p>
    <w:p w14:paraId="2FA07477" w14:textId="0079B5C2" w:rsidR="006E375C" w:rsidRPr="000B6DC2" w:rsidRDefault="006E375C" w:rsidP="006E375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A11A4C">
        <w:rPr>
          <w:rFonts w:ascii="Arial" w:hAnsi="Arial" w:cs="Arial"/>
          <w:sz w:val="20"/>
          <w:szCs w:val="20"/>
        </w:rPr>
        <w:t>Une mutation de FOXL2 entraine une insuffisance ovarienne précoce.</w:t>
      </w:r>
    </w:p>
    <w:p w14:paraId="39A0C31C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6769E6C1" w14:textId="77777777" w:rsidR="006E375C" w:rsidRDefault="006E375C" w:rsidP="006E375C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C67B7D3" w14:textId="17D8F438" w:rsidR="00404444" w:rsidRPr="007A10B3" w:rsidRDefault="007A10B3" w:rsidP="007A10B3">
      <w:pPr>
        <w:tabs>
          <w:tab w:val="left" w:pos="7248"/>
        </w:tabs>
      </w:pPr>
      <w:bookmarkStart w:id="0" w:name="_GoBack"/>
      <w:bookmarkEnd w:id="0"/>
      <w:r>
        <w:tab/>
      </w:r>
    </w:p>
    <w:sectPr w:rsidR="00404444" w:rsidRPr="007A10B3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94DA6" w14:textId="77777777" w:rsidR="008D4B84" w:rsidRDefault="008D4B84" w:rsidP="00AE49CB">
      <w:pPr>
        <w:spacing w:after="0" w:line="240" w:lineRule="auto"/>
      </w:pPr>
      <w:r>
        <w:separator/>
      </w:r>
    </w:p>
  </w:endnote>
  <w:endnote w:type="continuationSeparator" w:id="0">
    <w:p w14:paraId="0563C9BC" w14:textId="77777777" w:rsidR="008D4B84" w:rsidRDefault="008D4B84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D2D16" w14:textId="35CAF517" w:rsidR="00F3551A" w:rsidRDefault="00F3551A" w:rsidP="00834825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  <w:highlight w:val="yellow"/>
      </w:rPr>
      <w:t>JJ.</w:t>
    </w:r>
    <w:proofErr w:type="gramStart"/>
    <w:r>
      <w:rPr>
        <w:b/>
        <w:color w:val="404040" w:themeColor="text1" w:themeTint="BF"/>
        <w:highlight w:val="yellow"/>
      </w:rPr>
      <w:t>MM.AA</w:t>
    </w:r>
    <w:proofErr w:type="gramEnd"/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  <w:t xml:space="preserve">                 </w:t>
    </w:r>
    <w:r w:rsidRPr="009C3D33">
      <w:rPr>
        <w:b/>
        <w:color w:val="404040" w:themeColor="text1" w:themeTint="BF"/>
      </w:rPr>
      <w:t xml:space="preserve"> Le tutorat est gratuit. Toute reprod</w:t>
    </w:r>
    <w:r>
      <w:rPr>
        <w:b/>
        <w:color w:val="404040" w:themeColor="text1" w:themeTint="BF"/>
      </w:rPr>
      <w:t>uction ou vente est interdite.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Pr="009C3D33">
      <w:rPr>
        <w:b/>
        <w:color w:val="404040" w:themeColor="text1" w:themeTint="BF"/>
      </w:rPr>
      <w:fldChar w:fldCharType="separate"/>
    </w:r>
    <w:r w:rsidR="00516EBB">
      <w:rPr>
        <w:b/>
        <w:noProof/>
        <w:color w:val="404040" w:themeColor="text1" w:themeTint="BF"/>
      </w:rPr>
      <w:t>2</w:t>
    </w:r>
    <w:r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Pr="009C3D33">
      <w:rPr>
        <w:b/>
        <w:color w:val="404040" w:themeColor="text1" w:themeTint="BF"/>
      </w:rPr>
      <w:fldChar w:fldCharType="separate"/>
    </w:r>
    <w:r w:rsidR="00516EBB">
      <w:rPr>
        <w:b/>
        <w:noProof/>
        <w:color w:val="404040" w:themeColor="text1" w:themeTint="BF"/>
      </w:rPr>
      <w:t>3</w:t>
    </w:r>
    <w:r w:rsidRPr="009C3D33">
      <w:rPr>
        <w:b/>
        <w:color w:val="404040" w:themeColor="text1" w:themeTint="BF"/>
      </w:rPr>
      <w:fldChar w:fldCharType="end"/>
    </w:r>
  </w:p>
  <w:p w14:paraId="51676AE6" w14:textId="77777777" w:rsidR="00F3551A" w:rsidRDefault="00F3551A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923EB" w14:textId="77777777" w:rsidR="008D4B84" w:rsidRDefault="008D4B84" w:rsidP="00AE49CB">
      <w:pPr>
        <w:spacing w:after="0" w:line="240" w:lineRule="auto"/>
      </w:pPr>
      <w:r>
        <w:separator/>
      </w:r>
    </w:p>
  </w:footnote>
  <w:footnote w:type="continuationSeparator" w:id="0">
    <w:p w14:paraId="0A25EB79" w14:textId="77777777" w:rsidR="008D4B84" w:rsidRDefault="008D4B84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9"/>
  </w:num>
  <w:num w:numId="4">
    <w:abstractNumId w:val="16"/>
  </w:num>
  <w:num w:numId="5">
    <w:abstractNumId w:val="20"/>
  </w:num>
  <w:num w:numId="6">
    <w:abstractNumId w:val="6"/>
  </w:num>
  <w:num w:numId="7">
    <w:abstractNumId w:val="17"/>
  </w:num>
  <w:num w:numId="8">
    <w:abstractNumId w:val="12"/>
  </w:num>
  <w:num w:numId="9">
    <w:abstractNumId w:val="14"/>
  </w:num>
  <w:num w:numId="10">
    <w:abstractNumId w:val="8"/>
  </w:num>
  <w:num w:numId="11">
    <w:abstractNumId w:val="3"/>
  </w:num>
  <w:num w:numId="12">
    <w:abstractNumId w:val="18"/>
  </w:num>
  <w:num w:numId="13">
    <w:abstractNumId w:val="4"/>
  </w:num>
  <w:num w:numId="14">
    <w:abstractNumId w:val="0"/>
  </w:num>
  <w:num w:numId="15">
    <w:abstractNumId w:val="5"/>
  </w:num>
  <w:num w:numId="16">
    <w:abstractNumId w:val="21"/>
  </w:num>
  <w:num w:numId="17">
    <w:abstractNumId w:val="2"/>
  </w:num>
  <w:num w:numId="18">
    <w:abstractNumId w:val="9"/>
  </w:num>
  <w:num w:numId="19">
    <w:abstractNumId w:val="13"/>
  </w:num>
  <w:num w:numId="20">
    <w:abstractNumId w:val="1"/>
  </w:num>
  <w:num w:numId="21">
    <w:abstractNumId w:val="15"/>
  </w:num>
  <w:num w:numId="22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31DC"/>
    <w:rsid w:val="00007BA8"/>
    <w:rsid w:val="00020705"/>
    <w:rsid w:val="00023FA5"/>
    <w:rsid w:val="00026299"/>
    <w:rsid w:val="00037CA9"/>
    <w:rsid w:val="0005754B"/>
    <w:rsid w:val="00072326"/>
    <w:rsid w:val="00072F98"/>
    <w:rsid w:val="00077C35"/>
    <w:rsid w:val="000A5653"/>
    <w:rsid w:val="000B10B2"/>
    <w:rsid w:val="000B4B7E"/>
    <w:rsid w:val="000B5E75"/>
    <w:rsid w:val="000B6DC2"/>
    <w:rsid w:val="000C260B"/>
    <w:rsid w:val="000C2C2E"/>
    <w:rsid w:val="000D2EC2"/>
    <w:rsid w:val="000D585B"/>
    <w:rsid w:val="000E351D"/>
    <w:rsid w:val="000E6D8D"/>
    <w:rsid w:val="000F63E3"/>
    <w:rsid w:val="00140730"/>
    <w:rsid w:val="001413F9"/>
    <w:rsid w:val="00154B84"/>
    <w:rsid w:val="00167A7C"/>
    <w:rsid w:val="0017505E"/>
    <w:rsid w:val="00182A4A"/>
    <w:rsid w:val="001A0592"/>
    <w:rsid w:val="001A0C88"/>
    <w:rsid w:val="001B038E"/>
    <w:rsid w:val="001D00A1"/>
    <w:rsid w:val="001D2FD7"/>
    <w:rsid w:val="001E3F08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70E44"/>
    <w:rsid w:val="00277044"/>
    <w:rsid w:val="00280B66"/>
    <w:rsid w:val="002866C9"/>
    <w:rsid w:val="002919D0"/>
    <w:rsid w:val="002936D7"/>
    <w:rsid w:val="002B014C"/>
    <w:rsid w:val="002C5F95"/>
    <w:rsid w:val="002D64A1"/>
    <w:rsid w:val="002E168E"/>
    <w:rsid w:val="002E5791"/>
    <w:rsid w:val="002E5F93"/>
    <w:rsid w:val="002E7774"/>
    <w:rsid w:val="00302D31"/>
    <w:rsid w:val="00304362"/>
    <w:rsid w:val="003174B0"/>
    <w:rsid w:val="00331505"/>
    <w:rsid w:val="00332773"/>
    <w:rsid w:val="00333B1C"/>
    <w:rsid w:val="003403A9"/>
    <w:rsid w:val="0034444E"/>
    <w:rsid w:val="00346A20"/>
    <w:rsid w:val="003534E9"/>
    <w:rsid w:val="00353F6A"/>
    <w:rsid w:val="0035689C"/>
    <w:rsid w:val="00386CF1"/>
    <w:rsid w:val="003A3135"/>
    <w:rsid w:val="003B075B"/>
    <w:rsid w:val="003B30C2"/>
    <w:rsid w:val="003B6308"/>
    <w:rsid w:val="003B75CB"/>
    <w:rsid w:val="003C11F5"/>
    <w:rsid w:val="003C2892"/>
    <w:rsid w:val="003E0292"/>
    <w:rsid w:val="003E49AA"/>
    <w:rsid w:val="003E5827"/>
    <w:rsid w:val="00404444"/>
    <w:rsid w:val="0040611C"/>
    <w:rsid w:val="004211E0"/>
    <w:rsid w:val="00422308"/>
    <w:rsid w:val="00422CED"/>
    <w:rsid w:val="00433C7C"/>
    <w:rsid w:val="00446055"/>
    <w:rsid w:val="0045333C"/>
    <w:rsid w:val="0046520A"/>
    <w:rsid w:val="0047193F"/>
    <w:rsid w:val="00477E5B"/>
    <w:rsid w:val="004A42BB"/>
    <w:rsid w:val="004A781B"/>
    <w:rsid w:val="004B465D"/>
    <w:rsid w:val="004D672B"/>
    <w:rsid w:val="0050312F"/>
    <w:rsid w:val="00506C18"/>
    <w:rsid w:val="00513670"/>
    <w:rsid w:val="00516EBB"/>
    <w:rsid w:val="00517DE7"/>
    <w:rsid w:val="005223D0"/>
    <w:rsid w:val="00527A2A"/>
    <w:rsid w:val="00531BA4"/>
    <w:rsid w:val="0055059B"/>
    <w:rsid w:val="00551481"/>
    <w:rsid w:val="0056096E"/>
    <w:rsid w:val="0059608C"/>
    <w:rsid w:val="005A5BD9"/>
    <w:rsid w:val="005C6211"/>
    <w:rsid w:val="005D278E"/>
    <w:rsid w:val="005F7786"/>
    <w:rsid w:val="00611048"/>
    <w:rsid w:val="00613841"/>
    <w:rsid w:val="00624A33"/>
    <w:rsid w:val="00632FE3"/>
    <w:rsid w:val="006366BB"/>
    <w:rsid w:val="006372FE"/>
    <w:rsid w:val="00647BDE"/>
    <w:rsid w:val="00651242"/>
    <w:rsid w:val="00665143"/>
    <w:rsid w:val="00671BA1"/>
    <w:rsid w:val="00672093"/>
    <w:rsid w:val="0067625D"/>
    <w:rsid w:val="00681331"/>
    <w:rsid w:val="006857D2"/>
    <w:rsid w:val="006867E3"/>
    <w:rsid w:val="006928A8"/>
    <w:rsid w:val="00694C32"/>
    <w:rsid w:val="006A3366"/>
    <w:rsid w:val="006A718C"/>
    <w:rsid w:val="006B355B"/>
    <w:rsid w:val="006C0251"/>
    <w:rsid w:val="006C17FF"/>
    <w:rsid w:val="006E0544"/>
    <w:rsid w:val="006E375C"/>
    <w:rsid w:val="006F2243"/>
    <w:rsid w:val="007018AD"/>
    <w:rsid w:val="00720EEE"/>
    <w:rsid w:val="00764532"/>
    <w:rsid w:val="0076657D"/>
    <w:rsid w:val="00771290"/>
    <w:rsid w:val="007748BF"/>
    <w:rsid w:val="00785915"/>
    <w:rsid w:val="00787344"/>
    <w:rsid w:val="00792B49"/>
    <w:rsid w:val="007A10B3"/>
    <w:rsid w:val="007B712F"/>
    <w:rsid w:val="007C32A0"/>
    <w:rsid w:val="007C7734"/>
    <w:rsid w:val="007D17FF"/>
    <w:rsid w:val="007D37EA"/>
    <w:rsid w:val="007D4A85"/>
    <w:rsid w:val="007E4B46"/>
    <w:rsid w:val="007E4BB3"/>
    <w:rsid w:val="007E7FC4"/>
    <w:rsid w:val="007F0613"/>
    <w:rsid w:val="007F1D29"/>
    <w:rsid w:val="007F387F"/>
    <w:rsid w:val="007F592A"/>
    <w:rsid w:val="008007D7"/>
    <w:rsid w:val="00804CC8"/>
    <w:rsid w:val="00805127"/>
    <w:rsid w:val="00805E5C"/>
    <w:rsid w:val="0081699E"/>
    <w:rsid w:val="008316A5"/>
    <w:rsid w:val="00832B3C"/>
    <w:rsid w:val="008343D9"/>
    <w:rsid w:val="00834825"/>
    <w:rsid w:val="008556C6"/>
    <w:rsid w:val="00864053"/>
    <w:rsid w:val="00871218"/>
    <w:rsid w:val="0088594B"/>
    <w:rsid w:val="008A2B89"/>
    <w:rsid w:val="008B5D2A"/>
    <w:rsid w:val="008C65A8"/>
    <w:rsid w:val="008D049A"/>
    <w:rsid w:val="008D2264"/>
    <w:rsid w:val="008D4B84"/>
    <w:rsid w:val="008D6206"/>
    <w:rsid w:val="008D70D3"/>
    <w:rsid w:val="0090296B"/>
    <w:rsid w:val="00922302"/>
    <w:rsid w:val="009327F6"/>
    <w:rsid w:val="00944054"/>
    <w:rsid w:val="0095286B"/>
    <w:rsid w:val="0095648D"/>
    <w:rsid w:val="00956500"/>
    <w:rsid w:val="00961674"/>
    <w:rsid w:val="00970B22"/>
    <w:rsid w:val="00975F67"/>
    <w:rsid w:val="00977641"/>
    <w:rsid w:val="009852D6"/>
    <w:rsid w:val="009A612B"/>
    <w:rsid w:val="009B2527"/>
    <w:rsid w:val="009D19A8"/>
    <w:rsid w:val="009D4AF3"/>
    <w:rsid w:val="009E2378"/>
    <w:rsid w:val="009F37EE"/>
    <w:rsid w:val="009F42F4"/>
    <w:rsid w:val="00A11A4C"/>
    <w:rsid w:val="00A14ECF"/>
    <w:rsid w:val="00A17974"/>
    <w:rsid w:val="00A340D2"/>
    <w:rsid w:val="00A44E7C"/>
    <w:rsid w:val="00A51181"/>
    <w:rsid w:val="00A603DB"/>
    <w:rsid w:val="00A65190"/>
    <w:rsid w:val="00A85EA3"/>
    <w:rsid w:val="00A9223B"/>
    <w:rsid w:val="00A93814"/>
    <w:rsid w:val="00AA7CDC"/>
    <w:rsid w:val="00AC35D1"/>
    <w:rsid w:val="00AD3C2B"/>
    <w:rsid w:val="00AD6A8D"/>
    <w:rsid w:val="00AE1976"/>
    <w:rsid w:val="00AE4049"/>
    <w:rsid w:val="00AE49CB"/>
    <w:rsid w:val="00AE6993"/>
    <w:rsid w:val="00AE76BE"/>
    <w:rsid w:val="00AF181F"/>
    <w:rsid w:val="00AF2223"/>
    <w:rsid w:val="00AF6870"/>
    <w:rsid w:val="00AF7149"/>
    <w:rsid w:val="00B00FBD"/>
    <w:rsid w:val="00B03A90"/>
    <w:rsid w:val="00B03F1B"/>
    <w:rsid w:val="00B11650"/>
    <w:rsid w:val="00B143C9"/>
    <w:rsid w:val="00B176AD"/>
    <w:rsid w:val="00B23DDC"/>
    <w:rsid w:val="00B2554C"/>
    <w:rsid w:val="00B34C01"/>
    <w:rsid w:val="00B45323"/>
    <w:rsid w:val="00B62DD7"/>
    <w:rsid w:val="00B736AB"/>
    <w:rsid w:val="00B80A2F"/>
    <w:rsid w:val="00B82C03"/>
    <w:rsid w:val="00B87CD1"/>
    <w:rsid w:val="00B96229"/>
    <w:rsid w:val="00BA2273"/>
    <w:rsid w:val="00BB0E74"/>
    <w:rsid w:val="00C00CCD"/>
    <w:rsid w:val="00C16E12"/>
    <w:rsid w:val="00C23F53"/>
    <w:rsid w:val="00C26CED"/>
    <w:rsid w:val="00C536FB"/>
    <w:rsid w:val="00C5634E"/>
    <w:rsid w:val="00C563F7"/>
    <w:rsid w:val="00C64B6A"/>
    <w:rsid w:val="00C724B6"/>
    <w:rsid w:val="00C82491"/>
    <w:rsid w:val="00C829CB"/>
    <w:rsid w:val="00C9197D"/>
    <w:rsid w:val="00C970FC"/>
    <w:rsid w:val="00C97B6A"/>
    <w:rsid w:val="00CB3032"/>
    <w:rsid w:val="00CC2C7C"/>
    <w:rsid w:val="00CC31DE"/>
    <w:rsid w:val="00CC4175"/>
    <w:rsid w:val="00CD3D7D"/>
    <w:rsid w:val="00CD7EAB"/>
    <w:rsid w:val="00CE1EED"/>
    <w:rsid w:val="00CF2B92"/>
    <w:rsid w:val="00CF2B9B"/>
    <w:rsid w:val="00CF4734"/>
    <w:rsid w:val="00CF545D"/>
    <w:rsid w:val="00CF5804"/>
    <w:rsid w:val="00CF6C7D"/>
    <w:rsid w:val="00D10BBF"/>
    <w:rsid w:val="00D2194B"/>
    <w:rsid w:val="00D27820"/>
    <w:rsid w:val="00D31EAC"/>
    <w:rsid w:val="00D42F36"/>
    <w:rsid w:val="00D619BE"/>
    <w:rsid w:val="00D63FED"/>
    <w:rsid w:val="00D67CFE"/>
    <w:rsid w:val="00D7199F"/>
    <w:rsid w:val="00D72271"/>
    <w:rsid w:val="00D765C2"/>
    <w:rsid w:val="00DB0E49"/>
    <w:rsid w:val="00DB5606"/>
    <w:rsid w:val="00DB748E"/>
    <w:rsid w:val="00DB76E8"/>
    <w:rsid w:val="00DC0A1B"/>
    <w:rsid w:val="00DF16B3"/>
    <w:rsid w:val="00E00933"/>
    <w:rsid w:val="00E0130C"/>
    <w:rsid w:val="00E10AD8"/>
    <w:rsid w:val="00E22D87"/>
    <w:rsid w:val="00E246FC"/>
    <w:rsid w:val="00E25260"/>
    <w:rsid w:val="00E2744B"/>
    <w:rsid w:val="00E33ECC"/>
    <w:rsid w:val="00E41819"/>
    <w:rsid w:val="00E7001E"/>
    <w:rsid w:val="00E825D5"/>
    <w:rsid w:val="00E86E8C"/>
    <w:rsid w:val="00E92524"/>
    <w:rsid w:val="00E96F9B"/>
    <w:rsid w:val="00E972F6"/>
    <w:rsid w:val="00EA0607"/>
    <w:rsid w:val="00EA4A0E"/>
    <w:rsid w:val="00EC0B5D"/>
    <w:rsid w:val="00EC3A32"/>
    <w:rsid w:val="00EE726C"/>
    <w:rsid w:val="00F00468"/>
    <w:rsid w:val="00F03835"/>
    <w:rsid w:val="00F043DC"/>
    <w:rsid w:val="00F13A6B"/>
    <w:rsid w:val="00F161F9"/>
    <w:rsid w:val="00F30011"/>
    <w:rsid w:val="00F32592"/>
    <w:rsid w:val="00F3551A"/>
    <w:rsid w:val="00F41357"/>
    <w:rsid w:val="00F43A84"/>
    <w:rsid w:val="00F525C0"/>
    <w:rsid w:val="00F60301"/>
    <w:rsid w:val="00F6381A"/>
    <w:rsid w:val="00F73442"/>
    <w:rsid w:val="00F77632"/>
    <w:rsid w:val="00FA011C"/>
    <w:rsid w:val="00FA229F"/>
    <w:rsid w:val="00FB38B8"/>
    <w:rsid w:val="00FB6D9A"/>
    <w:rsid w:val="00FC63C2"/>
    <w:rsid w:val="00FD7CC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6C01A1"/>
  <w15:docId w15:val="{6B8FE8DA-7F5E-496A-BFE9-A9E9234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30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1BEF22-7C68-4799-97F2-9ECA6222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1338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Chloe Goncalves</cp:lastModifiedBy>
  <cp:revision>25</cp:revision>
  <cp:lastPrinted>2015-03-16T10:21:00Z</cp:lastPrinted>
  <dcterms:created xsi:type="dcterms:W3CDTF">2015-10-10T12:28:00Z</dcterms:created>
  <dcterms:modified xsi:type="dcterms:W3CDTF">2016-05-05T18:04:00Z</dcterms:modified>
</cp:coreProperties>
</file>