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1DAB87" w14:textId="7D0E76B6" w:rsidR="00986EC7" w:rsidRPr="00986EC7" w:rsidRDefault="006E1BD5" w:rsidP="00986EC7">
      <w:pPr>
        <w:spacing w:after="0" w:line="240" w:lineRule="auto"/>
        <w:ind w:left="142"/>
        <w:rPr>
          <w:rFonts w:ascii="Calibri" w:eastAsia="Times New Roman" w:hAnsi="Calibri" w:cs="Calibri"/>
          <w:b/>
          <w:sz w:val="32"/>
          <w:szCs w:val="32"/>
        </w:rPr>
      </w:pPr>
      <w:r w:rsidRPr="00986EC7">
        <w:rPr>
          <w:rFonts w:ascii="Calibri" w:eastAsia="Calibri" w:hAnsi="Calibri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8445D30" wp14:editId="739E58F8">
                <wp:simplePos x="0" y="0"/>
                <wp:positionH relativeFrom="column">
                  <wp:posOffset>-59690</wp:posOffset>
                </wp:positionH>
                <wp:positionV relativeFrom="paragraph">
                  <wp:posOffset>-103505</wp:posOffset>
                </wp:positionV>
                <wp:extent cx="6814185" cy="769620"/>
                <wp:effectExtent l="0" t="0" r="18415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E4FD13" w14:textId="77777777" w:rsidR="00E41A47" w:rsidRDefault="00E41A47" w:rsidP="006E1BD5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445D30" id="Rectangle 2" o:spid="_x0000_s1026" style="position:absolute;left:0;text-align:left;margin-left:-4.7pt;margin-top:-8.1pt;width:536.55pt;height:6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" filled="f" strokecolor="#a6a6a6" strokeweight="2pt">
                <v:textbox>
                  <w:txbxContent>
                    <w:p w14:paraId="18E4FD13" w14:textId="77777777" w:rsidR="00E41A47" w:rsidRDefault="00E41A47" w:rsidP="006E1BD5"/>
                  </w:txbxContent>
                </v:textbox>
              </v:rect>
            </w:pict>
          </mc:Fallback>
        </mc:AlternateContent>
      </w:r>
      <w:r w:rsidR="00986EC7" w:rsidRPr="00986EC7">
        <w:rPr>
          <w:rFonts w:ascii="Calibri" w:eastAsia="Calibri" w:hAnsi="Calibri" w:cs="Times New Roman"/>
          <w:noProof/>
          <w:lang w:eastAsia="fr-FR"/>
        </w:rPr>
        <w:drawing>
          <wp:anchor distT="0" distB="0" distL="114300" distR="114300" simplePos="0" relativeHeight="251659776" behindDoc="0" locked="0" layoutInCell="1" allowOverlap="1" wp14:anchorId="699D7733" wp14:editId="03E3BDCE">
            <wp:simplePos x="0" y="0"/>
            <wp:positionH relativeFrom="column">
              <wp:posOffset>5720715</wp:posOffset>
            </wp:positionH>
            <wp:positionV relativeFrom="paragraph">
              <wp:posOffset>-304800</wp:posOffset>
            </wp:positionV>
            <wp:extent cx="1247775" cy="1247775"/>
            <wp:effectExtent l="0" t="0" r="9525" b="9525"/>
            <wp:wrapNone/>
            <wp:docPr id="2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EC7" w:rsidRPr="00986EC7">
        <w:rPr>
          <w:rFonts w:ascii="Calibri" w:eastAsia="Times New Roman" w:hAnsi="Calibri" w:cs="Calibri"/>
          <w:b/>
          <w:i/>
          <w:sz w:val="40"/>
          <w:szCs w:val="40"/>
        </w:rPr>
        <w:t>Tutorat n°</w:t>
      </w:r>
      <w:r>
        <w:rPr>
          <w:rFonts w:ascii="Calibri" w:eastAsia="Times New Roman" w:hAnsi="Calibri" w:cs="Calibri"/>
          <w:b/>
          <w:i/>
          <w:sz w:val="40"/>
          <w:szCs w:val="40"/>
        </w:rPr>
        <w:t>6</w:t>
      </w:r>
      <w:r w:rsidR="00986EC7" w:rsidRPr="00986EC7">
        <w:rPr>
          <w:rFonts w:ascii="Calibri" w:eastAsia="Times New Roman" w:hAnsi="Calibri" w:cs="Calibri"/>
          <w:b/>
          <w:i/>
          <w:sz w:val="40"/>
          <w:szCs w:val="40"/>
        </w:rPr>
        <w:t xml:space="preserve"> </w:t>
      </w:r>
      <w:r w:rsidR="00986EC7" w:rsidRPr="00986EC7">
        <w:rPr>
          <w:rFonts w:ascii="Calibri" w:eastAsia="Times New Roman" w:hAnsi="Calibri" w:cs="Calibri"/>
          <w:b/>
          <w:sz w:val="40"/>
          <w:szCs w:val="40"/>
        </w:rPr>
        <w:t xml:space="preserve">: </w:t>
      </w:r>
      <w:r w:rsidR="00986EC7" w:rsidRPr="00986EC7">
        <w:rPr>
          <w:rFonts w:ascii="Calibri" w:eastAsia="Times New Roman" w:hAnsi="Calibri" w:cs="Calibri"/>
          <w:sz w:val="40"/>
          <w:szCs w:val="40"/>
        </w:rPr>
        <w:t>Epreuve</w:t>
      </w:r>
      <w:r w:rsidR="00986EC7" w:rsidRPr="00986EC7">
        <w:rPr>
          <w:rFonts w:ascii="Calibri" w:eastAsia="Times New Roman" w:hAnsi="Calibri" w:cs="Calibri"/>
          <w:b/>
          <w:sz w:val="40"/>
          <w:szCs w:val="40"/>
        </w:rPr>
        <w:t xml:space="preserve"> UE</w:t>
      </w:r>
      <w:r>
        <w:rPr>
          <w:rFonts w:ascii="Calibri" w:eastAsia="Times New Roman" w:hAnsi="Calibri" w:cs="Calibri"/>
          <w:b/>
          <w:sz w:val="40"/>
          <w:szCs w:val="40"/>
        </w:rPr>
        <w:t>2</w:t>
      </w:r>
      <w:r w:rsidR="00986EC7" w:rsidRPr="00986EC7">
        <w:rPr>
          <w:rFonts w:ascii="Calibri" w:eastAsia="Times New Roman" w:hAnsi="Calibri" w:cs="Calibri"/>
          <w:b/>
          <w:sz w:val="40"/>
          <w:szCs w:val="40"/>
        </w:rPr>
        <w:t xml:space="preserve"> </w:t>
      </w:r>
      <w:r w:rsidR="00986EC7" w:rsidRPr="00986EC7">
        <w:rPr>
          <w:rFonts w:ascii="Calibri" w:eastAsia="Times New Roman" w:hAnsi="Calibri" w:cs="Calibri"/>
          <w:b/>
          <w:sz w:val="24"/>
          <w:szCs w:val="40"/>
        </w:rPr>
        <w:t xml:space="preserve">– </w:t>
      </w:r>
      <w:r>
        <w:rPr>
          <w:rFonts w:ascii="Calibri" w:eastAsia="Times New Roman" w:hAnsi="Calibri" w:cs="Calibri"/>
          <w:b/>
          <w:sz w:val="24"/>
          <w:szCs w:val="40"/>
        </w:rPr>
        <w:t>Histologie</w:t>
      </w:r>
    </w:p>
    <w:p w14:paraId="494A3CF3" w14:textId="6D51FAC6" w:rsidR="00986EC7" w:rsidRPr="00986EC7" w:rsidRDefault="00556300" w:rsidP="00986EC7">
      <w:pPr>
        <w:spacing w:after="0" w:line="240" w:lineRule="auto"/>
        <w:ind w:left="142"/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36"/>
          <w:szCs w:val="40"/>
        </w:rPr>
        <w:t>Tutorat 2016-2017</w:t>
      </w:r>
      <w:r w:rsidR="00986EC7" w:rsidRPr="00986EC7">
        <w:rPr>
          <w:rFonts w:ascii="Calibri" w:eastAsia="Times New Roman" w:hAnsi="Calibri" w:cs="Calibri"/>
          <w:sz w:val="36"/>
          <w:szCs w:val="40"/>
        </w:rPr>
        <w:t> :</w:t>
      </w:r>
      <w:r w:rsidR="00986EC7" w:rsidRPr="00986EC7">
        <w:rPr>
          <w:rFonts w:ascii="Calibri" w:eastAsia="Times New Roman" w:hAnsi="Calibri" w:cs="Times New Roman"/>
          <w:b/>
          <w:sz w:val="20"/>
        </w:rPr>
        <w:t xml:space="preserve"> </w:t>
      </w:r>
      <w:r w:rsidR="006E1BD5">
        <w:rPr>
          <w:rFonts w:ascii="Calibri" w:eastAsia="Times New Roman" w:hAnsi="Calibri" w:cs="Calibri"/>
          <w:b/>
          <w:color w:val="000000" w:themeColor="text1"/>
          <w:sz w:val="28"/>
          <w:szCs w:val="28"/>
        </w:rPr>
        <w:t>13</w:t>
      </w:r>
      <w:r w:rsidR="00986EC7" w:rsidRPr="00986EC7">
        <w:rPr>
          <w:rFonts w:ascii="Calibri" w:eastAsia="Times New Roman" w:hAnsi="Calibri" w:cs="Calibri"/>
          <w:b/>
          <w:color w:val="FF0000"/>
          <w:sz w:val="28"/>
          <w:szCs w:val="28"/>
        </w:rPr>
        <w:t xml:space="preserve"> </w:t>
      </w:r>
      <w:r w:rsidR="006E1BD5">
        <w:rPr>
          <w:rFonts w:ascii="Calibri" w:eastAsia="Times New Roman" w:hAnsi="Calibri" w:cs="Calibri"/>
          <w:b/>
          <w:sz w:val="28"/>
          <w:szCs w:val="28"/>
        </w:rPr>
        <w:t>QCMS – 60</w:t>
      </w:r>
      <w:r w:rsidR="00986EC7" w:rsidRPr="00986EC7">
        <w:rPr>
          <w:rFonts w:ascii="Calibri" w:eastAsia="Times New Roman" w:hAnsi="Calibri" w:cs="Calibri"/>
          <w:b/>
          <w:sz w:val="28"/>
          <w:szCs w:val="28"/>
        </w:rPr>
        <w:t xml:space="preserve"> MIN – Code épreuve : 00</w:t>
      </w:r>
      <w:r w:rsidR="006E1BD5">
        <w:rPr>
          <w:rFonts w:ascii="Calibri" w:eastAsia="Times New Roman" w:hAnsi="Calibri" w:cs="Calibri"/>
          <w:b/>
          <w:sz w:val="28"/>
          <w:szCs w:val="28"/>
        </w:rPr>
        <w:t>02</w:t>
      </w:r>
    </w:p>
    <w:p w14:paraId="40110720" w14:textId="77777777" w:rsidR="00986EC7" w:rsidRPr="00986EC7" w:rsidRDefault="00986EC7" w:rsidP="00986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D9EF14D" w14:textId="77777777" w:rsidR="00556300" w:rsidRPr="00556300" w:rsidRDefault="00556300" w:rsidP="00556300">
      <w:pPr>
        <w:tabs>
          <w:tab w:val="left" w:pos="1020"/>
        </w:tabs>
        <w:spacing w:after="160" w:line="240" w:lineRule="auto"/>
        <w:rPr>
          <w:rFonts w:ascii="Arial" w:eastAsia="Times New Roman" w:hAnsi="Arial" w:cs="Arial"/>
          <w:sz w:val="20"/>
          <w:szCs w:val="20"/>
        </w:rPr>
      </w:pPr>
    </w:p>
    <w:p w14:paraId="459BE499" w14:textId="5A9FAFC8" w:rsidR="00556300" w:rsidRPr="00556300" w:rsidRDefault="00556300" w:rsidP="0055630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>QCM 1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6E1BD5">
        <w:rPr>
          <w:rFonts w:ascii="Arial" w:eastAsia="Times New Roman" w:hAnsi="Arial" w:cs="Arial"/>
          <w:b/>
          <w:sz w:val="20"/>
          <w:szCs w:val="20"/>
        </w:rPr>
        <w:t>A propos d</w:t>
      </w:r>
      <w:r w:rsidR="00A3474A">
        <w:rPr>
          <w:rFonts w:ascii="Arial" w:eastAsia="Times New Roman" w:hAnsi="Arial" w:cs="Arial"/>
          <w:b/>
          <w:sz w:val="20"/>
          <w:szCs w:val="20"/>
        </w:rPr>
        <w:t>es fibres de collagène</w:t>
      </w:r>
      <w:r w:rsidR="004F2FE9">
        <w:rPr>
          <w:rFonts w:ascii="Arial" w:eastAsia="Times New Roman" w:hAnsi="Arial" w:cs="Arial"/>
          <w:b/>
          <w:sz w:val="20"/>
          <w:szCs w:val="20"/>
        </w:rPr>
        <w:t xml:space="preserve">, </w:t>
      </w:r>
      <w:proofErr w:type="gramStart"/>
      <w:r w:rsidR="004F2FE9">
        <w:rPr>
          <w:rFonts w:ascii="Arial" w:eastAsia="Times New Roman" w:hAnsi="Arial" w:cs="Arial"/>
          <w:b/>
          <w:sz w:val="20"/>
          <w:szCs w:val="20"/>
        </w:rPr>
        <w:t xml:space="preserve">donnez </w:t>
      </w:r>
      <w:proofErr w:type="spellStart"/>
      <w:r w:rsidR="004F2FE9">
        <w:rPr>
          <w:rFonts w:ascii="Arial" w:eastAsia="Times New Roman" w:hAnsi="Arial" w:cs="Arial"/>
          <w:b/>
          <w:sz w:val="20"/>
          <w:szCs w:val="20"/>
        </w:rPr>
        <w:t>la</w:t>
      </w:r>
      <w:proofErr w:type="spellEnd"/>
      <w:proofErr w:type="gramEnd"/>
      <w:r w:rsidR="004F2FE9">
        <w:rPr>
          <w:rFonts w:ascii="Arial" w:eastAsia="Times New Roman" w:hAnsi="Arial" w:cs="Arial"/>
          <w:b/>
          <w:sz w:val="20"/>
          <w:szCs w:val="20"/>
        </w:rPr>
        <w:t xml:space="preserve"> (les) proposition(s) vraie(s)</w:t>
      </w:r>
    </w:p>
    <w:p w14:paraId="089DA251" w14:textId="3B277741" w:rsidR="00556300" w:rsidRPr="004F2FE9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F2FE9">
        <w:rPr>
          <w:rFonts w:ascii="Arial" w:eastAsia="Times New Roman" w:hAnsi="Arial" w:cs="Arial"/>
          <w:sz w:val="20"/>
          <w:szCs w:val="20"/>
        </w:rPr>
        <w:t xml:space="preserve">A) </w:t>
      </w:r>
      <w:r w:rsidR="004F2FE9" w:rsidRPr="004F2FE9">
        <w:rPr>
          <w:rFonts w:ascii="Arial" w:hAnsi="Arial" w:cs="Arial"/>
          <w:color w:val="000000"/>
          <w:sz w:val="20"/>
          <w:szCs w:val="20"/>
        </w:rPr>
        <w:t>Le collagène de type IX est retrouvé à la surface des fibrilles de collagène de type II</w:t>
      </w:r>
      <w:r w:rsidR="00A3474A">
        <w:rPr>
          <w:rFonts w:ascii="Arial" w:hAnsi="Arial" w:cs="Arial"/>
          <w:color w:val="000000"/>
          <w:sz w:val="20"/>
          <w:szCs w:val="20"/>
        </w:rPr>
        <w:t>.</w:t>
      </w:r>
    </w:p>
    <w:p w14:paraId="2268C403" w14:textId="7416CC28" w:rsidR="00556300" w:rsidRPr="004F2FE9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F2FE9">
        <w:rPr>
          <w:rFonts w:ascii="Arial" w:eastAsia="Times New Roman" w:hAnsi="Arial" w:cs="Arial"/>
          <w:sz w:val="20"/>
          <w:szCs w:val="20"/>
        </w:rPr>
        <w:t xml:space="preserve">B) </w:t>
      </w:r>
      <w:r w:rsidR="004F2FE9" w:rsidRPr="004F2FE9">
        <w:rPr>
          <w:rFonts w:ascii="Arial" w:hAnsi="Arial" w:cs="Arial"/>
          <w:color w:val="000000"/>
          <w:sz w:val="20"/>
          <w:szCs w:val="20"/>
        </w:rPr>
        <w:t>Le collagène de type VI favorise la formation de collagène de type I de grand diamètre</w:t>
      </w:r>
      <w:r w:rsidR="00A3474A">
        <w:rPr>
          <w:rFonts w:ascii="Arial" w:hAnsi="Arial" w:cs="Arial"/>
          <w:color w:val="000000"/>
          <w:sz w:val="20"/>
          <w:szCs w:val="20"/>
        </w:rPr>
        <w:t>.</w:t>
      </w:r>
    </w:p>
    <w:p w14:paraId="28345E9D" w14:textId="29A308AD" w:rsidR="00556300" w:rsidRPr="004F2FE9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F2FE9">
        <w:rPr>
          <w:rFonts w:ascii="Arial" w:eastAsia="Times New Roman" w:hAnsi="Arial" w:cs="Arial"/>
          <w:sz w:val="20"/>
          <w:szCs w:val="20"/>
        </w:rPr>
        <w:t>C)</w:t>
      </w:r>
      <w:r w:rsidR="004F2FE9" w:rsidRPr="004F2FE9">
        <w:rPr>
          <w:rFonts w:ascii="Arial" w:hAnsi="Arial" w:cs="Arial"/>
          <w:color w:val="000000"/>
          <w:sz w:val="20"/>
          <w:szCs w:val="20"/>
        </w:rPr>
        <w:t xml:space="preserve"> Le collagène de type XVII est une molécule de localisation non-matricielle</w:t>
      </w:r>
      <w:r w:rsidR="00A3474A">
        <w:rPr>
          <w:rFonts w:ascii="Arial" w:hAnsi="Arial" w:cs="Arial"/>
          <w:color w:val="000000"/>
          <w:sz w:val="20"/>
          <w:szCs w:val="20"/>
        </w:rPr>
        <w:t>.</w:t>
      </w:r>
    </w:p>
    <w:p w14:paraId="7C1E775C" w14:textId="7070C12D" w:rsidR="00556300" w:rsidRPr="004F2FE9" w:rsidRDefault="004F2FE9" w:rsidP="0055630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F2FE9">
        <w:rPr>
          <w:rFonts w:ascii="Arial" w:eastAsia="Times New Roman" w:hAnsi="Arial" w:cs="Arial"/>
          <w:sz w:val="20"/>
          <w:szCs w:val="20"/>
        </w:rPr>
        <w:t xml:space="preserve">D) </w:t>
      </w:r>
      <w:r w:rsidRPr="004F2FE9">
        <w:rPr>
          <w:rFonts w:ascii="Arial" w:hAnsi="Arial" w:cs="Arial"/>
          <w:color w:val="000000"/>
          <w:sz w:val="20"/>
          <w:szCs w:val="20"/>
        </w:rPr>
        <w:t>Le collagène de type VII assure la stabilité des structures épithéliales</w:t>
      </w:r>
      <w:r w:rsidR="00A3474A">
        <w:rPr>
          <w:rFonts w:ascii="Arial" w:hAnsi="Arial" w:cs="Arial"/>
          <w:color w:val="000000"/>
          <w:sz w:val="20"/>
          <w:szCs w:val="20"/>
        </w:rPr>
        <w:t>.</w:t>
      </w:r>
    </w:p>
    <w:p w14:paraId="37D60BD1" w14:textId="77777777" w:rsidR="00556300" w:rsidRP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29903375" w14:textId="77777777" w:rsidR="00556300" w:rsidRP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C12E3E0" w14:textId="08A9D089" w:rsidR="00556300" w:rsidRPr="00556300" w:rsidRDefault="00556300" w:rsidP="0055630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>QCM 2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6E1BD5">
        <w:rPr>
          <w:rFonts w:ascii="Arial" w:eastAsia="Times New Roman" w:hAnsi="Arial" w:cs="Arial"/>
          <w:b/>
          <w:sz w:val="20"/>
          <w:szCs w:val="20"/>
        </w:rPr>
        <w:t>A propos du tissu cartilagineux</w:t>
      </w:r>
      <w:r w:rsidR="004F2FE9">
        <w:rPr>
          <w:rFonts w:ascii="Arial" w:eastAsia="Times New Roman" w:hAnsi="Arial" w:cs="Arial"/>
          <w:b/>
          <w:sz w:val="20"/>
          <w:szCs w:val="20"/>
        </w:rPr>
        <w:t xml:space="preserve">, </w:t>
      </w:r>
      <w:proofErr w:type="gramStart"/>
      <w:r w:rsidR="004F2FE9">
        <w:rPr>
          <w:rFonts w:ascii="Arial" w:eastAsia="Times New Roman" w:hAnsi="Arial" w:cs="Arial"/>
          <w:b/>
          <w:sz w:val="20"/>
          <w:szCs w:val="20"/>
        </w:rPr>
        <w:t xml:space="preserve">donnez </w:t>
      </w:r>
      <w:proofErr w:type="spellStart"/>
      <w:r w:rsidR="004F2FE9">
        <w:rPr>
          <w:rFonts w:ascii="Arial" w:eastAsia="Times New Roman" w:hAnsi="Arial" w:cs="Arial"/>
          <w:b/>
          <w:sz w:val="20"/>
          <w:szCs w:val="20"/>
        </w:rPr>
        <w:t>la</w:t>
      </w:r>
      <w:proofErr w:type="spellEnd"/>
      <w:proofErr w:type="gramEnd"/>
      <w:r w:rsidR="004F2FE9">
        <w:rPr>
          <w:rFonts w:ascii="Arial" w:eastAsia="Times New Roman" w:hAnsi="Arial" w:cs="Arial"/>
          <w:b/>
          <w:sz w:val="20"/>
          <w:szCs w:val="20"/>
        </w:rPr>
        <w:t xml:space="preserve"> (les) proposition(s) vraie(s)</w:t>
      </w:r>
    </w:p>
    <w:p w14:paraId="1BBCD015" w14:textId="13BECA6D" w:rsidR="00556300" w:rsidRP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926B9C">
        <w:rPr>
          <w:rFonts w:ascii="Arial" w:eastAsia="Times New Roman" w:hAnsi="Arial" w:cs="Arial"/>
          <w:sz w:val="20"/>
          <w:szCs w:val="20"/>
        </w:rPr>
        <w:t>Au niveau des synart</w:t>
      </w:r>
      <w:r w:rsidR="004F2FE9">
        <w:rPr>
          <w:rFonts w:ascii="Arial" w:eastAsia="Times New Roman" w:hAnsi="Arial" w:cs="Arial"/>
          <w:sz w:val="20"/>
          <w:szCs w:val="20"/>
        </w:rPr>
        <w:t>h</w:t>
      </w:r>
      <w:r w:rsidR="00926B9C">
        <w:rPr>
          <w:rFonts w:ascii="Arial" w:eastAsia="Times New Roman" w:hAnsi="Arial" w:cs="Arial"/>
          <w:sz w:val="20"/>
          <w:szCs w:val="20"/>
        </w:rPr>
        <w:t>roses</w:t>
      </w:r>
      <w:r w:rsidR="004F2FE9">
        <w:rPr>
          <w:rFonts w:ascii="Arial" w:eastAsia="Times New Roman" w:hAnsi="Arial" w:cs="Arial"/>
          <w:sz w:val="20"/>
          <w:szCs w:val="20"/>
        </w:rPr>
        <w:t>,</w:t>
      </w:r>
      <w:r w:rsidR="00926B9C">
        <w:rPr>
          <w:rFonts w:ascii="Arial" w:eastAsia="Times New Roman" w:hAnsi="Arial" w:cs="Arial"/>
          <w:sz w:val="20"/>
          <w:szCs w:val="20"/>
        </w:rPr>
        <w:t xml:space="preserve"> les connexions entre les pièces osseuses sont mobiles</w:t>
      </w:r>
      <w:r w:rsidR="004F2FE9">
        <w:rPr>
          <w:rFonts w:ascii="Arial" w:eastAsia="Times New Roman" w:hAnsi="Arial" w:cs="Arial"/>
          <w:sz w:val="20"/>
          <w:szCs w:val="20"/>
        </w:rPr>
        <w:t>.</w:t>
      </w:r>
    </w:p>
    <w:p w14:paraId="358788F3" w14:textId="6BB34E01" w:rsidR="00556300" w:rsidRPr="00556300" w:rsidRDefault="00556300" w:rsidP="00926B9C">
      <w:pPr>
        <w:tabs>
          <w:tab w:val="left" w:pos="433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926B9C">
        <w:rPr>
          <w:rFonts w:ascii="Arial" w:eastAsia="Times New Roman" w:hAnsi="Arial" w:cs="Arial"/>
          <w:sz w:val="20"/>
          <w:szCs w:val="20"/>
        </w:rPr>
        <w:t>Au niveau des amphiarthroses</w:t>
      </w:r>
      <w:r w:rsidR="004F2FE9">
        <w:rPr>
          <w:rFonts w:ascii="Arial" w:eastAsia="Times New Roman" w:hAnsi="Arial" w:cs="Arial"/>
          <w:sz w:val="20"/>
          <w:szCs w:val="20"/>
        </w:rPr>
        <w:t>,</w:t>
      </w:r>
      <w:r w:rsidR="00926B9C">
        <w:rPr>
          <w:rFonts w:ascii="Arial" w:eastAsia="Times New Roman" w:hAnsi="Arial" w:cs="Arial"/>
          <w:sz w:val="20"/>
          <w:szCs w:val="20"/>
        </w:rPr>
        <w:t xml:space="preserve"> les connexions entre les pièces osseuses sont peu mobiles entre elles</w:t>
      </w:r>
      <w:r w:rsidR="004F2FE9">
        <w:rPr>
          <w:rFonts w:ascii="Arial" w:eastAsia="Times New Roman" w:hAnsi="Arial" w:cs="Arial"/>
          <w:sz w:val="20"/>
          <w:szCs w:val="20"/>
        </w:rPr>
        <w:t>.</w:t>
      </w:r>
      <w:r w:rsidR="00926B9C">
        <w:rPr>
          <w:rFonts w:ascii="Arial" w:eastAsia="Times New Roman" w:hAnsi="Arial" w:cs="Arial"/>
          <w:sz w:val="20"/>
          <w:szCs w:val="20"/>
        </w:rPr>
        <w:tab/>
      </w:r>
    </w:p>
    <w:p w14:paraId="2B9DAB85" w14:textId="0CDA7AD7" w:rsidR="00556300" w:rsidRPr="00556300" w:rsidRDefault="00556300" w:rsidP="006E1836">
      <w:pPr>
        <w:tabs>
          <w:tab w:val="left" w:pos="7848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926B9C" w:rsidRPr="00926B9C">
        <w:rPr>
          <w:rFonts w:ascii="Arial" w:eastAsia="Times New Roman" w:hAnsi="Arial" w:cs="Arial"/>
          <w:sz w:val="20"/>
          <w:szCs w:val="20"/>
        </w:rPr>
        <w:t xml:space="preserve"> </w:t>
      </w:r>
      <w:r w:rsidR="00926B9C">
        <w:rPr>
          <w:rFonts w:ascii="Arial" w:eastAsia="Times New Roman" w:hAnsi="Arial" w:cs="Arial"/>
          <w:sz w:val="20"/>
          <w:szCs w:val="20"/>
        </w:rPr>
        <w:t>Au niveau des diarthroses</w:t>
      </w:r>
      <w:r w:rsidR="004F2FE9">
        <w:rPr>
          <w:rFonts w:ascii="Arial" w:eastAsia="Times New Roman" w:hAnsi="Arial" w:cs="Arial"/>
          <w:sz w:val="20"/>
          <w:szCs w:val="20"/>
        </w:rPr>
        <w:t>,</w:t>
      </w:r>
      <w:r w:rsidR="00926B9C">
        <w:rPr>
          <w:rFonts w:ascii="Arial" w:eastAsia="Times New Roman" w:hAnsi="Arial" w:cs="Arial"/>
          <w:sz w:val="20"/>
          <w:szCs w:val="20"/>
        </w:rPr>
        <w:t xml:space="preserve"> les connexions entre les pièces osseuses sont fixes</w:t>
      </w:r>
      <w:r w:rsidR="004F2FE9">
        <w:rPr>
          <w:rFonts w:ascii="Arial" w:eastAsia="Times New Roman" w:hAnsi="Arial" w:cs="Arial"/>
          <w:sz w:val="20"/>
          <w:szCs w:val="20"/>
        </w:rPr>
        <w:t>.</w:t>
      </w:r>
    </w:p>
    <w:p w14:paraId="5AC9CD9B" w14:textId="0D8E6166" w:rsidR="00556300" w:rsidRPr="00556300" w:rsidRDefault="006E1836" w:rsidP="0055630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Ces trois types de cartilage</w:t>
      </w:r>
      <w:r w:rsidR="00F40F0B">
        <w:rPr>
          <w:rFonts w:ascii="Arial" w:eastAsia="Times New Roman" w:hAnsi="Arial" w:cs="Arial"/>
          <w:sz w:val="20"/>
          <w:szCs w:val="20"/>
        </w:rPr>
        <w:t>s</w:t>
      </w:r>
      <w:r>
        <w:rPr>
          <w:rFonts w:ascii="Arial" w:eastAsia="Times New Roman" w:hAnsi="Arial" w:cs="Arial"/>
          <w:sz w:val="20"/>
          <w:szCs w:val="20"/>
        </w:rPr>
        <w:t xml:space="preserve"> articulaire</w:t>
      </w:r>
      <w:r w:rsidR="00F40F0B">
        <w:rPr>
          <w:rFonts w:ascii="Arial" w:eastAsia="Times New Roman" w:hAnsi="Arial" w:cs="Arial"/>
          <w:sz w:val="20"/>
          <w:szCs w:val="20"/>
        </w:rPr>
        <w:t>s</w:t>
      </w:r>
      <w:r>
        <w:rPr>
          <w:rFonts w:ascii="Arial" w:eastAsia="Times New Roman" w:hAnsi="Arial" w:cs="Arial"/>
          <w:sz w:val="20"/>
          <w:szCs w:val="20"/>
        </w:rPr>
        <w:t xml:space="preserve"> sont approvisionnés en métabolites et en eau grâce au périchondre qui les entoure (car </w:t>
      </w:r>
      <w:r w:rsidR="00F40F0B">
        <w:rPr>
          <w:rFonts w:ascii="Arial" w:eastAsia="Times New Roman" w:hAnsi="Arial" w:cs="Arial"/>
          <w:sz w:val="20"/>
          <w:szCs w:val="20"/>
        </w:rPr>
        <w:t>le périchondre</w:t>
      </w:r>
      <w:r>
        <w:rPr>
          <w:rFonts w:ascii="Arial" w:eastAsia="Times New Roman" w:hAnsi="Arial" w:cs="Arial"/>
          <w:sz w:val="20"/>
          <w:szCs w:val="20"/>
        </w:rPr>
        <w:t xml:space="preserve"> est vascularisé au niveau </w:t>
      </w:r>
      <w:r w:rsidR="00A3474A">
        <w:rPr>
          <w:rFonts w:ascii="Arial" w:eastAsia="Times New Roman" w:hAnsi="Arial" w:cs="Arial"/>
          <w:sz w:val="20"/>
          <w:szCs w:val="20"/>
        </w:rPr>
        <w:t>de sa partie externe, fibreuse).</w:t>
      </w:r>
    </w:p>
    <w:p w14:paraId="0AE1874F" w14:textId="77777777" w:rsid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05E37959" w14:textId="77777777" w:rsidR="006E1BD5" w:rsidRDefault="006E1BD5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8A03CCE" w14:textId="3FEBEBC7" w:rsidR="006E1BD5" w:rsidRPr="00556300" w:rsidRDefault="006E1BD5" w:rsidP="006E1BD5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3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A propos du tissu cartilagineux</w:t>
      </w:r>
      <w:r w:rsidR="004F2FE9">
        <w:rPr>
          <w:rFonts w:ascii="Arial" w:eastAsia="Times New Roman" w:hAnsi="Arial" w:cs="Arial"/>
          <w:b/>
          <w:sz w:val="20"/>
          <w:szCs w:val="20"/>
        </w:rPr>
        <w:t xml:space="preserve">, </w:t>
      </w:r>
      <w:proofErr w:type="gramStart"/>
      <w:r w:rsidR="004F2FE9">
        <w:rPr>
          <w:rFonts w:ascii="Arial" w:eastAsia="Times New Roman" w:hAnsi="Arial" w:cs="Arial"/>
          <w:b/>
          <w:sz w:val="20"/>
          <w:szCs w:val="20"/>
        </w:rPr>
        <w:t xml:space="preserve">donnez </w:t>
      </w:r>
      <w:proofErr w:type="spellStart"/>
      <w:r w:rsidR="004F2FE9">
        <w:rPr>
          <w:rFonts w:ascii="Arial" w:eastAsia="Times New Roman" w:hAnsi="Arial" w:cs="Arial"/>
          <w:b/>
          <w:sz w:val="20"/>
          <w:szCs w:val="20"/>
        </w:rPr>
        <w:t>la</w:t>
      </w:r>
      <w:proofErr w:type="spellEnd"/>
      <w:proofErr w:type="gramEnd"/>
      <w:r w:rsidR="004F2FE9">
        <w:rPr>
          <w:rFonts w:ascii="Arial" w:eastAsia="Times New Roman" w:hAnsi="Arial" w:cs="Arial"/>
          <w:b/>
          <w:sz w:val="20"/>
          <w:szCs w:val="20"/>
        </w:rPr>
        <w:t xml:space="preserve"> (les) proposition(s) vraie(s)</w:t>
      </w:r>
    </w:p>
    <w:p w14:paraId="76498978" w14:textId="5B633DB2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6E1836">
        <w:rPr>
          <w:rFonts w:ascii="Arial" w:eastAsia="Times New Roman" w:hAnsi="Arial" w:cs="Arial"/>
          <w:sz w:val="20"/>
          <w:szCs w:val="20"/>
        </w:rPr>
        <w:t xml:space="preserve">Les </w:t>
      </w:r>
      <w:proofErr w:type="spellStart"/>
      <w:r w:rsidR="006E1836">
        <w:rPr>
          <w:rFonts w:ascii="Arial" w:eastAsia="Times New Roman" w:hAnsi="Arial" w:cs="Arial"/>
          <w:sz w:val="20"/>
          <w:szCs w:val="20"/>
        </w:rPr>
        <w:t>chondroclastes</w:t>
      </w:r>
      <w:proofErr w:type="spellEnd"/>
      <w:r w:rsidR="006E1836">
        <w:rPr>
          <w:rFonts w:ascii="Arial" w:eastAsia="Times New Roman" w:hAnsi="Arial" w:cs="Arial"/>
          <w:sz w:val="20"/>
          <w:szCs w:val="20"/>
        </w:rPr>
        <w:t xml:space="preserve"> assurent la </w:t>
      </w:r>
      <w:r w:rsidR="00611AB9">
        <w:rPr>
          <w:rFonts w:ascii="Arial" w:eastAsia="Times New Roman" w:hAnsi="Arial" w:cs="Arial"/>
          <w:sz w:val="20"/>
          <w:szCs w:val="20"/>
        </w:rPr>
        <w:t xml:space="preserve">synthèse et la </w:t>
      </w:r>
      <w:r w:rsidR="006E1836">
        <w:rPr>
          <w:rFonts w:ascii="Arial" w:eastAsia="Times New Roman" w:hAnsi="Arial" w:cs="Arial"/>
          <w:sz w:val="20"/>
          <w:szCs w:val="20"/>
        </w:rPr>
        <w:t>dégradation de tous les constituants moléculaires de la MEC</w:t>
      </w:r>
      <w:r w:rsidR="004F2FE9">
        <w:rPr>
          <w:rFonts w:ascii="Arial" w:eastAsia="Times New Roman" w:hAnsi="Arial" w:cs="Arial"/>
          <w:sz w:val="20"/>
          <w:szCs w:val="20"/>
        </w:rPr>
        <w:t>.</w:t>
      </w:r>
    </w:p>
    <w:p w14:paraId="7E2BAA3D" w14:textId="14193099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3B2359">
        <w:rPr>
          <w:rFonts w:ascii="Arial" w:eastAsia="Times New Roman" w:hAnsi="Arial" w:cs="Arial"/>
          <w:sz w:val="20"/>
          <w:szCs w:val="20"/>
        </w:rPr>
        <w:t>La substance fondamentale est constitué</w:t>
      </w:r>
      <w:r w:rsidR="00F40F0B">
        <w:rPr>
          <w:rFonts w:ascii="Arial" w:eastAsia="Times New Roman" w:hAnsi="Arial" w:cs="Arial"/>
          <w:sz w:val="20"/>
          <w:szCs w:val="20"/>
        </w:rPr>
        <w:t>e</w:t>
      </w:r>
      <w:r w:rsidR="003B2359">
        <w:rPr>
          <w:rFonts w:ascii="Arial" w:eastAsia="Times New Roman" w:hAnsi="Arial" w:cs="Arial"/>
          <w:sz w:val="20"/>
          <w:szCs w:val="20"/>
        </w:rPr>
        <w:t xml:space="preserve"> de </w:t>
      </w:r>
      <w:proofErr w:type="spellStart"/>
      <w:r w:rsidR="003B2359">
        <w:rPr>
          <w:rFonts w:ascii="Arial" w:eastAsia="Times New Roman" w:hAnsi="Arial" w:cs="Arial"/>
          <w:sz w:val="20"/>
          <w:szCs w:val="20"/>
        </w:rPr>
        <w:t>protéoglyca</w:t>
      </w:r>
      <w:r w:rsidR="00F40F0B">
        <w:rPr>
          <w:rFonts w:ascii="Arial" w:eastAsia="Times New Roman" w:hAnsi="Arial" w:cs="Arial"/>
          <w:sz w:val="20"/>
          <w:szCs w:val="20"/>
        </w:rPr>
        <w:t>n</w:t>
      </w:r>
      <w:r w:rsidR="003B2359">
        <w:rPr>
          <w:rFonts w:ascii="Arial" w:eastAsia="Times New Roman" w:hAnsi="Arial" w:cs="Arial"/>
          <w:sz w:val="20"/>
          <w:szCs w:val="20"/>
        </w:rPr>
        <w:t>nes</w:t>
      </w:r>
      <w:proofErr w:type="spellEnd"/>
      <w:r w:rsidR="003B2359">
        <w:rPr>
          <w:rFonts w:ascii="Arial" w:eastAsia="Times New Roman" w:hAnsi="Arial" w:cs="Arial"/>
          <w:sz w:val="20"/>
          <w:szCs w:val="20"/>
        </w:rPr>
        <w:t xml:space="preserve"> et de glycosaminoglycanes, responsables de la forte hydratation du tissu</w:t>
      </w:r>
      <w:r w:rsidR="004F2FE9">
        <w:rPr>
          <w:rFonts w:ascii="Arial" w:eastAsia="Times New Roman" w:hAnsi="Arial" w:cs="Arial"/>
          <w:sz w:val="20"/>
          <w:szCs w:val="20"/>
        </w:rPr>
        <w:t>.</w:t>
      </w:r>
    </w:p>
    <w:p w14:paraId="6C2EEADB" w14:textId="1468D0A6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3B2359">
        <w:rPr>
          <w:rFonts w:ascii="Arial" w:eastAsia="Times New Roman" w:hAnsi="Arial" w:cs="Arial"/>
          <w:sz w:val="20"/>
          <w:szCs w:val="20"/>
        </w:rPr>
        <w:t xml:space="preserve"> Les </w:t>
      </w:r>
      <w:r w:rsidR="004F2FE9">
        <w:rPr>
          <w:rFonts w:ascii="Arial" w:eastAsia="Times New Roman" w:hAnsi="Arial" w:cs="Arial"/>
          <w:sz w:val="20"/>
          <w:szCs w:val="20"/>
        </w:rPr>
        <w:t>molécules d’acide hyaluronique</w:t>
      </w:r>
      <w:r w:rsidR="003546B0">
        <w:rPr>
          <w:rFonts w:ascii="Arial" w:eastAsia="Times New Roman" w:hAnsi="Arial" w:cs="Arial"/>
          <w:sz w:val="20"/>
          <w:szCs w:val="20"/>
        </w:rPr>
        <w:t xml:space="preserve"> </w:t>
      </w:r>
      <w:r w:rsidR="004F2FE9">
        <w:rPr>
          <w:rFonts w:ascii="Arial" w:eastAsia="Times New Roman" w:hAnsi="Arial" w:cs="Arial"/>
          <w:sz w:val="20"/>
          <w:szCs w:val="20"/>
        </w:rPr>
        <w:t>se fixent</w:t>
      </w:r>
      <w:r w:rsidR="003B2359">
        <w:rPr>
          <w:rFonts w:ascii="Arial" w:eastAsia="Times New Roman" w:hAnsi="Arial" w:cs="Arial"/>
          <w:sz w:val="20"/>
          <w:szCs w:val="20"/>
        </w:rPr>
        <w:t xml:space="preserve"> sur les </w:t>
      </w:r>
      <w:proofErr w:type="spellStart"/>
      <w:r w:rsidR="003B2359">
        <w:rPr>
          <w:rFonts w:ascii="Arial" w:eastAsia="Times New Roman" w:hAnsi="Arial" w:cs="Arial"/>
          <w:sz w:val="20"/>
          <w:szCs w:val="20"/>
        </w:rPr>
        <w:t>protéoglyca</w:t>
      </w:r>
      <w:r w:rsidR="00F40F0B">
        <w:rPr>
          <w:rFonts w:ascii="Arial" w:eastAsia="Times New Roman" w:hAnsi="Arial" w:cs="Arial"/>
          <w:sz w:val="20"/>
          <w:szCs w:val="20"/>
        </w:rPr>
        <w:t>n</w:t>
      </w:r>
      <w:r w:rsidR="003B2359">
        <w:rPr>
          <w:rFonts w:ascii="Arial" w:eastAsia="Times New Roman" w:hAnsi="Arial" w:cs="Arial"/>
          <w:sz w:val="20"/>
          <w:szCs w:val="20"/>
        </w:rPr>
        <w:t>nes</w:t>
      </w:r>
      <w:proofErr w:type="spellEnd"/>
      <w:r w:rsidR="003B2359">
        <w:rPr>
          <w:rFonts w:ascii="Arial" w:eastAsia="Times New Roman" w:hAnsi="Arial" w:cs="Arial"/>
          <w:sz w:val="20"/>
          <w:szCs w:val="20"/>
        </w:rPr>
        <w:t xml:space="preserve"> de type </w:t>
      </w:r>
      <w:proofErr w:type="spellStart"/>
      <w:r w:rsidR="003B2359">
        <w:rPr>
          <w:rFonts w:ascii="Arial" w:eastAsia="Times New Roman" w:hAnsi="Arial" w:cs="Arial"/>
          <w:sz w:val="20"/>
          <w:szCs w:val="20"/>
        </w:rPr>
        <w:t>aggrécane</w:t>
      </w:r>
      <w:proofErr w:type="spellEnd"/>
      <w:r w:rsidR="003B2359">
        <w:rPr>
          <w:rFonts w:ascii="Arial" w:eastAsia="Times New Roman" w:hAnsi="Arial" w:cs="Arial"/>
          <w:sz w:val="20"/>
          <w:szCs w:val="20"/>
        </w:rPr>
        <w:t xml:space="preserve">, qui eux se branchent sur </w:t>
      </w:r>
      <w:r w:rsidR="003546B0">
        <w:rPr>
          <w:rFonts w:ascii="Arial" w:eastAsia="Times New Roman" w:hAnsi="Arial" w:cs="Arial"/>
          <w:sz w:val="20"/>
          <w:szCs w:val="20"/>
        </w:rPr>
        <w:t>une molécule de glycosaminoglycane</w:t>
      </w:r>
      <w:r w:rsidR="004F2FE9">
        <w:rPr>
          <w:rFonts w:ascii="Arial" w:eastAsia="Times New Roman" w:hAnsi="Arial" w:cs="Arial"/>
          <w:sz w:val="20"/>
          <w:szCs w:val="20"/>
        </w:rPr>
        <w:t>.</w:t>
      </w:r>
    </w:p>
    <w:p w14:paraId="5EF4C7C5" w14:textId="703D0835" w:rsidR="006E1BD5" w:rsidRPr="00556300" w:rsidRDefault="00F40F0B" w:rsidP="006E1BD5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="003B2359">
        <w:rPr>
          <w:rFonts w:ascii="Arial" w:eastAsia="Times New Roman" w:hAnsi="Arial" w:cs="Arial"/>
          <w:sz w:val="20"/>
          <w:szCs w:val="20"/>
        </w:rPr>
        <w:t>La nature des constituants matriciels sera modifié selon : le degré de différenciation, l’état physiologique des chondrocytes, l’âge des individus</w:t>
      </w:r>
      <w:r w:rsidR="004F2FE9">
        <w:rPr>
          <w:rFonts w:ascii="Arial" w:eastAsia="Times New Roman" w:hAnsi="Arial" w:cs="Arial"/>
          <w:sz w:val="20"/>
          <w:szCs w:val="20"/>
        </w:rPr>
        <w:t>.</w:t>
      </w:r>
    </w:p>
    <w:p w14:paraId="6FA0C647" w14:textId="77777777" w:rsidR="006E1BD5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59B14B41" w14:textId="77777777" w:rsidR="006E1BD5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49AF8B" w14:textId="440358F3" w:rsidR="006E1BD5" w:rsidRPr="00A3474A" w:rsidRDefault="006E1BD5" w:rsidP="006E1BD5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A3474A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FC1F5F" w:rsidRPr="00A3474A">
        <w:rPr>
          <w:rFonts w:ascii="Arial" w:eastAsia="Times New Roman" w:hAnsi="Arial" w:cs="Arial"/>
          <w:b/>
          <w:sz w:val="20"/>
          <w:szCs w:val="20"/>
          <w:u w:val="single"/>
        </w:rPr>
        <w:t>4</w:t>
      </w:r>
      <w:r w:rsidRPr="00A3474A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FC1F5F" w:rsidRPr="00A3474A">
        <w:rPr>
          <w:rFonts w:ascii="Arial" w:eastAsia="Times New Roman" w:hAnsi="Arial" w:cs="Arial"/>
          <w:b/>
          <w:sz w:val="20"/>
          <w:szCs w:val="20"/>
        </w:rPr>
        <w:t xml:space="preserve">A propos </w:t>
      </w:r>
      <w:r w:rsidR="00D878C7" w:rsidRPr="00A3474A">
        <w:rPr>
          <w:rFonts w:ascii="Arial" w:eastAsia="Times New Roman" w:hAnsi="Arial" w:cs="Arial"/>
          <w:b/>
          <w:sz w:val="20"/>
          <w:szCs w:val="20"/>
        </w:rPr>
        <w:t xml:space="preserve">de l’ostéogénèse, </w:t>
      </w:r>
      <w:proofErr w:type="gramStart"/>
      <w:r w:rsidR="00D878C7" w:rsidRPr="00A3474A">
        <w:rPr>
          <w:rFonts w:ascii="Arial" w:eastAsia="Times New Roman" w:hAnsi="Arial" w:cs="Arial"/>
          <w:b/>
          <w:sz w:val="20"/>
          <w:szCs w:val="20"/>
        </w:rPr>
        <w:t xml:space="preserve">donnez </w:t>
      </w:r>
      <w:proofErr w:type="spellStart"/>
      <w:r w:rsidR="00D878C7" w:rsidRPr="00A3474A">
        <w:rPr>
          <w:rFonts w:ascii="Arial" w:eastAsia="Times New Roman" w:hAnsi="Arial" w:cs="Arial"/>
          <w:b/>
          <w:sz w:val="20"/>
          <w:szCs w:val="20"/>
        </w:rPr>
        <w:t>la</w:t>
      </w:r>
      <w:proofErr w:type="spellEnd"/>
      <w:proofErr w:type="gramEnd"/>
      <w:r w:rsidR="00D878C7" w:rsidRPr="00A3474A">
        <w:rPr>
          <w:rFonts w:ascii="Arial" w:eastAsia="Times New Roman" w:hAnsi="Arial" w:cs="Arial"/>
          <w:b/>
          <w:sz w:val="20"/>
          <w:szCs w:val="20"/>
        </w:rPr>
        <w:t xml:space="preserve"> (les) proposition(s) vraie(s)</w:t>
      </w:r>
    </w:p>
    <w:p w14:paraId="46E02EFB" w14:textId="5A4F4B1E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 xml:space="preserve">A) </w:t>
      </w:r>
      <w:r w:rsidR="00A3474A" w:rsidRPr="00A3474A">
        <w:rPr>
          <w:rFonts w:ascii="Arial" w:eastAsia="Times New Roman" w:hAnsi="Arial" w:cs="Arial"/>
          <w:sz w:val="20"/>
          <w:szCs w:val="20"/>
        </w:rPr>
        <w:t>L</w:t>
      </w:r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’ostéogenèse diaphysaire et </w:t>
      </w:r>
      <w:proofErr w:type="spellStart"/>
      <w:r w:rsidR="00A3474A" w:rsidRPr="00A3474A">
        <w:rPr>
          <w:rFonts w:ascii="Arial" w:hAnsi="Arial" w:cs="Arial"/>
          <w:color w:val="000000"/>
          <w:sz w:val="20"/>
          <w:szCs w:val="20"/>
        </w:rPr>
        <w:t>épiphysaire</w:t>
      </w:r>
      <w:proofErr w:type="spellEnd"/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 ont lieu lors de la gestation</w:t>
      </w:r>
      <w:r w:rsidR="00A3474A">
        <w:rPr>
          <w:rFonts w:ascii="Arial" w:hAnsi="Arial" w:cs="Arial"/>
          <w:color w:val="000000"/>
          <w:sz w:val="20"/>
          <w:szCs w:val="20"/>
        </w:rPr>
        <w:t>.</w:t>
      </w:r>
    </w:p>
    <w:p w14:paraId="21771D1A" w14:textId="2F01A59A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 xml:space="preserve">B) </w:t>
      </w:r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Durant l’ostéogenèse diaphysaire, les </w:t>
      </w:r>
      <w:proofErr w:type="spellStart"/>
      <w:r w:rsidR="00A3474A" w:rsidRPr="00A3474A">
        <w:rPr>
          <w:rFonts w:ascii="Arial" w:hAnsi="Arial" w:cs="Arial"/>
          <w:color w:val="000000"/>
          <w:sz w:val="20"/>
          <w:szCs w:val="20"/>
        </w:rPr>
        <w:t>chondrocytes</w:t>
      </w:r>
      <w:proofErr w:type="spellEnd"/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 sécrètent de nombreux facteurs tel que le VEGF qui intervient dans la minéralisation de la MEC</w:t>
      </w:r>
      <w:r w:rsidR="00A3474A">
        <w:rPr>
          <w:rFonts w:ascii="Arial" w:hAnsi="Arial" w:cs="Arial"/>
          <w:color w:val="000000"/>
          <w:sz w:val="20"/>
          <w:szCs w:val="20"/>
        </w:rPr>
        <w:t>.</w:t>
      </w:r>
    </w:p>
    <w:p w14:paraId="71A43C5E" w14:textId="6D3AC767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>C)</w:t>
      </w:r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 Le facteur paracrine IHH intervient dans l’ossification en activant la prolifération des </w:t>
      </w:r>
      <w:proofErr w:type="spellStart"/>
      <w:r w:rsidR="00A3474A" w:rsidRPr="00A3474A">
        <w:rPr>
          <w:rFonts w:ascii="Arial" w:hAnsi="Arial" w:cs="Arial"/>
          <w:color w:val="000000"/>
          <w:sz w:val="20"/>
          <w:szCs w:val="20"/>
        </w:rPr>
        <w:t>chondrocytes</w:t>
      </w:r>
      <w:proofErr w:type="spellEnd"/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 et en permettant la différenciation des cellules </w:t>
      </w:r>
      <w:proofErr w:type="spellStart"/>
      <w:r w:rsidR="00A3474A" w:rsidRPr="00A3474A">
        <w:rPr>
          <w:rFonts w:ascii="Arial" w:hAnsi="Arial" w:cs="Arial"/>
          <w:color w:val="000000"/>
          <w:sz w:val="20"/>
          <w:szCs w:val="20"/>
        </w:rPr>
        <w:t>endochondrales</w:t>
      </w:r>
      <w:proofErr w:type="spellEnd"/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 en ostéoblastes</w:t>
      </w:r>
      <w:r w:rsidR="00A3474A">
        <w:rPr>
          <w:rFonts w:ascii="Arial" w:hAnsi="Arial" w:cs="Arial"/>
          <w:color w:val="000000"/>
          <w:sz w:val="20"/>
          <w:szCs w:val="20"/>
        </w:rPr>
        <w:t>.</w:t>
      </w:r>
    </w:p>
    <w:p w14:paraId="44ACDEC1" w14:textId="4EADCFF4" w:rsidR="006E1BD5" w:rsidRPr="00A3474A" w:rsidRDefault="006E1BD5" w:rsidP="006E1BD5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 xml:space="preserve">D) </w:t>
      </w:r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Le facteur paracrine IHH induit la production de </w:t>
      </w:r>
      <w:proofErr w:type="spellStart"/>
      <w:r w:rsidR="00A3474A" w:rsidRPr="00A3474A">
        <w:rPr>
          <w:rFonts w:ascii="Arial" w:hAnsi="Arial" w:cs="Arial"/>
          <w:color w:val="000000"/>
          <w:sz w:val="20"/>
          <w:szCs w:val="20"/>
        </w:rPr>
        <w:t>PTHrp</w:t>
      </w:r>
      <w:proofErr w:type="spellEnd"/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 qui stimule la transformation des </w:t>
      </w:r>
      <w:proofErr w:type="spellStart"/>
      <w:r w:rsidR="00A3474A" w:rsidRPr="00A3474A">
        <w:rPr>
          <w:rFonts w:ascii="Arial" w:hAnsi="Arial" w:cs="Arial"/>
          <w:color w:val="000000"/>
          <w:sz w:val="20"/>
          <w:szCs w:val="20"/>
        </w:rPr>
        <w:t>chondrocytes</w:t>
      </w:r>
      <w:proofErr w:type="spellEnd"/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 du cartilage sérié en </w:t>
      </w:r>
      <w:proofErr w:type="spellStart"/>
      <w:r w:rsidR="00A3474A" w:rsidRPr="00A3474A">
        <w:rPr>
          <w:rFonts w:ascii="Arial" w:hAnsi="Arial" w:cs="Arial"/>
          <w:color w:val="000000"/>
          <w:sz w:val="20"/>
          <w:szCs w:val="20"/>
        </w:rPr>
        <w:t>chondrocytes</w:t>
      </w:r>
      <w:proofErr w:type="spellEnd"/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 hypertrophiques</w:t>
      </w:r>
      <w:r w:rsidR="00A3474A">
        <w:rPr>
          <w:rFonts w:ascii="Arial" w:eastAsia="Times New Roman" w:hAnsi="Arial" w:cs="Arial"/>
          <w:sz w:val="20"/>
          <w:szCs w:val="20"/>
        </w:rPr>
        <w:t>.</w:t>
      </w:r>
    </w:p>
    <w:p w14:paraId="36EA6EA7" w14:textId="77777777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3CF60F8B" w14:textId="77777777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EB3834D" w14:textId="621B1F30" w:rsidR="006E1BD5" w:rsidRPr="00A3474A" w:rsidRDefault="006E1BD5" w:rsidP="006E1BD5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A3474A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FC1F5F" w:rsidRPr="00A3474A">
        <w:rPr>
          <w:rFonts w:ascii="Arial" w:eastAsia="Times New Roman" w:hAnsi="Arial" w:cs="Arial"/>
          <w:b/>
          <w:sz w:val="20"/>
          <w:szCs w:val="20"/>
          <w:u w:val="single"/>
        </w:rPr>
        <w:t>5</w:t>
      </w:r>
      <w:r w:rsidRPr="00A3474A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FC1F5F" w:rsidRPr="00A3474A">
        <w:rPr>
          <w:rFonts w:ascii="Arial" w:eastAsia="Times New Roman" w:hAnsi="Arial" w:cs="Arial"/>
          <w:b/>
          <w:sz w:val="20"/>
          <w:szCs w:val="20"/>
        </w:rPr>
        <w:t xml:space="preserve">A propos du </w:t>
      </w:r>
      <w:r w:rsidR="00A3474A" w:rsidRPr="00A3474A">
        <w:rPr>
          <w:rFonts w:ascii="Arial" w:eastAsia="Times New Roman" w:hAnsi="Arial" w:cs="Arial"/>
          <w:b/>
          <w:sz w:val="20"/>
          <w:szCs w:val="20"/>
        </w:rPr>
        <w:t xml:space="preserve">remodelage osseux, </w:t>
      </w:r>
      <w:proofErr w:type="gramStart"/>
      <w:r w:rsidR="00A3474A" w:rsidRPr="00A3474A">
        <w:rPr>
          <w:rFonts w:ascii="Arial" w:eastAsia="Times New Roman" w:hAnsi="Arial" w:cs="Arial"/>
          <w:b/>
          <w:sz w:val="20"/>
          <w:szCs w:val="20"/>
        </w:rPr>
        <w:t xml:space="preserve">donnez </w:t>
      </w:r>
      <w:proofErr w:type="spellStart"/>
      <w:r w:rsidR="00A3474A" w:rsidRPr="00A3474A">
        <w:rPr>
          <w:rFonts w:ascii="Arial" w:eastAsia="Times New Roman" w:hAnsi="Arial" w:cs="Arial"/>
          <w:b/>
          <w:sz w:val="20"/>
          <w:szCs w:val="20"/>
        </w:rPr>
        <w:t>la</w:t>
      </w:r>
      <w:proofErr w:type="spellEnd"/>
      <w:proofErr w:type="gramEnd"/>
      <w:r w:rsidR="00A3474A" w:rsidRPr="00A3474A">
        <w:rPr>
          <w:rFonts w:ascii="Arial" w:eastAsia="Times New Roman" w:hAnsi="Arial" w:cs="Arial"/>
          <w:b/>
          <w:sz w:val="20"/>
          <w:szCs w:val="20"/>
        </w:rPr>
        <w:t xml:space="preserve"> (les) proposition(s) vraie(s)</w:t>
      </w:r>
    </w:p>
    <w:p w14:paraId="37C0F50B" w14:textId="146FB3CF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 xml:space="preserve">A) </w:t>
      </w:r>
      <w:r w:rsidR="00B0779F">
        <w:rPr>
          <w:rFonts w:ascii="Arial" w:eastAsia="Times New Roman" w:hAnsi="Arial" w:cs="Arial"/>
          <w:sz w:val="20"/>
          <w:szCs w:val="20"/>
        </w:rPr>
        <w:t>L</w:t>
      </w:r>
      <w:r w:rsidR="00A3474A" w:rsidRPr="00A3474A">
        <w:rPr>
          <w:rFonts w:ascii="Arial" w:hAnsi="Arial" w:cs="Arial"/>
          <w:color w:val="000000"/>
          <w:sz w:val="20"/>
          <w:szCs w:val="20"/>
        </w:rPr>
        <w:t>es ostéoclastes intervenant dans la résorption osseuse sont recrutés et activés grâce au facteur soluble OPG</w:t>
      </w:r>
      <w:r w:rsidR="00B0779F">
        <w:rPr>
          <w:rFonts w:ascii="Arial" w:hAnsi="Arial" w:cs="Arial"/>
          <w:color w:val="000000"/>
          <w:sz w:val="20"/>
          <w:szCs w:val="20"/>
        </w:rPr>
        <w:t>.</w:t>
      </w:r>
    </w:p>
    <w:p w14:paraId="00857932" w14:textId="1C51D5DB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 xml:space="preserve">B) </w:t>
      </w:r>
      <w:r w:rsidR="00A3474A" w:rsidRPr="00A3474A">
        <w:rPr>
          <w:rFonts w:ascii="Arial" w:hAnsi="Arial" w:cs="Arial"/>
          <w:color w:val="000000"/>
          <w:sz w:val="20"/>
          <w:szCs w:val="20"/>
        </w:rPr>
        <w:t>La résorption osseuse est initiée par la fixation des ostéoclastes à la matrice osseuse via des contacts focaux</w:t>
      </w:r>
      <w:r w:rsidR="00B0779F">
        <w:rPr>
          <w:rFonts w:ascii="Arial" w:hAnsi="Arial" w:cs="Arial"/>
          <w:color w:val="000000"/>
          <w:sz w:val="20"/>
          <w:szCs w:val="20"/>
        </w:rPr>
        <w:t>.</w:t>
      </w:r>
    </w:p>
    <w:p w14:paraId="1B87309C" w14:textId="652A861B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>C)</w:t>
      </w:r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 Les ostéoclastes rongent la matrice osseuse grâce à une acidification locale </w:t>
      </w:r>
      <w:r w:rsidR="00F40F0B">
        <w:rPr>
          <w:rFonts w:ascii="Arial" w:hAnsi="Arial" w:cs="Arial"/>
          <w:color w:val="000000"/>
          <w:sz w:val="20"/>
          <w:szCs w:val="20"/>
        </w:rPr>
        <w:t>(</w:t>
      </w:r>
      <w:r w:rsidR="00A3474A" w:rsidRPr="00A3474A">
        <w:rPr>
          <w:rFonts w:ascii="Arial" w:hAnsi="Arial" w:cs="Arial"/>
          <w:color w:val="000000"/>
          <w:sz w:val="20"/>
          <w:szCs w:val="20"/>
        </w:rPr>
        <w:t>qui permet la dissolution des sels minéraux</w:t>
      </w:r>
      <w:r w:rsidR="00F40F0B">
        <w:rPr>
          <w:rFonts w:ascii="Arial" w:hAnsi="Arial" w:cs="Arial"/>
          <w:color w:val="000000"/>
          <w:sz w:val="20"/>
          <w:szCs w:val="20"/>
        </w:rPr>
        <w:t>)</w:t>
      </w:r>
      <w:r w:rsidR="00A3474A" w:rsidRPr="00A3474A">
        <w:rPr>
          <w:rFonts w:ascii="Arial" w:hAnsi="Arial" w:cs="Arial"/>
          <w:color w:val="000000"/>
          <w:sz w:val="20"/>
          <w:szCs w:val="20"/>
        </w:rPr>
        <w:t xml:space="preserve"> et à l’action des enzymes </w:t>
      </w:r>
      <w:proofErr w:type="spellStart"/>
      <w:r w:rsidR="00A3474A" w:rsidRPr="00A3474A">
        <w:rPr>
          <w:rFonts w:ascii="Arial" w:hAnsi="Arial" w:cs="Arial"/>
          <w:color w:val="000000"/>
          <w:sz w:val="20"/>
          <w:szCs w:val="20"/>
        </w:rPr>
        <w:t>lysosomiales</w:t>
      </w:r>
      <w:proofErr w:type="spellEnd"/>
      <w:r w:rsidR="00B0779F">
        <w:rPr>
          <w:rFonts w:ascii="Arial" w:hAnsi="Arial" w:cs="Arial"/>
          <w:color w:val="000000"/>
          <w:sz w:val="20"/>
          <w:szCs w:val="20"/>
        </w:rPr>
        <w:t>.</w:t>
      </w:r>
    </w:p>
    <w:p w14:paraId="2C60820D" w14:textId="2958DE00" w:rsidR="006E1BD5" w:rsidRPr="00A3474A" w:rsidRDefault="006E1BD5" w:rsidP="006E1BD5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 xml:space="preserve">D) </w:t>
      </w:r>
      <w:r w:rsidR="00A3474A" w:rsidRPr="00A3474A">
        <w:rPr>
          <w:rFonts w:ascii="Arial" w:hAnsi="Arial" w:cs="Arial"/>
          <w:color w:val="000000"/>
          <w:sz w:val="20"/>
          <w:szCs w:val="20"/>
        </w:rPr>
        <w:t>Les ostéoblastes participent partiellement à la reconstruction du tissu osseux en sécrétant uniquement les éléments matriciels</w:t>
      </w:r>
      <w:r w:rsidR="00B0779F">
        <w:rPr>
          <w:rFonts w:ascii="Arial" w:hAnsi="Arial" w:cs="Arial"/>
          <w:color w:val="000000"/>
          <w:sz w:val="20"/>
          <w:szCs w:val="20"/>
        </w:rPr>
        <w:t>.</w:t>
      </w:r>
      <w:r w:rsidRPr="00A3474A">
        <w:rPr>
          <w:rFonts w:ascii="Arial" w:eastAsia="Times New Roman" w:hAnsi="Arial" w:cs="Arial"/>
          <w:sz w:val="20"/>
          <w:szCs w:val="20"/>
        </w:rPr>
        <w:tab/>
      </w:r>
    </w:p>
    <w:p w14:paraId="0D6A069A" w14:textId="77777777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65E091FE" w14:textId="67F4A9A3" w:rsidR="006E1BD5" w:rsidRDefault="00A3474A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noProof/>
          <w:sz w:val="20"/>
          <w:szCs w:val="20"/>
          <w:lang w:eastAsia="fr-FR"/>
        </w:rPr>
        <w:drawing>
          <wp:anchor distT="0" distB="0" distL="114300" distR="114300" simplePos="0" relativeHeight="251663872" behindDoc="0" locked="0" layoutInCell="1" allowOverlap="1" wp14:anchorId="7874CE33" wp14:editId="4431FCB4">
            <wp:simplePos x="0" y="0"/>
            <wp:positionH relativeFrom="column">
              <wp:posOffset>5079365</wp:posOffset>
            </wp:positionH>
            <wp:positionV relativeFrom="paragraph">
              <wp:posOffset>139065</wp:posOffset>
            </wp:positionV>
            <wp:extent cx="1683385" cy="1286510"/>
            <wp:effectExtent l="0" t="0" r="0" b="8890"/>
            <wp:wrapTight wrapText="bothSides">
              <wp:wrapPolygon edited="0">
                <wp:start x="0" y="0"/>
                <wp:lineTo x="0" y="21323"/>
                <wp:lineTo x="21184" y="21323"/>
                <wp:lineTo x="21184" y="0"/>
                <wp:lineTo x="0" y="0"/>
              </wp:wrapPolygon>
            </wp:wrapTight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3385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5C8F27" w14:textId="5AEA420C" w:rsidR="006E1BD5" w:rsidRPr="00556300" w:rsidRDefault="006E1BD5" w:rsidP="006E1BD5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FC1F5F">
        <w:rPr>
          <w:rFonts w:ascii="Arial" w:eastAsia="Times New Roman" w:hAnsi="Arial" w:cs="Arial"/>
          <w:b/>
          <w:sz w:val="20"/>
          <w:szCs w:val="20"/>
          <w:u w:val="single"/>
        </w:rPr>
        <w:t>6</w:t>
      </w:r>
      <w:r w:rsidR="00FC1F5F">
        <w:rPr>
          <w:rFonts w:ascii="Arial" w:eastAsia="Times New Roman" w:hAnsi="Arial" w:cs="Arial"/>
          <w:b/>
          <w:sz w:val="20"/>
          <w:szCs w:val="20"/>
        </w:rPr>
        <w:t> : A propos du tissu musculaire</w:t>
      </w:r>
      <w:r w:rsidR="00A3474A">
        <w:rPr>
          <w:rFonts w:ascii="Arial" w:eastAsia="Times New Roman" w:hAnsi="Arial" w:cs="Arial"/>
          <w:b/>
          <w:sz w:val="20"/>
          <w:szCs w:val="20"/>
        </w:rPr>
        <w:t xml:space="preserve">, </w:t>
      </w:r>
      <w:proofErr w:type="gramStart"/>
      <w:r w:rsidR="00A3474A" w:rsidRPr="00A3474A">
        <w:rPr>
          <w:rFonts w:ascii="Arial" w:eastAsia="Times New Roman" w:hAnsi="Arial" w:cs="Arial"/>
          <w:b/>
          <w:sz w:val="20"/>
          <w:szCs w:val="20"/>
        </w:rPr>
        <w:t xml:space="preserve">donnez </w:t>
      </w:r>
      <w:proofErr w:type="spellStart"/>
      <w:r w:rsidR="00A3474A" w:rsidRPr="00A3474A">
        <w:rPr>
          <w:rFonts w:ascii="Arial" w:eastAsia="Times New Roman" w:hAnsi="Arial" w:cs="Arial"/>
          <w:b/>
          <w:sz w:val="20"/>
          <w:szCs w:val="20"/>
        </w:rPr>
        <w:t>la</w:t>
      </w:r>
      <w:proofErr w:type="spellEnd"/>
      <w:proofErr w:type="gramEnd"/>
      <w:r w:rsidR="00A3474A" w:rsidRPr="00A3474A">
        <w:rPr>
          <w:rFonts w:ascii="Arial" w:eastAsia="Times New Roman" w:hAnsi="Arial" w:cs="Arial"/>
          <w:b/>
          <w:sz w:val="20"/>
          <w:szCs w:val="20"/>
        </w:rPr>
        <w:t xml:space="preserve"> (les) proposition(s) vraie(s)</w:t>
      </w:r>
    </w:p>
    <w:p w14:paraId="04EC81F2" w14:textId="1C6A7DDD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 xml:space="preserve">A) </w:t>
      </w:r>
      <w:r w:rsidR="00A3474A" w:rsidRPr="00A3474A">
        <w:rPr>
          <w:rFonts w:ascii="Arial" w:hAnsi="Arial" w:cs="Arial"/>
          <w:sz w:val="20"/>
          <w:szCs w:val="20"/>
        </w:rPr>
        <w:t>L’unité motrice est constituée d’un motoneurone alpha et des différents myocytes innervés par ses ramifications axonales</w:t>
      </w:r>
      <w:r w:rsidR="00B0779F">
        <w:rPr>
          <w:rFonts w:ascii="Arial" w:hAnsi="Arial" w:cs="Arial"/>
          <w:sz w:val="20"/>
          <w:szCs w:val="20"/>
        </w:rPr>
        <w:t>.</w:t>
      </w:r>
    </w:p>
    <w:p w14:paraId="0041CBED" w14:textId="6018D850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 xml:space="preserve">B) </w:t>
      </w:r>
      <w:r w:rsidR="00A3474A" w:rsidRPr="00A3474A">
        <w:rPr>
          <w:rFonts w:ascii="Arial" w:hAnsi="Arial" w:cs="Arial"/>
          <w:sz w:val="20"/>
          <w:szCs w:val="20"/>
        </w:rPr>
        <w:t xml:space="preserve">Les </w:t>
      </w:r>
      <w:proofErr w:type="spellStart"/>
      <w:r w:rsidR="00A3474A" w:rsidRPr="00A3474A">
        <w:rPr>
          <w:rFonts w:ascii="Arial" w:hAnsi="Arial" w:cs="Arial"/>
          <w:sz w:val="20"/>
          <w:szCs w:val="20"/>
        </w:rPr>
        <w:t>rhabdomyocytes</w:t>
      </w:r>
      <w:proofErr w:type="spellEnd"/>
      <w:r w:rsidR="00A3474A" w:rsidRPr="00A3474A">
        <w:rPr>
          <w:rFonts w:ascii="Arial" w:hAnsi="Arial" w:cs="Arial"/>
          <w:sz w:val="20"/>
          <w:szCs w:val="20"/>
        </w:rPr>
        <w:t xml:space="preserve"> sont divisés en deux catégories : les fibres </w:t>
      </w:r>
      <w:r w:rsidR="00BC307E">
        <w:rPr>
          <w:rFonts w:ascii="Arial" w:hAnsi="Arial" w:cs="Arial"/>
          <w:sz w:val="20"/>
          <w:szCs w:val="20"/>
        </w:rPr>
        <w:t>à contraction lente</w:t>
      </w:r>
      <w:r w:rsidR="00A3474A" w:rsidRPr="00A3474A">
        <w:rPr>
          <w:rFonts w:ascii="Arial" w:hAnsi="Arial" w:cs="Arial"/>
          <w:sz w:val="20"/>
          <w:szCs w:val="20"/>
        </w:rPr>
        <w:t xml:space="preserve"> </w:t>
      </w:r>
      <w:r w:rsidR="00BC307E">
        <w:rPr>
          <w:rFonts w:ascii="Arial" w:hAnsi="Arial" w:cs="Arial"/>
          <w:sz w:val="20"/>
          <w:szCs w:val="20"/>
        </w:rPr>
        <w:t>et les fibres à contraction</w:t>
      </w:r>
      <w:r w:rsidR="00A3474A" w:rsidRPr="00A3474A">
        <w:rPr>
          <w:rFonts w:ascii="Arial" w:hAnsi="Arial" w:cs="Arial"/>
          <w:sz w:val="20"/>
          <w:szCs w:val="20"/>
        </w:rPr>
        <w:t xml:space="preserve"> </w:t>
      </w:r>
      <w:r w:rsidR="00BC307E">
        <w:rPr>
          <w:rFonts w:ascii="Arial" w:hAnsi="Arial" w:cs="Arial"/>
          <w:sz w:val="20"/>
          <w:szCs w:val="20"/>
        </w:rPr>
        <w:t>rapide</w:t>
      </w:r>
      <w:r w:rsidR="00B0779F">
        <w:rPr>
          <w:rFonts w:ascii="Arial" w:hAnsi="Arial" w:cs="Arial"/>
          <w:sz w:val="20"/>
          <w:szCs w:val="20"/>
        </w:rPr>
        <w:t>.</w:t>
      </w:r>
    </w:p>
    <w:p w14:paraId="7739009C" w14:textId="2E70BBC7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>C)</w:t>
      </w:r>
      <w:r w:rsidR="00DD48BF" w:rsidRPr="00A3474A">
        <w:rPr>
          <w:rFonts w:ascii="Arial" w:eastAsia="Times New Roman" w:hAnsi="Arial" w:cs="Arial"/>
          <w:sz w:val="20"/>
          <w:szCs w:val="20"/>
        </w:rPr>
        <w:t xml:space="preserve"> </w:t>
      </w:r>
      <w:r w:rsidR="00A3474A" w:rsidRPr="00A3474A">
        <w:rPr>
          <w:rFonts w:ascii="Arial" w:hAnsi="Arial" w:cs="Arial"/>
          <w:sz w:val="20"/>
          <w:szCs w:val="20"/>
        </w:rPr>
        <w:t xml:space="preserve">Cette coupe au microscope optique montre les ramifications du motoneurone alpha innervant </w:t>
      </w:r>
      <w:r w:rsidR="00441127">
        <w:rPr>
          <w:rFonts w:ascii="Arial" w:hAnsi="Arial" w:cs="Arial"/>
          <w:sz w:val="20"/>
          <w:szCs w:val="20"/>
        </w:rPr>
        <w:t>plusieurs</w:t>
      </w:r>
      <w:r w:rsidR="00A3474A" w:rsidRPr="00A347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74A" w:rsidRPr="00A3474A">
        <w:rPr>
          <w:rFonts w:ascii="Arial" w:hAnsi="Arial" w:cs="Arial"/>
          <w:sz w:val="20"/>
          <w:szCs w:val="20"/>
        </w:rPr>
        <w:t>rhabdomyocyte</w:t>
      </w:r>
      <w:r w:rsidR="00441127">
        <w:rPr>
          <w:rFonts w:ascii="Arial" w:hAnsi="Arial" w:cs="Arial"/>
          <w:sz w:val="20"/>
          <w:szCs w:val="20"/>
        </w:rPr>
        <w:t>s</w:t>
      </w:r>
      <w:proofErr w:type="spellEnd"/>
      <w:r w:rsidR="00B0779F">
        <w:rPr>
          <w:rFonts w:ascii="Arial" w:hAnsi="Arial" w:cs="Arial"/>
          <w:sz w:val="20"/>
          <w:szCs w:val="20"/>
        </w:rPr>
        <w:t>.</w:t>
      </w:r>
    </w:p>
    <w:p w14:paraId="60D965BF" w14:textId="3C6B3AD6" w:rsidR="006E1BD5" w:rsidRPr="00A3474A" w:rsidRDefault="00897B50" w:rsidP="006E1BD5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 xml:space="preserve">D)  </w:t>
      </w:r>
      <w:r w:rsidR="00A3474A" w:rsidRPr="00A3474A">
        <w:rPr>
          <w:rFonts w:ascii="Arial" w:hAnsi="Arial" w:cs="Arial"/>
          <w:sz w:val="20"/>
          <w:szCs w:val="20"/>
        </w:rPr>
        <w:t>Cette coupe au microscope optique montre une unité motrice d’un muscle lisse</w:t>
      </w:r>
      <w:r w:rsidR="00B0779F">
        <w:rPr>
          <w:rFonts w:ascii="Arial" w:hAnsi="Arial" w:cs="Arial"/>
          <w:sz w:val="20"/>
          <w:szCs w:val="20"/>
        </w:rPr>
        <w:t>.</w:t>
      </w:r>
    </w:p>
    <w:p w14:paraId="0F212908" w14:textId="12012EBE" w:rsidR="006E1BD5" w:rsidRPr="00A3474A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3474A">
        <w:rPr>
          <w:rFonts w:ascii="Arial" w:eastAsia="Times New Roman" w:hAnsi="Arial" w:cs="Arial"/>
          <w:sz w:val="20"/>
          <w:szCs w:val="20"/>
        </w:rPr>
        <w:t>E) Les propositions A, B, C et D sont fausses</w:t>
      </w:r>
      <w:r w:rsidR="00A3474A" w:rsidRPr="00A3474A">
        <w:rPr>
          <w:noProof/>
          <w:lang w:eastAsia="fr-FR"/>
        </w:rPr>
        <w:t xml:space="preserve"> </w:t>
      </w:r>
    </w:p>
    <w:p w14:paraId="734DB66E" w14:textId="77777777" w:rsidR="006E1BD5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1EAE829" w14:textId="1A58B550" w:rsidR="006E1BD5" w:rsidRDefault="006E1BD5" w:rsidP="006E1BD5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FC1F5F">
        <w:rPr>
          <w:rFonts w:ascii="Arial" w:eastAsia="Times New Roman" w:hAnsi="Arial" w:cs="Arial"/>
          <w:b/>
          <w:sz w:val="20"/>
          <w:szCs w:val="20"/>
          <w:u w:val="single"/>
        </w:rPr>
        <w:t>7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4B2611">
        <w:rPr>
          <w:rFonts w:ascii="Arial" w:eastAsia="Times New Roman" w:hAnsi="Arial" w:cs="Arial"/>
          <w:b/>
          <w:sz w:val="20"/>
          <w:szCs w:val="20"/>
        </w:rPr>
        <w:t xml:space="preserve">Remettre dans l’ordre </w:t>
      </w:r>
      <w:r w:rsidR="004F2FE9">
        <w:rPr>
          <w:rFonts w:ascii="Arial" w:eastAsia="Times New Roman" w:hAnsi="Arial" w:cs="Arial"/>
          <w:b/>
          <w:sz w:val="20"/>
          <w:szCs w:val="20"/>
        </w:rPr>
        <w:t xml:space="preserve">chronologique </w:t>
      </w:r>
      <w:r w:rsidR="004B2611">
        <w:rPr>
          <w:rFonts w:ascii="Arial" w:eastAsia="Times New Roman" w:hAnsi="Arial" w:cs="Arial"/>
          <w:b/>
          <w:sz w:val="20"/>
          <w:szCs w:val="20"/>
        </w:rPr>
        <w:t xml:space="preserve">les étapes </w:t>
      </w:r>
      <w:r w:rsidR="006047E2">
        <w:rPr>
          <w:rFonts w:ascii="Arial" w:eastAsia="Times New Roman" w:hAnsi="Arial" w:cs="Arial"/>
          <w:b/>
          <w:sz w:val="20"/>
          <w:szCs w:val="20"/>
        </w:rPr>
        <w:t>du couplage excitation-contraction</w:t>
      </w:r>
      <w:r w:rsidR="004F2FE9">
        <w:rPr>
          <w:rFonts w:ascii="Arial" w:eastAsia="Times New Roman" w:hAnsi="Arial" w:cs="Arial"/>
          <w:b/>
          <w:sz w:val="20"/>
          <w:szCs w:val="20"/>
        </w:rPr>
        <w:t>.</w:t>
      </w:r>
    </w:p>
    <w:p w14:paraId="1E297AE6" w14:textId="77777777" w:rsidR="00897B50" w:rsidRDefault="00897B50" w:rsidP="00897B5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897B50">
        <w:rPr>
          <w:rFonts w:ascii="Arial" w:eastAsia="Times New Roman" w:hAnsi="Arial" w:cs="Arial"/>
          <w:b/>
          <w:sz w:val="20"/>
          <w:szCs w:val="20"/>
        </w:rPr>
        <w:t>1.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DD48BF" w:rsidRPr="00897B50">
        <w:rPr>
          <w:rFonts w:ascii="Arial" w:eastAsia="Times New Roman" w:hAnsi="Arial" w:cs="Arial"/>
          <w:b/>
          <w:sz w:val="20"/>
          <w:szCs w:val="20"/>
        </w:rPr>
        <w:t>Le potentiel d’action se propage dans les tubules T.</w:t>
      </w:r>
      <w:r w:rsidRPr="00897B50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0B1EF87D" w14:textId="4F384D73" w:rsidR="00DD48BF" w:rsidRPr="00897B50" w:rsidRDefault="00897B50" w:rsidP="00897B5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2. </w:t>
      </w:r>
      <w:r w:rsidRPr="00897B50">
        <w:rPr>
          <w:rFonts w:ascii="Arial" w:eastAsia="Times New Roman" w:hAnsi="Arial" w:cs="Arial"/>
          <w:b/>
          <w:sz w:val="20"/>
          <w:szCs w:val="20"/>
        </w:rPr>
        <w:t>Fusion des vésicules synaptiques avec l’</w:t>
      </w:r>
      <w:proofErr w:type="spellStart"/>
      <w:r w:rsidRPr="00897B50">
        <w:rPr>
          <w:rFonts w:ascii="Arial" w:eastAsia="Times New Roman" w:hAnsi="Arial" w:cs="Arial"/>
          <w:b/>
          <w:sz w:val="20"/>
          <w:szCs w:val="20"/>
        </w:rPr>
        <w:t>axolemme</w:t>
      </w:r>
      <w:proofErr w:type="spellEnd"/>
      <w:r w:rsidRPr="00897B50">
        <w:rPr>
          <w:rFonts w:ascii="Arial" w:eastAsia="Times New Roman" w:hAnsi="Arial" w:cs="Arial"/>
          <w:b/>
          <w:sz w:val="20"/>
          <w:szCs w:val="20"/>
        </w:rPr>
        <w:t>.</w:t>
      </w:r>
    </w:p>
    <w:p w14:paraId="4B278D80" w14:textId="77777777" w:rsidR="00897B50" w:rsidRDefault="00897B50" w:rsidP="00897B5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3. </w:t>
      </w:r>
      <w:r w:rsidR="00DD48BF" w:rsidRPr="00897B50">
        <w:rPr>
          <w:rFonts w:ascii="Arial" w:eastAsia="Times New Roman" w:hAnsi="Arial" w:cs="Arial"/>
          <w:b/>
          <w:sz w:val="20"/>
          <w:szCs w:val="20"/>
        </w:rPr>
        <w:t>Ouverture des canaux calciques des citernes terminales.</w:t>
      </w:r>
      <w:r w:rsidRPr="00897B50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6217B01A" w14:textId="1FD6EF7C" w:rsidR="00DD48BF" w:rsidRPr="00897B50" w:rsidRDefault="00897B50" w:rsidP="00897B5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 xml:space="preserve">4. </w:t>
      </w:r>
      <w:r w:rsidRPr="00897B50">
        <w:rPr>
          <w:rFonts w:ascii="Arial" w:eastAsia="Times New Roman" w:hAnsi="Arial" w:cs="Arial"/>
          <w:b/>
          <w:sz w:val="20"/>
          <w:szCs w:val="20"/>
        </w:rPr>
        <w:t>Arrivée de l’influx nerveux à l’extrémité des terminaisons axonales.</w:t>
      </w:r>
    </w:p>
    <w:p w14:paraId="62C66F94" w14:textId="77777777" w:rsidR="00897B50" w:rsidRDefault="00897B50" w:rsidP="00897B5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5. </w:t>
      </w:r>
      <w:r w:rsidR="00DD48BF" w:rsidRPr="00897B50">
        <w:rPr>
          <w:rFonts w:ascii="Arial" w:eastAsia="Times New Roman" w:hAnsi="Arial" w:cs="Arial"/>
          <w:b/>
          <w:sz w:val="20"/>
          <w:szCs w:val="20"/>
        </w:rPr>
        <w:t>Libération d’ions Ca2+ dans le sarcoplasme.</w:t>
      </w:r>
      <w:r w:rsidRPr="00897B50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6CF076F2" w14:textId="71B35954" w:rsidR="00897B50" w:rsidRPr="00897B50" w:rsidRDefault="00897B50" w:rsidP="00897B5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6. </w:t>
      </w:r>
      <w:r w:rsidRPr="00897B50">
        <w:rPr>
          <w:rFonts w:ascii="Arial" w:eastAsia="Times New Roman" w:hAnsi="Arial" w:cs="Arial"/>
          <w:b/>
          <w:sz w:val="20"/>
          <w:szCs w:val="20"/>
        </w:rPr>
        <w:t>Libération d’acétylcholine dans la fente synaptique.</w:t>
      </w:r>
    </w:p>
    <w:p w14:paraId="789DAD23" w14:textId="77777777" w:rsidR="00897B50" w:rsidRDefault="00897B50" w:rsidP="00897B5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7.</w:t>
      </w:r>
      <w:r w:rsidRPr="00897B50">
        <w:rPr>
          <w:rFonts w:ascii="Arial" w:eastAsia="Times New Roman" w:hAnsi="Arial" w:cs="Arial"/>
          <w:b/>
          <w:sz w:val="20"/>
          <w:szCs w:val="20"/>
        </w:rPr>
        <w:t xml:space="preserve">Démasquage des sites de liaison entre actine et myosine. </w:t>
      </w:r>
    </w:p>
    <w:p w14:paraId="368B8825" w14:textId="54081EF6" w:rsidR="00897B50" w:rsidRPr="00897B50" w:rsidRDefault="00897B50" w:rsidP="00897B5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8. </w:t>
      </w:r>
      <w:r w:rsidRPr="00897B50">
        <w:rPr>
          <w:rFonts w:ascii="Arial" w:eastAsia="Times New Roman" w:hAnsi="Arial" w:cs="Arial"/>
          <w:b/>
          <w:sz w:val="20"/>
          <w:szCs w:val="20"/>
        </w:rPr>
        <w:t>La liaison acétylcholine-récepteur induit une entrée de Na+ dans le sarcoplasme, créant un potentiel d’action au niveau de la fibre musculaire.</w:t>
      </w:r>
    </w:p>
    <w:p w14:paraId="469894C0" w14:textId="07BB68E8" w:rsidR="00897B50" w:rsidRDefault="00897B50" w:rsidP="00897B5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9. </w:t>
      </w:r>
      <w:r w:rsidRPr="00897B50">
        <w:rPr>
          <w:rFonts w:ascii="Arial" w:eastAsia="Times New Roman" w:hAnsi="Arial" w:cs="Arial"/>
          <w:b/>
          <w:sz w:val="20"/>
          <w:szCs w:val="20"/>
        </w:rPr>
        <w:t>Changement de conformation de la tro</w:t>
      </w:r>
      <w:r w:rsidR="00441127">
        <w:rPr>
          <w:rFonts w:ascii="Arial" w:eastAsia="Times New Roman" w:hAnsi="Arial" w:cs="Arial"/>
          <w:b/>
          <w:sz w:val="20"/>
          <w:szCs w:val="20"/>
        </w:rPr>
        <w:t xml:space="preserve">ponine et déplacement de la </w:t>
      </w:r>
      <w:proofErr w:type="spellStart"/>
      <w:r w:rsidR="00441127">
        <w:rPr>
          <w:rFonts w:ascii="Arial" w:eastAsia="Times New Roman" w:hAnsi="Arial" w:cs="Arial"/>
          <w:b/>
          <w:sz w:val="20"/>
          <w:szCs w:val="20"/>
        </w:rPr>
        <w:t>trop</w:t>
      </w:r>
      <w:r w:rsidRPr="00897B50">
        <w:rPr>
          <w:rFonts w:ascii="Arial" w:eastAsia="Times New Roman" w:hAnsi="Arial" w:cs="Arial"/>
          <w:b/>
          <w:sz w:val="20"/>
          <w:szCs w:val="20"/>
        </w:rPr>
        <w:t>omyosine</w:t>
      </w:r>
      <w:proofErr w:type="spellEnd"/>
      <w:r w:rsidRPr="00897B50">
        <w:rPr>
          <w:rFonts w:ascii="Arial" w:eastAsia="Times New Roman" w:hAnsi="Arial" w:cs="Arial"/>
          <w:b/>
          <w:sz w:val="20"/>
          <w:szCs w:val="20"/>
        </w:rPr>
        <w:t>.</w:t>
      </w:r>
    </w:p>
    <w:p w14:paraId="5AAE2D34" w14:textId="6709012D" w:rsidR="00897B50" w:rsidRDefault="00897B50" w:rsidP="00897B5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10. </w:t>
      </w:r>
      <w:r w:rsidR="00DD48BF" w:rsidRPr="00897B50">
        <w:rPr>
          <w:rFonts w:ascii="Arial" w:eastAsia="Times New Roman" w:hAnsi="Arial" w:cs="Arial"/>
          <w:b/>
          <w:sz w:val="20"/>
          <w:szCs w:val="20"/>
        </w:rPr>
        <w:t>Fixation des ions Ca2+ sur la troponine C.</w:t>
      </w:r>
    </w:p>
    <w:p w14:paraId="5F7EFAA8" w14:textId="77777777" w:rsidR="00897B50" w:rsidRPr="00897B50" w:rsidRDefault="00897B50" w:rsidP="00897B5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BD95B7D" w14:textId="3C46A258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9D119D">
        <w:rPr>
          <w:rFonts w:ascii="Arial" w:eastAsia="Times New Roman" w:hAnsi="Arial" w:cs="Arial"/>
          <w:sz w:val="20"/>
          <w:szCs w:val="20"/>
        </w:rPr>
        <w:t>4. 2. 6. 8. 1. 3. 5. 10. 7. 9</w:t>
      </w:r>
    </w:p>
    <w:p w14:paraId="3C97A825" w14:textId="1F28BB92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897B50">
        <w:rPr>
          <w:rFonts w:ascii="Arial" w:eastAsia="Times New Roman" w:hAnsi="Arial" w:cs="Arial"/>
          <w:sz w:val="20"/>
          <w:szCs w:val="20"/>
        </w:rPr>
        <w:t xml:space="preserve">4. 6. 8. 5. 2. 1. </w:t>
      </w:r>
      <w:r w:rsidR="008F534F">
        <w:rPr>
          <w:rFonts w:ascii="Arial" w:eastAsia="Times New Roman" w:hAnsi="Arial" w:cs="Arial"/>
          <w:sz w:val="20"/>
          <w:szCs w:val="20"/>
        </w:rPr>
        <w:t>7. 3. 10. 9</w:t>
      </w:r>
    </w:p>
    <w:p w14:paraId="211A7633" w14:textId="42CC0367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8F534F">
        <w:rPr>
          <w:rFonts w:ascii="Arial" w:eastAsia="Times New Roman" w:hAnsi="Arial" w:cs="Arial"/>
          <w:sz w:val="20"/>
          <w:szCs w:val="20"/>
        </w:rPr>
        <w:t xml:space="preserve"> 1. 3. 5. 10. 7. 9. 4. 2. 6. 8</w:t>
      </w:r>
    </w:p>
    <w:p w14:paraId="0F354571" w14:textId="73B29FFE" w:rsidR="006E1BD5" w:rsidRPr="00556300" w:rsidRDefault="006E1BD5" w:rsidP="006E1BD5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D)</w:t>
      </w:r>
      <w:r w:rsidR="009D119D" w:rsidRPr="009D119D">
        <w:rPr>
          <w:rFonts w:ascii="Arial" w:eastAsia="Times New Roman" w:hAnsi="Arial" w:cs="Arial"/>
          <w:sz w:val="20"/>
          <w:szCs w:val="20"/>
        </w:rPr>
        <w:t xml:space="preserve"> </w:t>
      </w:r>
      <w:r w:rsidR="009D119D">
        <w:rPr>
          <w:rFonts w:ascii="Arial" w:eastAsia="Times New Roman" w:hAnsi="Arial" w:cs="Arial"/>
          <w:sz w:val="20"/>
          <w:szCs w:val="20"/>
        </w:rPr>
        <w:t>4. 2. 6. 8. 1. 3. 5. 10. 9. 7</w:t>
      </w:r>
      <w:r w:rsidRPr="00556300">
        <w:rPr>
          <w:rFonts w:ascii="Arial" w:eastAsia="Times New Roman" w:hAnsi="Arial" w:cs="Arial"/>
          <w:sz w:val="20"/>
          <w:szCs w:val="20"/>
        </w:rPr>
        <w:tab/>
      </w:r>
    </w:p>
    <w:p w14:paraId="09B5BB66" w14:textId="77777777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062FC6D1" w14:textId="77777777" w:rsidR="006E1BD5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AA39B63" w14:textId="24F2B1D5" w:rsidR="006E1BD5" w:rsidRPr="00556300" w:rsidRDefault="006E1BD5" w:rsidP="006E1BD5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34441A">
        <w:rPr>
          <w:rFonts w:ascii="Arial" w:eastAsia="Times New Roman" w:hAnsi="Arial" w:cs="Arial"/>
          <w:b/>
          <w:sz w:val="20"/>
          <w:szCs w:val="20"/>
          <w:u w:val="single"/>
        </w:rPr>
        <w:t>8</w:t>
      </w:r>
      <w:r w:rsidR="0034441A" w:rsidRPr="00C02703">
        <w:rPr>
          <w:rFonts w:ascii="Arial" w:eastAsia="Times New Roman" w:hAnsi="Arial" w:cs="Arial"/>
          <w:b/>
          <w:sz w:val="20"/>
          <w:szCs w:val="20"/>
        </w:rPr>
        <w:t> : A propos des muscles lisses</w:t>
      </w:r>
      <w:r w:rsidR="00C02703">
        <w:rPr>
          <w:rFonts w:ascii="Arial" w:eastAsia="Times New Roman" w:hAnsi="Arial" w:cs="Arial"/>
          <w:b/>
          <w:sz w:val="20"/>
          <w:szCs w:val="20"/>
        </w:rPr>
        <w:t xml:space="preserve">, </w:t>
      </w:r>
      <w:proofErr w:type="gramStart"/>
      <w:r w:rsidR="00C02703">
        <w:rPr>
          <w:rFonts w:ascii="Arial" w:eastAsia="Times New Roman" w:hAnsi="Arial" w:cs="Arial"/>
          <w:b/>
          <w:sz w:val="20"/>
          <w:szCs w:val="20"/>
        </w:rPr>
        <w:t>donnez la</w:t>
      </w:r>
      <w:proofErr w:type="gramEnd"/>
      <w:r w:rsidR="00C02703">
        <w:rPr>
          <w:rFonts w:ascii="Arial" w:eastAsia="Times New Roman" w:hAnsi="Arial" w:cs="Arial"/>
          <w:b/>
          <w:sz w:val="20"/>
          <w:szCs w:val="20"/>
        </w:rPr>
        <w:t xml:space="preserve"> (les) proposition(s) vraie(s)</w:t>
      </w:r>
    </w:p>
    <w:p w14:paraId="6D990DD9" w14:textId="5D904D2D" w:rsidR="008904D1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8904D1">
        <w:rPr>
          <w:rFonts w:ascii="Arial" w:eastAsia="Times New Roman" w:hAnsi="Arial" w:cs="Arial"/>
          <w:sz w:val="20"/>
          <w:szCs w:val="20"/>
        </w:rPr>
        <w:t>Au niveau de certaines structures tubulaires, l</w:t>
      </w:r>
      <w:r w:rsidR="008E6C9D">
        <w:rPr>
          <w:rFonts w:ascii="Arial" w:eastAsia="Times New Roman" w:hAnsi="Arial" w:cs="Arial"/>
          <w:sz w:val="20"/>
          <w:szCs w:val="20"/>
        </w:rPr>
        <w:t xml:space="preserve">es </w:t>
      </w:r>
      <w:proofErr w:type="spellStart"/>
      <w:r w:rsidR="008E6C9D">
        <w:rPr>
          <w:rFonts w:ascii="Arial" w:eastAsia="Times New Roman" w:hAnsi="Arial" w:cs="Arial"/>
          <w:sz w:val="20"/>
          <w:szCs w:val="20"/>
        </w:rPr>
        <w:t>léiomyocytes</w:t>
      </w:r>
      <w:proofErr w:type="spellEnd"/>
      <w:r w:rsidR="008E6C9D">
        <w:rPr>
          <w:rFonts w:ascii="Arial" w:eastAsia="Times New Roman" w:hAnsi="Arial" w:cs="Arial"/>
          <w:sz w:val="20"/>
          <w:szCs w:val="20"/>
        </w:rPr>
        <w:t xml:space="preserve"> viscéraux se positionnent en couches superposées </w:t>
      </w:r>
      <w:r w:rsidR="008904D1">
        <w:rPr>
          <w:rFonts w:ascii="Arial" w:eastAsia="Times New Roman" w:hAnsi="Arial" w:cs="Arial"/>
          <w:sz w:val="20"/>
          <w:szCs w:val="20"/>
        </w:rPr>
        <w:t xml:space="preserve">orientées dans des directions différentes. </w:t>
      </w:r>
    </w:p>
    <w:p w14:paraId="3D3F86A8" w14:textId="738030AB" w:rsidR="006E1BD5" w:rsidRPr="00B0779F" w:rsidRDefault="006E1BD5" w:rsidP="00B077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1"/>
          <w:szCs w:val="24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B0779F" w:rsidRPr="00B0779F">
        <w:rPr>
          <w:rFonts w:ascii="Arial" w:hAnsi="Arial" w:cs="Arial"/>
          <w:color w:val="000000" w:themeColor="text1"/>
          <w:sz w:val="20"/>
          <w:szCs w:val="24"/>
        </w:rPr>
        <w:t xml:space="preserve">Les muscles lisses unitaires présentent une contraction synchronisée </w:t>
      </w:r>
      <w:r w:rsidR="00B0779F">
        <w:rPr>
          <w:rFonts w:ascii="Arial" w:hAnsi="Arial" w:cs="Arial"/>
          <w:color w:val="000000" w:themeColor="text1"/>
          <w:sz w:val="20"/>
          <w:szCs w:val="24"/>
        </w:rPr>
        <w:t xml:space="preserve">grâce </w:t>
      </w:r>
      <w:r w:rsidR="00B0779F" w:rsidRPr="00B0779F">
        <w:rPr>
          <w:rFonts w:ascii="Arial" w:hAnsi="Arial" w:cs="Arial"/>
          <w:color w:val="000000" w:themeColor="text1"/>
          <w:sz w:val="20"/>
          <w:szCs w:val="24"/>
        </w:rPr>
        <w:t>au couplage fonctionnel par jonctions communicantes.</w:t>
      </w:r>
    </w:p>
    <w:p w14:paraId="491DBE29" w14:textId="1A3FB410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B56A84">
        <w:rPr>
          <w:rFonts w:ascii="Arial" w:eastAsia="Times New Roman" w:hAnsi="Arial" w:cs="Arial"/>
          <w:sz w:val="20"/>
          <w:szCs w:val="20"/>
        </w:rPr>
        <w:t xml:space="preserve"> Les cellules myoépith</w:t>
      </w:r>
      <w:r w:rsidR="00BC307E">
        <w:rPr>
          <w:rFonts w:ascii="Arial" w:eastAsia="Times New Roman" w:hAnsi="Arial" w:cs="Arial"/>
          <w:sz w:val="20"/>
          <w:szCs w:val="20"/>
        </w:rPr>
        <w:t>éliales sont localisées entre la</w:t>
      </w:r>
      <w:r w:rsidR="00B56A84">
        <w:rPr>
          <w:rFonts w:ascii="Arial" w:eastAsia="Times New Roman" w:hAnsi="Arial" w:cs="Arial"/>
          <w:sz w:val="20"/>
          <w:szCs w:val="20"/>
        </w:rPr>
        <w:t xml:space="preserve"> lame basale et le pôle basal des cellules épithéliales glandulaires, leur contraction facilite l’expulsion des produits de sécrétion. </w:t>
      </w:r>
    </w:p>
    <w:p w14:paraId="151510A6" w14:textId="4E7D569A" w:rsidR="006E1BD5" w:rsidRPr="00556300" w:rsidRDefault="008904D1" w:rsidP="006E1BD5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La contraction des </w:t>
      </w:r>
      <w:proofErr w:type="spellStart"/>
      <w:r>
        <w:rPr>
          <w:rFonts w:ascii="Arial" w:eastAsia="Times New Roman" w:hAnsi="Arial" w:cs="Arial"/>
          <w:sz w:val="20"/>
          <w:szCs w:val="20"/>
        </w:rPr>
        <w:t>léiomyocytes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vasculaires provoque une vasoconstriction, ce qui </w:t>
      </w:r>
      <w:r w:rsidR="00B0779F">
        <w:rPr>
          <w:rFonts w:ascii="Arial" w:eastAsia="Times New Roman" w:hAnsi="Arial" w:cs="Arial"/>
          <w:sz w:val="20"/>
          <w:szCs w:val="20"/>
        </w:rPr>
        <w:t>entraîne</w:t>
      </w:r>
      <w:r>
        <w:rPr>
          <w:rFonts w:ascii="Arial" w:eastAsia="Times New Roman" w:hAnsi="Arial" w:cs="Arial"/>
          <w:sz w:val="20"/>
          <w:szCs w:val="20"/>
        </w:rPr>
        <w:t xml:space="preserve"> l’abaissement de la pression artérielle. </w:t>
      </w:r>
    </w:p>
    <w:p w14:paraId="642C7D67" w14:textId="77777777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1BE2E623" w14:textId="77777777" w:rsidR="006E1BD5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EA30382" w14:textId="1A732583" w:rsidR="006E1BD5" w:rsidRPr="00556300" w:rsidRDefault="001917FE" w:rsidP="006E1BD5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FB8B5F1" wp14:editId="43C791A7">
                <wp:simplePos x="0" y="0"/>
                <wp:positionH relativeFrom="column">
                  <wp:posOffset>4739005</wp:posOffset>
                </wp:positionH>
                <wp:positionV relativeFrom="paragraph">
                  <wp:posOffset>354965</wp:posOffset>
                </wp:positionV>
                <wp:extent cx="228600" cy="342265"/>
                <wp:effectExtent l="0" t="0" r="0" b="0"/>
                <wp:wrapSquare wrapText="bothSides"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0B04D5" w14:textId="257351DF" w:rsidR="001917FE" w:rsidRPr="001917FE" w:rsidRDefault="001917FE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1917FE">
                              <w:rPr>
                                <w:b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8B5F1"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6" o:spid="_x0000_s1027" type="#_x0000_t202" style="position:absolute;margin-left:373.15pt;margin-top:27.95pt;width:18pt;height:26.9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" filled="f" stroked="f">
                <v:textbox>
                  <w:txbxContent>
                    <w:p w14:paraId="220B04D5" w14:textId="257351DF" w:rsidR="001917FE" w:rsidRPr="001917FE" w:rsidRDefault="001917FE">
                      <w:pPr>
                        <w:rPr>
                          <w:b/>
                          <w:sz w:val="32"/>
                        </w:rPr>
                      </w:pPr>
                      <w:r w:rsidRPr="001917FE">
                        <w:rPr>
                          <w:b/>
                          <w:sz w:val="32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1147D">
        <w:rPr>
          <w:rFonts w:ascii="Arial" w:eastAsia="Times New Roman" w:hAnsi="Arial" w:cs="Arial"/>
          <w:noProof/>
          <w:sz w:val="20"/>
          <w:szCs w:val="20"/>
          <w:lang w:eastAsia="fr-FR"/>
        </w:rPr>
        <w:drawing>
          <wp:anchor distT="0" distB="0" distL="114300" distR="114300" simplePos="0" relativeHeight="251660800" behindDoc="0" locked="0" layoutInCell="1" allowOverlap="1" wp14:anchorId="0F7FC809" wp14:editId="4E72C671">
            <wp:simplePos x="0" y="0"/>
            <wp:positionH relativeFrom="column">
              <wp:posOffset>4551045</wp:posOffset>
            </wp:positionH>
            <wp:positionV relativeFrom="paragraph">
              <wp:posOffset>240030</wp:posOffset>
            </wp:positionV>
            <wp:extent cx="2135505" cy="1598930"/>
            <wp:effectExtent l="0" t="0" r="0" b="1270"/>
            <wp:wrapTight wrapText="bothSides">
              <wp:wrapPolygon edited="0">
                <wp:start x="0" y="0"/>
                <wp:lineTo x="0" y="21274"/>
                <wp:lineTo x="21324" y="21274"/>
                <wp:lineTo x="21324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505" cy="159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BD5"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34441A">
        <w:rPr>
          <w:rFonts w:ascii="Arial" w:eastAsia="Times New Roman" w:hAnsi="Arial" w:cs="Arial"/>
          <w:b/>
          <w:sz w:val="20"/>
          <w:szCs w:val="20"/>
          <w:u w:val="single"/>
        </w:rPr>
        <w:t>9</w:t>
      </w:r>
      <w:r w:rsidR="006E1BD5"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34441A">
        <w:rPr>
          <w:rFonts w:ascii="Arial" w:eastAsia="Times New Roman" w:hAnsi="Arial" w:cs="Arial"/>
          <w:b/>
          <w:sz w:val="20"/>
          <w:szCs w:val="20"/>
        </w:rPr>
        <w:t>A propos du muscle cardiaque</w:t>
      </w:r>
      <w:r w:rsidR="00DC7207">
        <w:rPr>
          <w:rFonts w:ascii="Arial" w:eastAsia="Times New Roman" w:hAnsi="Arial" w:cs="Arial"/>
          <w:b/>
          <w:sz w:val="20"/>
          <w:szCs w:val="20"/>
        </w:rPr>
        <w:t> </w:t>
      </w:r>
      <w:r w:rsidR="0021147D">
        <w:rPr>
          <w:rFonts w:ascii="Arial" w:eastAsia="Times New Roman" w:hAnsi="Arial" w:cs="Arial"/>
          <w:b/>
          <w:sz w:val="20"/>
          <w:szCs w:val="20"/>
        </w:rPr>
        <w:t xml:space="preserve">et de la coupe histologie ci-contre, </w:t>
      </w:r>
      <w:proofErr w:type="gramStart"/>
      <w:r w:rsidR="0021147D">
        <w:rPr>
          <w:rFonts w:ascii="Arial" w:eastAsia="Times New Roman" w:hAnsi="Arial" w:cs="Arial"/>
          <w:b/>
          <w:sz w:val="20"/>
          <w:szCs w:val="20"/>
        </w:rPr>
        <w:t>donnez la</w:t>
      </w:r>
      <w:proofErr w:type="gramEnd"/>
      <w:r w:rsidR="0021147D">
        <w:rPr>
          <w:rFonts w:ascii="Arial" w:eastAsia="Times New Roman" w:hAnsi="Arial" w:cs="Arial"/>
          <w:b/>
          <w:sz w:val="20"/>
          <w:szCs w:val="20"/>
        </w:rPr>
        <w:t xml:space="preserve"> (les) proposition(s) vraie(s)</w:t>
      </w:r>
    </w:p>
    <w:p w14:paraId="7ECA93D9" w14:textId="266823BA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21147D">
        <w:rPr>
          <w:rFonts w:ascii="Arial" w:eastAsia="Times New Roman" w:hAnsi="Arial" w:cs="Arial"/>
          <w:sz w:val="20"/>
          <w:szCs w:val="20"/>
        </w:rPr>
        <w:t>Le dosage de la troponine C est utilisé pour dépister les nécroses myocardiques.</w:t>
      </w:r>
    </w:p>
    <w:p w14:paraId="3C96F553" w14:textId="52722FA6" w:rsidR="006E1BD5" w:rsidRPr="00556300" w:rsidRDefault="001917FE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C3AABB3" wp14:editId="2DC96B35">
                <wp:simplePos x="0" y="0"/>
                <wp:positionH relativeFrom="column">
                  <wp:posOffset>4740275</wp:posOffset>
                </wp:positionH>
                <wp:positionV relativeFrom="paragraph">
                  <wp:posOffset>379730</wp:posOffset>
                </wp:positionV>
                <wp:extent cx="230505" cy="345440"/>
                <wp:effectExtent l="0" t="0" r="0" b="10160"/>
                <wp:wrapSquare wrapText="bothSides"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1BD112" w14:textId="6F32FA84" w:rsidR="001917FE" w:rsidRPr="001917FE" w:rsidRDefault="001917FE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1917FE">
                              <w:rPr>
                                <w:b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AABB3" id="Zone de texte 7" o:spid="_x0000_s1028" type="#_x0000_t202" style="position:absolute;margin-left:373.25pt;margin-top:29.9pt;width:18.15pt;height:27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" filled="f" stroked="f">
                <v:textbox>
                  <w:txbxContent>
                    <w:p w14:paraId="2B1BD112" w14:textId="6F32FA84" w:rsidR="001917FE" w:rsidRPr="001917FE" w:rsidRDefault="001917FE">
                      <w:pPr>
                        <w:rPr>
                          <w:b/>
                          <w:sz w:val="32"/>
                        </w:rPr>
                      </w:pPr>
                      <w:r w:rsidRPr="001917FE">
                        <w:rPr>
                          <w:b/>
                          <w:sz w:val="32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1BD5"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21147D">
        <w:rPr>
          <w:rFonts w:ascii="Arial" w:eastAsia="Times New Roman" w:hAnsi="Arial" w:cs="Arial"/>
          <w:sz w:val="20"/>
          <w:szCs w:val="20"/>
        </w:rPr>
        <w:t xml:space="preserve">L’endocarde est un épithélium pavimenteux simple reposant sur une couche conjonctive </w:t>
      </w:r>
      <w:r w:rsidR="00716061">
        <w:rPr>
          <w:rFonts w:ascii="Arial" w:eastAsia="Times New Roman" w:hAnsi="Arial" w:cs="Arial"/>
          <w:sz w:val="20"/>
          <w:szCs w:val="20"/>
        </w:rPr>
        <w:t xml:space="preserve">plus ou moins épaisse en fonction des régions cardiaques </w:t>
      </w:r>
      <w:r w:rsidR="0021147D">
        <w:rPr>
          <w:rFonts w:ascii="Arial" w:eastAsia="Times New Roman" w:hAnsi="Arial" w:cs="Arial"/>
          <w:sz w:val="20"/>
          <w:szCs w:val="20"/>
        </w:rPr>
        <w:t>(</w:t>
      </w:r>
      <w:r w:rsidR="00716061">
        <w:rPr>
          <w:rFonts w:ascii="Arial" w:eastAsia="Times New Roman" w:hAnsi="Arial" w:cs="Arial"/>
          <w:sz w:val="20"/>
          <w:szCs w:val="20"/>
        </w:rPr>
        <w:t xml:space="preserve">cette couche conjonctive est </w:t>
      </w:r>
      <w:r w:rsidR="0021147D">
        <w:rPr>
          <w:rFonts w:ascii="Arial" w:eastAsia="Times New Roman" w:hAnsi="Arial" w:cs="Arial"/>
          <w:sz w:val="20"/>
          <w:szCs w:val="20"/>
        </w:rPr>
        <w:t xml:space="preserve">représentée </w:t>
      </w:r>
      <w:r>
        <w:rPr>
          <w:rFonts w:ascii="Arial" w:eastAsia="Times New Roman" w:hAnsi="Arial" w:cs="Arial"/>
          <w:sz w:val="20"/>
          <w:szCs w:val="20"/>
        </w:rPr>
        <w:t>en 2</w:t>
      </w:r>
      <w:r w:rsidR="0021147D">
        <w:rPr>
          <w:rFonts w:ascii="Arial" w:eastAsia="Times New Roman" w:hAnsi="Arial" w:cs="Arial"/>
          <w:sz w:val="20"/>
          <w:szCs w:val="20"/>
        </w:rPr>
        <w:t>).</w:t>
      </w:r>
    </w:p>
    <w:p w14:paraId="064E56FC" w14:textId="6A10297F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21147D">
        <w:rPr>
          <w:rFonts w:ascii="Arial" w:eastAsia="Times New Roman" w:hAnsi="Arial" w:cs="Arial"/>
          <w:sz w:val="20"/>
          <w:szCs w:val="20"/>
        </w:rPr>
        <w:t xml:space="preserve"> </w:t>
      </w:r>
      <w:r w:rsidR="001917FE">
        <w:rPr>
          <w:rFonts w:ascii="Arial" w:eastAsia="Times New Roman" w:hAnsi="Arial" w:cs="Arial"/>
          <w:sz w:val="20"/>
          <w:szCs w:val="20"/>
        </w:rPr>
        <w:t>Les cardiomyocytes forment un réseau tridimensionnel (en 2) grâce à leurs jonctions intercellulaires très spécialisées appelées stries scalariformes ou encore disques intercalaires.</w:t>
      </w:r>
    </w:p>
    <w:p w14:paraId="066BAF42" w14:textId="24EE8EEF" w:rsidR="006E1BD5" w:rsidRPr="00556300" w:rsidRDefault="001917FE" w:rsidP="006E1BD5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Les stries scalariformes permettent une cohésion mécanique de manière à propager les forces de tension entre les cardiomyocytes adjacents mais ne sont pas équipé</w:t>
      </w:r>
      <w:r w:rsidR="009D119D">
        <w:rPr>
          <w:rFonts w:ascii="Arial" w:eastAsia="Times New Roman" w:hAnsi="Arial" w:cs="Arial"/>
          <w:sz w:val="20"/>
          <w:szCs w:val="20"/>
        </w:rPr>
        <w:t>e</w:t>
      </w:r>
      <w:r>
        <w:rPr>
          <w:rFonts w:ascii="Arial" w:eastAsia="Times New Roman" w:hAnsi="Arial" w:cs="Arial"/>
          <w:sz w:val="20"/>
          <w:szCs w:val="20"/>
        </w:rPr>
        <w:t>s de jonctions communicantes.</w:t>
      </w:r>
      <w:r w:rsidR="006E1BD5" w:rsidRPr="00556300">
        <w:rPr>
          <w:rFonts w:ascii="Arial" w:eastAsia="Times New Roman" w:hAnsi="Arial" w:cs="Arial"/>
          <w:sz w:val="20"/>
          <w:szCs w:val="20"/>
        </w:rPr>
        <w:tab/>
      </w:r>
    </w:p>
    <w:p w14:paraId="6C2F22CF" w14:textId="4E289A69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4883C2EB" w14:textId="77777777" w:rsidR="0021147D" w:rsidRDefault="0021147D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B2551B" w14:textId="09F6EC37" w:rsidR="006E1BD5" w:rsidRPr="00556300" w:rsidRDefault="006E1BD5" w:rsidP="006E1BD5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34441A">
        <w:rPr>
          <w:rFonts w:ascii="Arial" w:eastAsia="Times New Roman" w:hAnsi="Arial" w:cs="Arial"/>
          <w:b/>
          <w:sz w:val="20"/>
          <w:szCs w:val="20"/>
          <w:u w:val="single"/>
        </w:rPr>
        <w:t>10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34441A">
        <w:rPr>
          <w:rFonts w:ascii="Arial" w:eastAsia="Times New Roman" w:hAnsi="Arial" w:cs="Arial"/>
          <w:b/>
          <w:sz w:val="20"/>
          <w:szCs w:val="20"/>
        </w:rPr>
        <w:t>A propos des techniques</w:t>
      </w:r>
      <w:r w:rsidR="008C4EC3">
        <w:rPr>
          <w:rFonts w:ascii="Arial" w:eastAsia="Times New Roman" w:hAnsi="Arial" w:cs="Arial"/>
          <w:b/>
          <w:sz w:val="20"/>
          <w:szCs w:val="20"/>
        </w:rPr>
        <w:t xml:space="preserve"> et moyens d’études des tissus, </w:t>
      </w:r>
      <w:proofErr w:type="gramStart"/>
      <w:r w:rsidR="008C4EC3">
        <w:rPr>
          <w:rFonts w:ascii="Arial" w:eastAsia="Times New Roman" w:hAnsi="Arial" w:cs="Arial"/>
          <w:b/>
          <w:sz w:val="20"/>
          <w:szCs w:val="20"/>
        </w:rPr>
        <w:t>donnez la</w:t>
      </w:r>
      <w:proofErr w:type="gramEnd"/>
      <w:r w:rsidR="008C4EC3">
        <w:rPr>
          <w:rFonts w:ascii="Arial" w:eastAsia="Times New Roman" w:hAnsi="Arial" w:cs="Arial"/>
          <w:b/>
          <w:sz w:val="20"/>
          <w:szCs w:val="20"/>
        </w:rPr>
        <w:t>(les) proposition(s) vraie(s) :</w:t>
      </w:r>
    </w:p>
    <w:p w14:paraId="6977BB2E" w14:textId="026C9E5C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616BA3">
        <w:rPr>
          <w:rFonts w:ascii="Arial" w:eastAsia="Times New Roman" w:hAnsi="Arial" w:cs="Arial"/>
          <w:sz w:val="20"/>
          <w:szCs w:val="20"/>
        </w:rPr>
        <w:t>Pour observer un échantillon en microscopie optique, il est nécessaire de le traiter avec des sels de métaux lourds.</w:t>
      </w:r>
    </w:p>
    <w:p w14:paraId="3154D3C4" w14:textId="4963ED03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616BA3">
        <w:rPr>
          <w:rFonts w:ascii="Arial" w:eastAsia="Times New Roman" w:hAnsi="Arial" w:cs="Arial"/>
          <w:sz w:val="20"/>
          <w:szCs w:val="20"/>
        </w:rPr>
        <w:t xml:space="preserve">Les sels de métaux lourds (plomb, acétate d’uranyle) sont denses aux </w:t>
      </w:r>
      <w:r w:rsidR="00E32B51">
        <w:rPr>
          <w:rFonts w:ascii="Arial" w:eastAsia="Times New Roman" w:hAnsi="Arial" w:cs="Arial"/>
          <w:sz w:val="20"/>
          <w:szCs w:val="20"/>
        </w:rPr>
        <w:t>photons</w:t>
      </w:r>
      <w:r w:rsidR="00616BA3">
        <w:rPr>
          <w:rFonts w:ascii="Arial" w:eastAsia="Times New Roman" w:hAnsi="Arial" w:cs="Arial"/>
          <w:sz w:val="20"/>
          <w:szCs w:val="20"/>
        </w:rPr>
        <w:t>, ce qui permet d</w:t>
      </w:r>
      <w:r w:rsidR="00E32B51">
        <w:rPr>
          <w:rFonts w:ascii="Arial" w:eastAsia="Times New Roman" w:hAnsi="Arial" w:cs="Arial"/>
          <w:sz w:val="20"/>
          <w:szCs w:val="20"/>
        </w:rPr>
        <w:t xml:space="preserve">’augmenter </w:t>
      </w:r>
      <w:r w:rsidR="00616BA3">
        <w:rPr>
          <w:rFonts w:ascii="Arial" w:eastAsia="Times New Roman" w:hAnsi="Arial" w:cs="Arial"/>
          <w:sz w:val="20"/>
          <w:szCs w:val="20"/>
        </w:rPr>
        <w:t>le contraste lors de l’observation.</w:t>
      </w:r>
    </w:p>
    <w:p w14:paraId="1E4CC9F1" w14:textId="32296EAC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616BA3">
        <w:rPr>
          <w:rFonts w:ascii="Arial" w:eastAsia="Times New Roman" w:hAnsi="Arial" w:cs="Arial"/>
          <w:sz w:val="20"/>
          <w:szCs w:val="20"/>
        </w:rPr>
        <w:t xml:space="preserve"> En microscopie électronique, on fait </w:t>
      </w:r>
      <w:r w:rsidR="003515D2">
        <w:rPr>
          <w:rFonts w:ascii="Arial" w:eastAsia="Times New Roman" w:hAnsi="Arial" w:cs="Arial"/>
          <w:sz w:val="20"/>
          <w:szCs w:val="20"/>
        </w:rPr>
        <w:t xml:space="preserve">d’abord </w:t>
      </w:r>
      <w:r w:rsidR="00616BA3">
        <w:rPr>
          <w:rFonts w:ascii="Arial" w:eastAsia="Times New Roman" w:hAnsi="Arial" w:cs="Arial"/>
          <w:sz w:val="20"/>
          <w:szCs w:val="20"/>
        </w:rPr>
        <w:t xml:space="preserve">des coupes </w:t>
      </w:r>
      <w:proofErr w:type="spellStart"/>
      <w:r w:rsidR="00616BA3">
        <w:rPr>
          <w:rFonts w:ascii="Arial" w:eastAsia="Times New Roman" w:hAnsi="Arial" w:cs="Arial"/>
          <w:sz w:val="20"/>
          <w:szCs w:val="20"/>
        </w:rPr>
        <w:t>ultra-fines</w:t>
      </w:r>
      <w:proofErr w:type="spellEnd"/>
      <w:r w:rsidR="00616BA3">
        <w:rPr>
          <w:rFonts w:ascii="Arial" w:eastAsia="Times New Roman" w:hAnsi="Arial" w:cs="Arial"/>
          <w:sz w:val="20"/>
          <w:szCs w:val="20"/>
        </w:rPr>
        <w:t xml:space="preserve"> colorées au bleu de toluidine avant de faire des coupes </w:t>
      </w:r>
      <w:proofErr w:type="spellStart"/>
      <w:r w:rsidR="00616BA3">
        <w:rPr>
          <w:rFonts w:ascii="Arial" w:eastAsia="Times New Roman" w:hAnsi="Arial" w:cs="Arial"/>
          <w:sz w:val="20"/>
          <w:szCs w:val="20"/>
        </w:rPr>
        <w:t>semi-fines</w:t>
      </w:r>
      <w:proofErr w:type="spellEnd"/>
      <w:r w:rsidR="00616BA3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02EBDDD3" w14:textId="768557B6" w:rsidR="006E1BD5" w:rsidRPr="00556300" w:rsidRDefault="00616BA3" w:rsidP="00616BA3">
      <w:pPr>
        <w:tabs>
          <w:tab w:val="left" w:pos="864"/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La technique d’ombrage permet une visualisation directe </w:t>
      </w:r>
      <w:r w:rsidR="002B731B">
        <w:rPr>
          <w:rFonts w:ascii="Arial" w:eastAsia="Times New Roman" w:hAnsi="Arial" w:cs="Arial"/>
          <w:sz w:val="20"/>
          <w:szCs w:val="20"/>
        </w:rPr>
        <w:t>de la surface de petits objets.</w:t>
      </w:r>
    </w:p>
    <w:p w14:paraId="2DA98EC4" w14:textId="77777777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67574300" w14:textId="77777777" w:rsidR="006E1BD5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6C38DD4" w14:textId="6CC87815" w:rsidR="006E1BD5" w:rsidRPr="00556300" w:rsidRDefault="006E1BD5" w:rsidP="006E1BD5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>QCM 1</w:t>
      </w:r>
      <w:r w:rsidR="0034441A">
        <w:rPr>
          <w:rFonts w:ascii="Arial" w:eastAsia="Times New Roman" w:hAnsi="Arial" w:cs="Arial"/>
          <w:b/>
          <w:sz w:val="20"/>
          <w:szCs w:val="20"/>
          <w:u w:val="single"/>
        </w:rPr>
        <w:t>1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34441A">
        <w:rPr>
          <w:rFonts w:ascii="Arial" w:eastAsia="Times New Roman" w:hAnsi="Arial" w:cs="Arial"/>
          <w:b/>
          <w:sz w:val="20"/>
          <w:szCs w:val="20"/>
        </w:rPr>
        <w:t>A propos des techniques</w:t>
      </w:r>
      <w:r w:rsidR="008603C3">
        <w:rPr>
          <w:rFonts w:ascii="Arial" w:eastAsia="Times New Roman" w:hAnsi="Arial" w:cs="Arial"/>
          <w:b/>
          <w:sz w:val="20"/>
          <w:szCs w:val="20"/>
        </w:rPr>
        <w:t xml:space="preserve"> et moyens d’études des tissus, </w:t>
      </w:r>
      <w:proofErr w:type="gramStart"/>
      <w:r w:rsidR="008603C3">
        <w:rPr>
          <w:rFonts w:ascii="Arial" w:eastAsia="Times New Roman" w:hAnsi="Arial" w:cs="Arial"/>
          <w:b/>
          <w:sz w:val="20"/>
          <w:szCs w:val="20"/>
        </w:rPr>
        <w:t>donnez la</w:t>
      </w:r>
      <w:proofErr w:type="gramEnd"/>
      <w:r w:rsidR="008603C3">
        <w:rPr>
          <w:rFonts w:ascii="Arial" w:eastAsia="Times New Roman" w:hAnsi="Arial" w:cs="Arial"/>
          <w:b/>
          <w:sz w:val="20"/>
          <w:szCs w:val="20"/>
        </w:rPr>
        <w:t>(les) proposition(s) vraie(s) :</w:t>
      </w:r>
    </w:p>
    <w:p w14:paraId="0724D217" w14:textId="4518887F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F66A2B">
        <w:rPr>
          <w:rFonts w:ascii="Arial" w:eastAsia="Times New Roman" w:hAnsi="Arial" w:cs="Arial"/>
          <w:sz w:val="20"/>
          <w:szCs w:val="20"/>
        </w:rPr>
        <w:t xml:space="preserve">La microscopie optique se base sur le principe de </w:t>
      </w:r>
      <w:proofErr w:type="spellStart"/>
      <w:r w:rsidR="00F66A2B">
        <w:rPr>
          <w:rFonts w:ascii="Arial" w:eastAsia="Times New Roman" w:hAnsi="Arial" w:cs="Arial"/>
          <w:sz w:val="20"/>
          <w:szCs w:val="20"/>
        </w:rPr>
        <w:t>trans</w:t>
      </w:r>
      <w:proofErr w:type="spellEnd"/>
      <w:r w:rsidR="00F66A2B">
        <w:rPr>
          <w:rFonts w:ascii="Arial" w:eastAsia="Times New Roman" w:hAnsi="Arial" w:cs="Arial"/>
          <w:sz w:val="20"/>
          <w:szCs w:val="20"/>
        </w:rPr>
        <w:t xml:space="preserve">-illumination. </w:t>
      </w:r>
    </w:p>
    <w:p w14:paraId="2A9C6831" w14:textId="11424378" w:rsidR="006E1BD5" w:rsidRPr="00BC307E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307E">
        <w:rPr>
          <w:rFonts w:ascii="Arial" w:eastAsia="Times New Roman" w:hAnsi="Arial" w:cs="Arial"/>
          <w:sz w:val="20"/>
          <w:szCs w:val="20"/>
        </w:rPr>
        <w:t xml:space="preserve">B) </w:t>
      </w:r>
      <w:r w:rsidR="00E32B51" w:rsidRPr="00BC307E">
        <w:rPr>
          <w:rFonts w:ascii="Arial" w:hAnsi="Arial" w:cs="Arial"/>
          <w:color w:val="000000"/>
          <w:sz w:val="20"/>
          <w:szCs w:val="20"/>
        </w:rPr>
        <w:t>La conservation à température ambiante permet d’éviter la dénaturation des acides nucléiques.</w:t>
      </w:r>
    </w:p>
    <w:p w14:paraId="4D55DD3E" w14:textId="36231E33" w:rsidR="006E1BD5" w:rsidRPr="00BC307E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307E">
        <w:rPr>
          <w:rFonts w:ascii="Arial" w:eastAsia="Times New Roman" w:hAnsi="Arial" w:cs="Arial"/>
          <w:sz w:val="20"/>
          <w:szCs w:val="20"/>
        </w:rPr>
        <w:t>C)</w:t>
      </w:r>
      <w:r w:rsidR="00E32B51" w:rsidRPr="00BC307E">
        <w:rPr>
          <w:rFonts w:ascii="Trebuchet MS" w:hAnsi="Trebuchet MS" w:cs="Trebuchet MS"/>
          <w:color w:val="000000"/>
          <w:sz w:val="20"/>
          <w:szCs w:val="20"/>
        </w:rPr>
        <w:t xml:space="preserve"> </w:t>
      </w:r>
      <w:r w:rsidR="00E32B51" w:rsidRPr="00BC307E">
        <w:rPr>
          <w:rFonts w:ascii="Arial" w:hAnsi="Arial" w:cs="Arial"/>
          <w:color w:val="000000"/>
          <w:sz w:val="20"/>
          <w:szCs w:val="20"/>
        </w:rPr>
        <w:t>Le montage est l’apposition d’une lamelle ou d’un film sur la coupe tissulaire.</w:t>
      </w:r>
    </w:p>
    <w:p w14:paraId="3713AF5B" w14:textId="4C9EFC49" w:rsidR="002B731B" w:rsidRPr="002B731B" w:rsidRDefault="00E32B51" w:rsidP="006E1BD5">
      <w:pPr>
        <w:tabs>
          <w:tab w:val="left" w:pos="3501"/>
        </w:tabs>
        <w:spacing w:after="0" w:line="240" w:lineRule="auto"/>
        <w:rPr>
          <w:rFonts w:ascii="Arial" w:hAnsi="Arial" w:cs="Arial"/>
          <w:color w:val="000000"/>
          <w:sz w:val="20"/>
          <w:szCs w:val="24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="002B731B">
        <w:rPr>
          <w:rFonts w:ascii="Arial" w:hAnsi="Arial" w:cs="Arial"/>
          <w:color w:val="000000"/>
          <w:sz w:val="20"/>
          <w:szCs w:val="24"/>
        </w:rPr>
        <w:t xml:space="preserve">La coloration de </w:t>
      </w:r>
      <w:proofErr w:type="spellStart"/>
      <w:r w:rsidR="002B731B">
        <w:rPr>
          <w:rFonts w:ascii="Arial" w:hAnsi="Arial" w:cs="Arial"/>
          <w:color w:val="000000"/>
          <w:sz w:val="20"/>
          <w:szCs w:val="24"/>
        </w:rPr>
        <w:t>Ziehls</w:t>
      </w:r>
      <w:proofErr w:type="spellEnd"/>
      <w:r w:rsidR="002B731B">
        <w:rPr>
          <w:rFonts w:ascii="Arial" w:hAnsi="Arial" w:cs="Arial"/>
          <w:color w:val="000000"/>
          <w:sz w:val="20"/>
          <w:szCs w:val="24"/>
        </w:rPr>
        <w:t xml:space="preserve"> permet de mettre en évidence des surcharges ferriques, témoignant de la présence de sang.</w:t>
      </w:r>
    </w:p>
    <w:p w14:paraId="3AC0DE14" w14:textId="77777777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5CD6C800" w14:textId="77777777" w:rsidR="006E1BD5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15D007A" w14:textId="786699D1" w:rsidR="006E1BD5" w:rsidRPr="00556300" w:rsidRDefault="006E1BD5" w:rsidP="006E1BD5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>QCM 1</w:t>
      </w:r>
      <w:r w:rsidR="0034441A">
        <w:rPr>
          <w:rFonts w:ascii="Arial" w:eastAsia="Times New Roman" w:hAnsi="Arial" w:cs="Arial"/>
          <w:b/>
          <w:sz w:val="20"/>
          <w:szCs w:val="20"/>
          <w:u w:val="single"/>
        </w:rPr>
        <w:t>2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34441A">
        <w:rPr>
          <w:rFonts w:ascii="Arial" w:eastAsia="Times New Roman" w:hAnsi="Arial" w:cs="Arial"/>
          <w:b/>
          <w:sz w:val="20"/>
          <w:szCs w:val="20"/>
        </w:rPr>
        <w:t xml:space="preserve">A propos des épithéliums de </w:t>
      </w:r>
      <w:r w:rsidR="00C07CE4">
        <w:rPr>
          <w:rFonts w:ascii="Arial" w:eastAsia="Times New Roman" w:hAnsi="Arial" w:cs="Arial"/>
          <w:b/>
          <w:sz w:val="20"/>
          <w:szCs w:val="20"/>
        </w:rPr>
        <w:t xml:space="preserve">revêtement, </w:t>
      </w:r>
      <w:proofErr w:type="gramStart"/>
      <w:r w:rsidR="00C07CE4">
        <w:rPr>
          <w:rFonts w:ascii="Arial" w:eastAsia="Times New Roman" w:hAnsi="Arial" w:cs="Arial"/>
          <w:b/>
          <w:sz w:val="20"/>
          <w:szCs w:val="20"/>
        </w:rPr>
        <w:t xml:space="preserve">donnez </w:t>
      </w:r>
      <w:proofErr w:type="spellStart"/>
      <w:r w:rsidR="00C07CE4">
        <w:rPr>
          <w:rFonts w:ascii="Arial" w:eastAsia="Times New Roman" w:hAnsi="Arial" w:cs="Arial"/>
          <w:b/>
          <w:sz w:val="20"/>
          <w:szCs w:val="20"/>
        </w:rPr>
        <w:t>la</w:t>
      </w:r>
      <w:proofErr w:type="spellEnd"/>
      <w:proofErr w:type="gramEnd"/>
      <w:r w:rsidR="00C07CE4">
        <w:rPr>
          <w:rFonts w:ascii="Arial" w:eastAsia="Times New Roman" w:hAnsi="Arial" w:cs="Arial"/>
          <w:b/>
          <w:sz w:val="20"/>
          <w:szCs w:val="20"/>
        </w:rPr>
        <w:t>(les) proposition(s) vraie(s) :</w:t>
      </w:r>
    </w:p>
    <w:p w14:paraId="17E84813" w14:textId="26B4E09D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3546B0">
        <w:rPr>
          <w:rFonts w:ascii="Arial" w:eastAsia="Times New Roman" w:hAnsi="Arial" w:cs="Arial"/>
          <w:sz w:val="20"/>
          <w:szCs w:val="20"/>
        </w:rPr>
        <w:t xml:space="preserve">Au niveau des crêtes linéaires des jonctions </w:t>
      </w:r>
      <w:r w:rsidR="004F2FE9">
        <w:rPr>
          <w:rFonts w:ascii="Arial" w:eastAsia="Times New Roman" w:hAnsi="Arial" w:cs="Arial"/>
          <w:sz w:val="20"/>
          <w:szCs w:val="20"/>
        </w:rPr>
        <w:t>serrées</w:t>
      </w:r>
      <w:r w:rsidR="00BC307E">
        <w:rPr>
          <w:rFonts w:ascii="Arial" w:eastAsia="Times New Roman" w:hAnsi="Arial" w:cs="Arial"/>
          <w:sz w:val="20"/>
          <w:szCs w:val="20"/>
        </w:rPr>
        <w:t>,</w:t>
      </w:r>
      <w:r w:rsidR="004F2FE9">
        <w:rPr>
          <w:rFonts w:ascii="Arial" w:eastAsia="Times New Roman" w:hAnsi="Arial" w:cs="Arial"/>
          <w:sz w:val="20"/>
          <w:szCs w:val="20"/>
        </w:rPr>
        <w:t xml:space="preserve"> on </w:t>
      </w:r>
      <w:r w:rsidR="003546B0">
        <w:rPr>
          <w:rFonts w:ascii="Arial" w:eastAsia="Times New Roman" w:hAnsi="Arial" w:cs="Arial"/>
          <w:sz w:val="20"/>
          <w:szCs w:val="20"/>
        </w:rPr>
        <w:t>retrouve des molécules transmembranaires responsable</w:t>
      </w:r>
      <w:r w:rsidR="004F2FE9">
        <w:rPr>
          <w:rFonts w:ascii="Arial" w:eastAsia="Times New Roman" w:hAnsi="Arial" w:cs="Arial"/>
          <w:sz w:val="20"/>
          <w:szCs w:val="20"/>
        </w:rPr>
        <w:t>s</w:t>
      </w:r>
      <w:r w:rsidR="003546B0">
        <w:rPr>
          <w:rFonts w:ascii="Arial" w:eastAsia="Times New Roman" w:hAnsi="Arial" w:cs="Arial"/>
          <w:sz w:val="20"/>
          <w:szCs w:val="20"/>
        </w:rPr>
        <w:t xml:space="preserve"> de l’adhésion entre les cellules adjacentes</w:t>
      </w:r>
      <w:r w:rsidR="004F2FE9">
        <w:rPr>
          <w:rFonts w:ascii="Arial" w:eastAsia="Times New Roman" w:hAnsi="Arial" w:cs="Arial"/>
          <w:sz w:val="20"/>
          <w:szCs w:val="20"/>
        </w:rPr>
        <w:t>.</w:t>
      </w:r>
    </w:p>
    <w:p w14:paraId="4521CF34" w14:textId="09719DDE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3546B0">
        <w:rPr>
          <w:rFonts w:ascii="Arial" w:eastAsia="Times New Roman" w:hAnsi="Arial" w:cs="Arial"/>
          <w:sz w:val="20"/>
          <w:szCs w:val="20"/>
        </w:rPr>
        <w:t xml:space="preserve">Les jonctions </w:t>
      </w:r>
      <w:r w:rsidR="0072586C">
        <w:rPr>
          <w:rFonts w:ascii="Arial" w:eastAsia="Times New Roman" w:hAnsi="Arial" w:cs="Arial"/>
          <w:sz w:val="20"/>
          <w:szCs w:val="20"/>
        </w:rPr>
        <w:t>serrées</w:t>
      </w:r>
      <w:r w:rsidR="003546B0">
        <w:rPr>
          <w:rFonts w:ascii="Arial" w:eastAsia="Times New Roman" w:hAnsi="Arial" w:cs="Arial"/>
          <w:sz w:val="20"/>
          <w:szCs w:val="20"/>
        </w:rPr>
        <w:t xml:space="preserve"> ont une importante fonction d’adhérence</w:t>
      </w:r>
      <w:r w:rsidR="0072586C">
        <w:rPr>
          <w:rFonts w:ascii="Arial" w:eastAsia="Times New Roman" w:hAnsi="Arial" w:cs="Arial"/>
          <w:sz w:val="20"/>
          <w:szCs w:val="20"/>
        </w:rPr>
        <w:t xml:space="preserve"> (par rapport aux desmosomes)</w:t>
      </w:r>
      <w:r w:rsidR="00C07CE4">
        <w:rPr>
          <w:rFonts w:ascii="Arial" w:eastAsia="Times New Roman" w:hAnsi="Arial" w:cs="Arial"/>
          <w:sz w:val="20"/>
          <w:szCs w:val="20"/>
        </w:rPr>
        <w:t>.</w:t>
      </w:r>
    </w:p>
    <w:p w14:paraId="3D16D09D" w14:textId="66C1F06A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72586C" w:rsidRPr="0072586C">
        <w:rPr>
          <w:rFonts w:ascii="Arial" w:eastAsia="Times New Roman" w:hAnsi="Arial" w:cs="Arial"/>
          <w:sz w:val="20"/>
          <w:szCs w:val="20"/>
        </w:rPr>
        <w:t xml:space="preserve"> </w:t>
      </w:r>
      <w:r w:rsidR="0072586C">
        <w:rPr>
          <w:rFonts w:ascii="Arial" w:eastAsia="Times New Roman" w:hAnsi="Arial" w:cs="Arial"/>
          <w:sz w:val="20"/>
          <w:szCs w:val="20"/>
        </w:rPr>
        <w:t>Les jonctions adhérentes ont une importante fonction d’adhérence (par rapport aux desmosomes)</w:t>
      </w:r>
      <w:r w:rsidR="00C07CE4">
        <w:rPr>
          <w:rFonts w:ascii="Arial" w:eastAsia="Times New Roman" w:hAnsi="Arial" w:cs="Arial"/>
          <w:sz w:val="20"/>
          <w:szCs w:val="20"/>
        </w:rPr>
        <w:t>.</w:t>
      </w:r>
    </w:p>
    <w:p w14:paraId="2F4DDEE5" w14:textId="738B8EA4" w:rsidR="006E1BD5" w:rsidRPr="00556300" w:rsidRDefault="0072586C" w:rsidP="0072586C">
      <w:pPr>
        <w:tabs>
          <w:tab w:val="left" w:pos="3501"/>
          <w:tab w:val="left" w:pos="76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Les desmosomes ont une faible fonction d’adhérence (par rapport aux jonctions </w:t>
      </w:r>
      <w:r w:rsidR="00C07CE4">
        <w:rPr>
          <w:rFonts w:ascii="Arial" w:eastAsia="Times New Roman" w:hAnsi="Arial" w:cs="Arial"/>
          <w:sz w:val="20"/>
          <w:szCs w:val="20"/>
        </w:rPr>
        <w:t>serrées</w:t>
      </w:r>
      <w:r>
        <w:rPr>
          <w:rFonts w:ascii="Arial" w:eastAsia="Times New Roman" w:hAnsi="Arial" w:cs="Arial"/>
          <w:sz w:val="20"/>
          <w:szCs w:val="20"/>
        </w:rPr>
        <w:t xml:space="preserve"> ou aux jonctions adhérentes)</w:t>
      </w:r>
      <w:r w:rsidR="00C07CE4">
        <w:rPr>
          <w:rFonts w:ascii="Arial" w:eastAsia="Times New Roman" w:hAnsi="Arial" w:cs="Arial"/>
          <w:sz w:val="20"/>
          <w:szCs w:val="20"/>
        </w:rPr>
        <w:t>.</w:t>
      </w:r>
      <w:r>
        <w:rPr>
          <w:rFonts w:ascii="Arial" w:eastAsia="Times New Roman" w:hAnsi="Arial" w:cs="Arial"/>
          <w:sz w:val="20"/>
          <w:szCs w:val="20"/>
        </w:rPr>
        <w:tab/>
      </w:r>
    </w:p>
    <w:p w14:paraId="596CB215" w14:textId="77777777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lastRenderedPageBreak/>
        <w:t>E) Les propositions A, B, C et D sont fausses</w:t>
      </w:r>
    </w:p>
    <w:p w14:paraId="14147F1C" w14:textId="77777777" w:rsidR="006E1BD5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7F6BF50" w14:textId="7B707F07" w:rsidR="006E1BD5" w:rsidRPr="00556300" w:rsidRDefault="006E1BD5" w:rsidP="006E1BD5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>QCM 1</w:t>
      </w:r>
      <w:r w:rsidR="0034441A">
        <w:rPr>
          <w:rFonts w:ascii="Arial" w:eastAsia="Times New Roman" w:hAnsi="Arial" w:cs="Arial"/>
          <w:b/>
          <w:sz w:val="20"/>
          <w:szCs w:val="20"/>
          <w:u w:val="single"/>
        </w:rPr>
        <w:t>3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34441A">
        <w:rPr>
          <w:rFonts w:ascii="Arial" w:eastAsia="Times New Roman" w:hAnsi="Arial" w:cs="Arial"/>
          <w:b/>
          <w:sz w:val="20"/>
          <w:szCs w:val="20"/>
        </w:rPr>
        <w:t>A propos des épithéliums glandulaires</w:t>
      </w:r>
      <w:r w:rsidR="00C07CE4">
        <w:rPr>
          <w:rFonts w:ascii="Arial" w:eastAsia="Times New Roman" w:hAnsi="Arial" w:cs="Arial"/>
          <w:b/>
          <w:sz w:val="20"/>
          <w:szCs w:val="20"/>
        </w:rPr>
        <w:t xml:space="preserve">, </w:t>
      </w:r>
      <w:proofErr w:type="gramStart"/>
      <w:r w:rsidR="00C07CE4">
        <w:rPr>
          <w:rFonts w:ascii="Arial" w:eastAsia="Times New Roman" w:hAnsi="Arial" w:cs="Arial"/>
          <w:b/>
          <w:sz w:val="20"/>
          <w:szCs w:val="20"/>
        </w:rPr>
        <w:t xml:space="preserve">donnez </w:t>
      </w:r>
      <w:proofErr w:type="spellStart"/>
      <w:r w:rsidR="00C07CE4">
        <w:rPr>
          <w:rFonts w:ascii="Arial" w:eastAsia="Times New Roman" w:hAnsi="Arial" w:cs="Arial"/>
          <w:b/>
          <w:sz w:val="20"/>
          <w:szCs w:val="20"/>
        </w:rPr>
        <w:t>la</w:t>
      </w:r>
      <w:proofErr w:type="spellEnd"/>
      <w:proofErr w:type="gramEnd"/>
      <w:r w:rsidR="00C07CE4">
        <w:rPr>
          <w:rFonts w:ascii="Arial" w:eastAsia="Times New Roman" w:hAnsi="Arial" w:cs="Arial"/>
          <w:b/>
          <w:sz w:val="20"/>
          <w:szCs w:val="20"/>
        </w:rPr>
        <w:t>(les) proposition(s) vraie(s) :</w:t>
      </w:r>
    </w:p>
    <w:p w14:paraId="70162D03" w14:textId="1BE30B6C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72586C">
        <w:rPr>
          <w:rFonts w:ascii="Arial" w:eastAsia="Times New Roman" w:hAnsi="Arial" w:cs="Arial"/>
          <w:sz w:val="20"/>
          <w:szCs w:val="20"/>
        </w:rPr>
        <w:t>Les cellules sécrétrices sont toutes de nature épithéliale</w:t>
      </w:r>
      <w:r w:rsidR="004F2FE9">
        <w:rPr>
          <w:rFonts w:ascii="Arial" w:eastAsia="Times New Roman" w:hAnsi="Arial" w:cs="Arial"/>
          <w:sz w:val="20"/>
          <w:szCs w:val="20"/>
        </w:rPr>
        <w:t>.</w:t>
      </w:r>
    </w:p>
    <w:p w14:paraId="1DC9BAD6" w14:textId="7039DFAF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4A5953">
        <w:rPr>
          <w:rFonts w:ascii="Arial" w:eastAsia="Times New Roman" w:hAnsi="Arial" w:cs="Arial"/>
          <w:sz w:val="20"/>
          <w:szCs w:val="20"/>
        </w:rPr>
        <w:t xml:space="preserve">L’acné est une pathologie de la glande de </w:t>
      </w:r>
      <w:proofErr w:type="spellStart"/>
      <w:r w:rsidR="004A5953">
        <w:rPr>
          <w:rFonts w:ascii="Arial" w:eastAsia="Times New Roman" w:hAnsi="Arial" w:cs="Arial"/>
          <w:sz w:val="20"/>
          <w:szCs w:val="20"/>
        </w:rPr>
        <w:t>Lieberk</w:t>
      </w:r>
      <w:r w:rsidR="00E4382D">
        <w:rPr>
          <w:rFonts w:ascii="Arial" w:eastAsia="Times New Roman" w:hAnsi="Arial" w:cs="Arial"/>
          <w:sz w:val="20"/>
          <w:szCs w:val="20"/>
        </w:rPr>
        <w:t>hun</w:t>
      </w:r>
      <w:proofErr w:type="spellEnd"/>
      <w:r w:rsidR="004F2FE9">
        <w:rPr>
          <w:rFonts w:ascii="Arial" w:eastAsia="Times New Roman" w:hAnsi="Arial" w:cs="Arial"/>
          <w:sz w:val="20"/>
          <w:szCs w:val="20"/>
        </w:rPr>
        <w:t>.</w:t>
      </w:r>
    </w:p>
    <w:p w14:paraId="5F116933" w14:textId="66786115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E4382D">
        <w:rPr>
          <w:rFonts w:ascii="Arial" w:eastAsia="Times New Roman" w:hAnsi="Arial" w:cs="Arial"/>
          <w:sz w:val="20"/>
          <w:szCs w:val="20"/>
        </w:rPr>
        <w:t xml:space="preserve"> Pour les glandes exocrines, le canal excréteur peut </w:t>
      </w:r>
      <w:r w:rsidR="004F2FE9">
        <w:rPr>
          <w:rFonts w:ascii="Arial" w:eastAsia="Times New Roman" w:hAnsi="Arial" w:cs="Arial"/>
          <w:sz w:val="20"/>
          <w:szCs w:val="20"/>
        </w:rPr>
        <w:t>exceptionnellement</w:t>
      </w:r>
      <w:r w:rsidR="00E4382D">
        <w:rPr>
          <w:rFonts w:ascii="Arial" w:eastAsia="Times New Roman" w:hAnsi="Arial" w:cs="Arial"/>
          <w:sz w:val="20"/>
          <w:szCs w:val="20"/>
        </w:rPr>
        <w:t xml:space="preserve"> faire défaut</w:t>
      </w:r>
      <w:r w:rsidR="004F2FE9">
        <w:rPr>
          <w:rFonts w:ascii="Arial" w:eastAsia="Times New Roman" w:hAnsi="Arial" w:cs="Arial"/>
          <w:sz w:val="20"/>
          <w:szCs w:val="20"/>
        </w:rPr>
        <w:t>.</w:t>
      </w:r>
    </w:p>
    <w:p w14:paraId="39FDB1FA" w14:textId="51309496" w:rsidR="006E1BD5" w:rsidRPr="00556300" w:rsidRDefault="00E4382D" w:rsidP="006E1BD5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La thyroïde, l’hypophyse et les surréna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</w:rPr>
        <w:t>les sont des glandes exocrines ;</w:t>
      </w:r>
      <w:r w:rsidR="004F2FE9">
        <w:rPr>
          <w:rFonts w:ascii="Arial" w:eastAsia="Times New Roman" w:hAnsi="Arial" w:cs="Arial"/>
          <w:sz w:val="20"/>
          <w:szCs w:val="20"/>
        </w:rPr>
        <w:t xml:space="preserve"> par contre</w:t>
      </w:r>
      <w:r>
        <w:rPr>
          <w:rFonts w:ascii="Arial" w:eastAsia="Times New Roman" w:hAnsi="Arial" w:cs="Arial"/>
          <w:sz w:val="20"/>
          <w:szCs w:val="20"/>
        </w:rPr>
        <w:t xml:space="preserve"> les glandes salivaires, sudoripare</w:t>
      </w:r>
      <w:r w:rsidR="004F2FE9">
        <w:rPr>
          <w:rFonts w:ascii="Arial" w:eastAsia="Times New Roman" w:hAnsi="Arial" w:cs="Arial"/>
          <w:sz w:val="20"/>
          <w:szCs w:val="20"/>
        </w:rPr>
        <w:t>s et celles du tractus digestif</w:t>
      </w:r>
      <w:r>
        <w:rPr>
          <w:rFonts w:ascii="Arial" w:eastAsia="Times New Roman" w:hAnsi="Arial" w:cs="Arial"/>
          <w:sz w:val="20"/>
          <w:szCs w:val="20"/>
        </w:rPr>
        <w:t xml:space="preserve"> sont endocrines</w:t>
      </w:r>
      <w:r w:rsidR="004F2FE9">
        <w:rPr>
          <w:rFonts w:ascii="Arial" w:eastAsia="Times New Roman" w:hAnsi="Arial" w:cs="Arial"/>
          <w:sz w:val="20"/>
          <w:szCs w:val="20"/>
        </w:rPr>
        <w:t>.</w:t>
      </w:r>
    </w:p>
    <w:p w14:paraId="54A1A59A" w14:textId="77777777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39F8C6FE" w14:textId="77777777" w:rsidR="006E1BD5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5AE05B" w14:textId="77777777" w:rsidR="006E1BD5" w:rsidRPr="00556300" w:rsidRDefault="006E1BD5" w:rsidP="006E1BD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9044D6F" w14:textId="77777777" w:rsidR="00390670" w:rsidRPr="00BC60A4" w:rsidRDefault="00390670" w:rsidP="004F2FE9">
      <w:pPr>
        <w:tabs>
          <w:tab w:val="left" w:pos="1020"/>
        </w:tabs>
        <w:spacing w:after="160" w:line="240" w:lineRule="auto"/>
        <w:rPr>
          <w:rFonts w:ascii="Arial" w:hAnsi="Arial" w:cs="Arial"/>
          <w:b/>
          <w:sz w:val="14"/>
          <w:u w:val="single"/>
        </w:rPr>
      </w:pPr>
    </w:p>
    <w:sectPr w:rsidR="00390670" w:rsidRPr="00BC60A4" w:rsidSect="00D46C01">
      <w:footerReference w:type="default" r:id="rId11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97D30C" w14:textId="77777777" w:rsidR="007F4713" w:rsidRDefault="007F4713" w:rsidP="00002F21">
      <w:pPr>
        <w:spacing w:after="0" w:line="240" w:lineRule="auto"/>
      </w:pPr>
      <w:r>
        <w:separator/>
      </w:r>
    </w:p>
  </w:endnote>
  <w:endnote w:type="continuationSeparator" w:id="0">
    <w:p w14:paraId="7908F80C" w14:textId="77777777" w:rsidR="007F4713" w:rsidRDefault="007F4713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2CC5C" w14:textId="17421EF4" w:rsidR="00D513CA" w:rsidRPr="007E562C" w:rsidRDefault="00D513CA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JJ.</w:t>
    </w:r>
    <w:proofErr w:type="gramStart"/>
    <w:r>
      <w:rPr>
        <w:b/>
      </w:rPr>
      <w:t>MM.AA</w:t>
    </w:r>
    <w:proofErr w:type="gramEnd"/>
    <w:r w:rsidRPr="006912A2">
      <w:tab/>
    </w:r>
    <w:r w:rsidRPr="006912A2">
      <w:rPr>
        <w:b/>
      </w:rPr>
      <w:t xml:space="preserve">Le tutorat est gratuit. Toute reproduction ou vente </w:t>
    </w:r>
    <w:r>
      <w:rPr>
        <w:b/>
      </w:rPr>
      <w:t>est interdite.</w:t>
    </w:r>
    <w:r w:rsidRPr="006912A2">
      <w:tab/>
    </w:r>
    <w:r w:rsidRPr="006912A2">
      <w:rPr>
        <w:b/>
      </w:rPr>
      <w:t xml:space="preserve">Page </w:t>
    </w:r>
    <w:r w:rsidRPr="006912A2">
      <w:rPr>
        <w:b/>
      </w:rPr>
      <w:fldChar w:fldCharType="begin"/>
    </w:r>
    <w:r w:rsidRPr="006912A2">
      <w:rPr>
        <w:b/>
      </w:rPr>
      <w:instrText>PAGE</w:instrText>
    </w:r>
    <w:r w:rsidRPr="006912A2">
      <w:rPr>
        <w:b/>
      </w:rPr>
      <w:fldChar w:fldCharType="separate"/>
    </w:r>
    <w:r w:rsidR="00BC307E">
      <w:rPr>
        <w:b/>
        <w:noProof/>
      </w:rPr>
      <w:t>1</w:t>
    </w:r>
    <w:r w:rsidRPr="006912A2">
      <w:rPr>
        <w:b/>
      </w:rPr>
      <w:fldChar w:fldCharType="end"/>
    </w:r>
    <w:r w:rsidRPr="006912A2">
      <w:rPr>
        <w:b/>
      </w:rPr>
      <w:t xml:space="preserve"> sur </w:t>
    </w:r>
    <w:r w:rsidRPr="006912A2">
      <w:rPr>
        <w:b/>
      </w:rPr>
      <w:fldChar w:fldCharType="begin"/>
    </w:r>
    <w:r w:rsidRPr="006912A2">
      <w:rPr>
        <w:b/>
      </w:rPr>
      <w:instrText>NUMPAGES</w:instrText>
    </w:r>
    <w:r w:rsidRPr="006912A2">
      <w:rPr>
        <w:b/>
      </w:rPr>
      <w:fldChar w:fldCharType="separate"/>
    </w:r>
    <w:r w:rsidR="00BC307E">
      <w:rPr>
        <w:b/>
        <w:noProof/>
      </w:rPr>
      <w:t>3</w:t>
    </w:r>
    <w:r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B397FC" w14:textId="77777777" w:rsidR="007F4713" w:rsidRDefault="007F4713" w:rsidP="00002F21">
      <w:pPr>
        <w:spacing w:after="0" w:line="240" w:lineRule="auto"/>
      </w:pPr>
      <w:r>
        <w:separator/>
      </w:r>
    </w:p>
  </w:footnote>
  <w:footnote w:type="continuationSeparator" w:id="0">
    <w:p w14:paraId="7B036930" w14:textId="77777777" w:rsidR="007F4713" w:rsidRDefault="007F4713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6A05D86"/>
    <w:multiLevelType w:val="hybridMultilevel"/>
    <w:tmpl w:val="476ECE42"/>
    <w:lvl w:ilvl="0" w:tplc="DBD63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940A0"/>
    <w:multiLevelType w:val="hybridMultilevel"/>
    <w:tmpl w:val="FE36055E"/>
    <w:lvl w:ilvl="0" w:tplc="B28666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2"/>
  </w:num>
  <w:num w:numId="8">
    <w:abstractNumId w:val="2"/>
  </w:num>
  <w:num w:numId="9">
    <w:abstractNumId w:val="6"/>
  </w:num>
  <w:num w:numId="10">
    <w:abstractNumId w:val="14"/>
  </w:num>
  <w:num w:numId="11">
    <w:abstractNumId w:val="1"/>
  </w:num>
  <w:num w:numId="12">
    <w:abstractNumId w:val="11"/>
  </w:num>
  <w:num w:numId="13">
    <w:abstractNumId w:val="8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533"/>
    <w:rsid w:val="00002F21"/>
    <w:rsid w:val="0001581A"/>
    <w:rsid w:val="000225EA"/>
    <w:rsid w:val="00022D17"/>
    <w:rsid w:val="00023582"/>
    <w:rsid w:val="000236DC"/>
    <w:rsid w:val="000331F5"/>
    <w:rsid w:val="00035987"/>
    <w:rsid w:val="00050AAB"/>
    <w:rsid w:val="00057FC5"/>
    <w:rsid w:val="00087576"/>
    <w:rsid w:val="000A68CA"/>
    <w:rsid w:val="000C7435"/>
    <w:rsid w:val="000F054A"/>
    <w:rsid w:val="000F4562"/>
    <w:rsid w:val="0011589C"/>
    <w:rsid w:val="001534E3"/>
    <w:rsid w:val="00167E5D"/>
    <w:rsid w:val="001917FE"/>
    <w:rsid w:val="001C0435"/>
    <w:rsid w:val="001D2E80"/>
    <w:rsid w:val="001E244C"/>
    <w:rsid w:val="001E264B"/>
    <w:rsid w:val="001E2C9E"/>
    <w:rsid w:val="001E54D1"/>
    <w:rsid w:val="001E5BC8"/>
    <w:rsid w:val="001E611F"/>
    <w:rsid w:val="00203D34"/>
    <w:rsid w:val="0020693B"/>
    <w:rsid w:val="00210B3A"/>
    <w:rsid w:val="0021147D"/>
    <w:rsid w:val="00241118"/>
    <w:rsid w:val="00254BD9"/>
    <w:rsid w:val="00286574"/>
    <w:rsid w:val="00293140"/>
    <w:rsid w:val="002A32D0"/>
    <w:rsid w:val="002B731B"/>
    <w:rsid w:val="002C7193"/>
    <w:rsid w:val="003009D4"/>
    <w:rsid w:val="00304EE8"/>
    <w:rsid w:val="00320FE7"/>
    <w:rsid w:val="00343B94"/>
    <w:rsid w:val="0034441A"/>
    <w:rsid w:val="003515D2"/>
    <w:rsid w:val="003546B0"/>
    <w:rsid w:val="0035629B"/>
    <w:rsid w:val="003564CE"/>
    <w:rsid w:val="00360AA6"/>
    <w:rsid w:val="00367339"/>
    <w:rsid w:val="00373730"/>
    <w:rsid w:val="00390670"/>
    <w:rsid w:val="00395953"/>
    <w:rsid w:val="003A28B3"/>
    <w:rsid w:val="003B1162"/>
    <w:rsid w:val="003B2359"/>
    <w:rsid w:val="003B34D0"/>
    <w:rsid w:val="003D3885"/>
    <w:rsid w:val="003E3BD2"/>
    <w:rsid w:val="003F1CFB"/>
    <w:rsid w:val="003F260C"/>
    <w:rsid w:val="003F49DE"/>
    <w:rsid w:val="00441127"/>
    <w:rsid w:val="00470531"/>
    <w:rsid w:val="00487F3B"/>
    <w:rsid w:val="00495917"/>
    <w:rsid w:val="004A1497"/>
    <w:rsid w:val="004A5953"/>
    <w:rsid w:val="004B0C77"/>
    <w:rsid w:val="004B2611"/>
    <w:rsid w:val="004B64AB"/>
    <w:rsid w:val="004E2C90"/>
    <w:rsid w:val="004F2050"/>
    <w:rsid w:val="004F2FE9"/>
    <w:rsid w:val="005523C2"/>
    <w:rsid w:val="00554286"/>
    <w:rsid w:val="00555105"/>
    <w:rsid w:val="00556300"/>
    <w:rsid w:val="00571B7D"/>
    <w:rsid w:val="0057426A"/>
    <w:rsid w:val="005A305D"/>
    <w:rsid w:val="005A5E7E"/>
    <w:rsid w:val="005B472C"/>
    <w:rsid w:val="005B4AC0"/>
    <w:rsid w:val="005B5912"/>
    <w:rsid w:val="005E20C0"/>
    <w:rsid w:val="005E476F"/>
    <w:rsid w:val="005F2A46"/>
    <w:rsid w:val="006047E2"/>
    <w:rsid w:val="006056B1"/>
    <w:rsid w:val="00611AB9"/>
    <w:rsid w:val="00613169"/>
    <w:rsid w:val="00616BA3"/>
    <w:rsid w:val="00626C5A"/>
    <w:rsid w:val="0063668A"/>
    <w:rsid w:val="006530AE"/>
    <w:rsid w:val="006607F5"/>
    <w:rsid w:val="00664424"/>
    <w:rsid w:val="00670EAA"/>
    <w:rsid w:val="006717E9"/>
    <w:rsid w:val="00685874"/>
    <w:rsid w:val="006912A2"/>
    <w:rsid w:val="006A18F1"/>
    <w:rsid w:val="006B1C02"/>
    <w:rsid w:val="006B37CA"/>
    <w:rsid w:val="006B37D9"/>
    <w:rsid w:val="006C268B"/>
    <w:rsid w:val="006E1836"/>
    <w:rsid w:val="006E1BD5"/>
    <w:rsid w:val="006E3719"/>
    <w:rsid w:val="00700810"/>
    <w:rsid w:val="00716061"/>
    <w:rsid w:val="0072586C"/>
    <w:rsid w:val="007258AB"/>
    <w:rsid w:val="00727B74"/>
    <w:rsid w:val="00755CBD"/>
    <w:rsid w:val="007702AB"/>
    <w:rsid w:val="00793740"/>
    <w:rsid w:val="007A5F02"/>
    <w:rsid w:val="007E562C"/>
    <w:rsid w:val="007F1102"/>
    <w:rsid w:val="007F4713"/>
    <w:rsid w:val="007F6FDA"/>
    <w:rsid w:val="00853533"/>
    <w:rsid w:val="008603C3"/>
    <w:rsid w:val="00887DC6"/>
    <w:rsid w:val="008904D1"/>
    <w:rsid w:val="00897B50"/>
    <w:rsid w:val="008B0AD6"/>
    <w:rsid w:val="008B4871"/>
    <w:rsid w:val="008B6040"/>
    <w:rsid w:val="008C1868"/>
    <w:rsid w:val="008C4EC3"/>
    <w:rsid w:val="008D6E6B"/>
    <w:rsid w:val="008E187B"/>
    <w:rsid w:val="008E2CC3"/>
    <w:rsid w:val="008E4B27"/>
    <w:rsid w:val="008E6C9D"/>
    <w:rsid w:val="008F534F"/>
    <w:rsid w:val="00926B9C"/>
    <w:rsid w:val="009357B5"/>
    <w:rsid w:val="009625AE"/>
    <w:rsid w:val="00964BA2"/>
    <w:rsid w:val="00974C26"/>
    <w:rsid w:val="009760F8"/>
    <w:rsid w:val="00981A39"/>
    <w:rsid w:val="00983EAB"/>
    <w:rsid w:val="00986EC7"/>
    <w:rsid w:val="009A610B"/>
    <w:rsid w:val="009C48D3"/>
    <w:rsid w:val="009D119D"/>
    <w:rsid w:val="009D196E"/>
    <w:rsid w:val="009E0A49"/>
    <w:rsid w:val="009E71B4"/>
    <w:rsid w:val="009F1D0A"/>
    <w:rsid w:val="009F55E2"/>
    <w:rsid w:val="009F753B"/>
    <w:rsid w:val="009F7D20"/>
    <w:rsid w:val="00A05CF4"/>
    <w:rsid w:val="00A05E54"/>
    <w:rsid w:val="00A1520C"/>
    <w:rsid w:val="00A224B7"/>
    <w:rsid w:val="00A24AF4"/>
    <w:rsid w:val="00A3474A"/>
    <w:rsid w:val="00A55840"/>
    <w:rsid w:val="00A618AD"/>
    <w:rsid w:val="00A715E6"/>
    <w:rsid w:val="00A904E0"/>
    <w:rsid w:val="00A9069E"/>
    <w:rsid w:val="00A94794"/>
    <w:rsid w:val="00AA2490"/>
    <w:rsid w:val="00AA3BAF"/>
    <w:rsid w:val="00AB40CE"/>
    <w:rsid w:val="00AC63B1"/>
    <w:rsid w:val="00AF457E"/>
    <w:rsid w:val="00B005BB"/>
    <w:rsid w:val="00B017D5"/>
    <w:rsid w:val="00B02203"/>
    <w:rsid w:val="00B0779F"/>
    <w:rsid w:val="00B07B9C"/>
    <w:rsid w:val="00B162B6"/>
    <w:rsid w:val="00B46DA3"/>
    <w:rsid w:val="00B56A84"/>
    <w:rsid w:val="00B64BE8"/>
    <w:rsid w:val="00B710C2"/>
    <w:rsid w:val="00B71912"/>
    <w:rsid w:val="00B7468E"/>
    <w:rsid w:val="00B75E7F"/>
    <w:rsid w:val="00B967E3"/>
    <w:rsid w:val="00BB1247"/>
    <w:rsid w:val="00BC307E"/>
    <w:rsid w:val="00BC4826"/>
    <w:rsid w:val="00BC60A4"/>
    <w:rsid w:val="00BD77CF"/>
    <w:rsid w:val="00BE01C7"/>
    <w:rsid w:val="00BE58BE"/>
    <w:rsid w:val="00BF0AC0"/>
    <w:rsid w:val="00BF7199"/>
    <w:rsid w:val="00C02703"/>
    <w:rsid w:val="00C07CE4"/>
    <w:rsid w:val="00C14134"/>
    <w:rsid w:val="00C175FF"/>
    <w:rsid w:val="00C24662"/>
    <w:rsid w:val="00C40626"/>
    <w:rsid w:val="00C406F9"/>
    <w:rsid w:val="00C91FBC"/>
    <w:rsid w:val="00CC74AF"/>
    <w:rsid w:val="00CE3FD6"/>
    <w:rsid w:val="00CE70DA"/>
    <w:rsid w:val="00CF4253"/>
    <w:rsid w:val="00CF5AD4"/>
    <w:rsid w:val="00CF750F"/>
    <w:rsid w:val="00D05D32"/>
    <w:rsid w:val="00D3258F"/>
    <w:rsid w:val="00D34786"/>
    <w:rsid w:val="00D364C1"/>
    <w:rsid w:val="00D4667B"/>
    <w:rsid w:val="00D46C01"/>
    <w:rsid w:val="00D513CA"/>
    <w:rsid w:val="00D53429"/>
    <w:rsid w:val="00D5626A"/>
    <w:rsid w:val="00D57A3A"/>
    <w:rsid w:val="00D878C7"/>
    <w:rsid w:val="00D932B7"/>
    <w:rsid w:val="00D932ED"/>
    <w:rsid w:val="00DC7207"/>
    <w:rsid w:val="00DD47E8"/>
    <w:rsid w:val="00DD48BF"/>
    <w:rsid w:val="00DD660F"/>
    <w:rsid w:val="00DE0668"/>
    <w:rsid w:val="00DE40C6"/>
    <w:rsid w:val="00DF14AB"/>
    <w:rsid w:val="00E07225"/>
    <w:rsid w:val="00E14288"/>
    <w:rsid w:val="00E20EDD"/>
    <w:rsid w:val="00E2788B"/>
    <w:rsid w:val="00E32B51"/>
    <w:rsid w:val="00E40D48"/>
    <w:rsid w:val="00E41A47"/>
    <w:rsid w:val="00E4382D"/>
    <w:rsid w:val="00E52916"/>
    <w:rsid w:val="00E5382A"/>
    <w:rsid w:val="00E56A11"/>
    <w:rsid w:val="00E65E37"/>
    <w:rsid w:val="00E70F39"/>
    <w:rsid w:val="00E80A5E"/>
    <w:rsid w:val="00E84DF1"/>
    <w:rsid w:val="00E97C5C"/>
    <w:rsid w:val="00EC72C6"/>
    <w:rsid w:val="00EE3BA0"/>
    <w:rsid w:val="00EE5709"/>
    <w:rsid w:val="00EE5B50"/>
    <w:rsid w:val="00F058B2"/>
    <w:rsid w:val="00F11595"/>
    <w:rsid w:val="00F16776"/>
    <w:rsid w:val="00F33DF2"/>
    <w:rsid w:val="00F40F0B"/>
    <w:rsid w:val="00F5083F"/>
    <w:rsid w:val="00F515B4"/>
    <w:rsid w:val="00F55983"/>
    <w:rsid w:val="00F66A2B"/>
    <w:rsid w:val="00F70234"/>
    <w:rsid w:val="00F85000"/>
    <w:rsid w:val="00F87F73"/>
    <w:rsid w:val="00FB12C2"/>
    <w:rsid w:val="00FC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1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496E9-A660-114A-B124-8D35FCCFB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1321</Words>
  <Characters>7267</Characters>
  <Application>Microsoft Macintosh Word</Application>
  <DocSecurity>0</DocSecurity>
  <Lines>60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Melanie Anton</cp:lastModifiedBy>
  <cp:revision>7</cp:revision>
  <cp:lastPrinted>2015-03-16T10:26:00Z</cp:lastPrinted>
  <dcterms:created xsi:type="dcterms:W3CDTF">2016-10-30T17:48:00Z</dcterms:created>
  <dcterms:modified xsi:type="dcterms:W3CDTF">2016-12-07T09:49:00Z</dcterms:modified>
</cp:coreProperties>
</file>