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C7" w:rsidRPr="00986EC7" w:rsidRDefault="005E41FE" w:rsidP="00986EC7">
      <w:pPr>
        <w:spacing w:after="0" w:line="240" w:lineRule="auto"/>
        <w:ind w:left="142"/>
        <w:rPr>
          <w:rFonts w:ascii="Calibri" w:eastAsia="Times New Roman" w:hAnsi="Calibri" w:cs="Calibri"/>
          <w:b/>
          <w:sz w:val="32"/>
          <w:szCs w:val="32"/>
        </w:rPr>
      </w:pPr>
      <w:r w:rsidRPr="005E41FE">
        <w:rPr>
          <w:rFonts w:ascii="Calibri" w:eastAsia="Calibri" w:hAnsi="Calibri" w:cs="Times New Roman"/>
          <w:noProof/>
          <w:lang w:eastAsia="fr-FR"/>
        </w:rPr>
        <w:pict>
          <v:rect id="Rectangle 2" o:spid="_x0000_s1026" style="position:absolute;left:0;text-align:left;margin-left:-5.2pt;margin-top:-7.7pt;width:536.55pt;height:60.6pt;z-index:251657728;visibility:visible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" filled="f" strokecolor="#a6a6a6" strokeweight="2pt"/>
        </w:pict>
      </w:r>
      <w:r w:rsidR="00986EC7" w:rsidRPr="00986EC7">
        <w:rPr>
          <w:rFonts w:ascii="Calibri" w:eastAsia="Calibri" w:hAnsi="Calibri" w:cs="Times New Roman"/>
          <w:noProof/>
          <w:lang w:eastAsia="fr-FR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9525" b="9525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076D3">
        <w:rPr>
          <w:rFonts w:ascii="Calibri" w:eastAsia="Times New Roman" w:hAnsi="Calibri" w:cs="Calibri"/>
          <w:b/>
          <w:i/>
          <w:sz w:val="40"/>
          <w:szCs w:val="40"/>
        </w:rPr>
        <w:t>Dm noyau/épigénetiqu</w:t>
      </w:r>
      <w:r w:rsidR="00B67DAB">
        <w:rPr>
          <w:rFonts w:ascii="Calibri" w:eastAsia="Times New Roman" w:hAnsi="Calibri" w:cs="Calibri"/>
          <w:b/>
          <w:i/>
          <w:sz w:val="40"/>
          <w:szCs w:val="40"/>
        </w:rPr>
        <w:t>e</w:t>
      </w:r>
      <w:r w:rsidR="00986EC7" w:rsidRPr="00986EC7">
        <w:rPr>
          <w:rFonts w:ascii="Calibri" w:eastAsia="Times New Roman" w:hAnsi="Calibri" w:cs="Calibri"/>
          <w:b/>
          <w:sz w:val="40"/>
          <w:szCs w:val="40"/>
        </w:rPr>
        <w:t xml:space="preserve">: </w:t>
      </w:r>
      <w:r w:rsidR="00986EC7" w:rsidRPr="00986EC7">
        <w:rPr>
          <w:rFonts w:ascii="Calibri" w:eastAsia="Times New Roman" w:hAnsi="Calibri" w:cs="Calibri"/>
          <w:sz w:val="40"/>
          <w:szCs w:val="40"/>
        </w:rPr>
        <w:t>Epreuve</w:t>
      </w:r>
      <w:r w:rsidR="00986EC7" w:rsidRPr="00986EC7">
        <w:rPr>
          <w:rFonts w:ascii="Calibri" w:eastAsia="Times New Roman" w:hAnsi="Calibri" w:cs="Calibri"/>
          <w:b/>
          <w:sz w:val="40"/>
          <w:szCs w:val="40"/>
        </w:rPr>
        <w:t xml:space="preserve"> UE</w:t>
      </w:r>
      <w:r w:rsidR="00D24E4A">
        <w:rPr>
          <w:rFonts w:ascii="Calibri" w:eastAsia="Times New Roman" w:hAnsi="Calibri" w:cs="Calibri"/>
          <w:b/>
          <w:sz w:val="40"/>
          <w:szCs w:val="40"/>
        </w:rPr>
        <w:t>2</w:t>
      </w:r>
      <w:r w:rsidR="00986EC7" w:rsidRPr="00986EC7">
        <w:rPr>
          <w:rFonts w:ascii="Calibri" w:eastAsia="Times New Roman" w:hAnsi="Calibri" w:cs="Calibri"/>
          <w:b/>
          <w:sz w:val="24"/>
          <w:szCs w:val="40"/>
        </w:rPr>
        <w:t xml:space="preserve">– </w:t>
      </w:r>
      <w:r w:rsidR="00B3531D">
        <w:rPr>
          <w:rFonts w:ascii="Calibri" w:eastAsia="Times New Roman" w:hAnsi="Calibri" w:cs="Calibri"/>
          <w:b/>
          <w:sz w:val="24"/>
          <w:szCs w:val="40"/>
        </w:rPr>
        <w:t>Biocell bébé</w:t>
      </w:r>
    </w:p>
    <w:p w:rsidR="00986EC7" w:rsidRPr="00986EC7" w:rsidRDefault="00556300" w:rsidP="00986EC7">
      <w:pPr>
        <w:spacing w:after="0" w:line="240" w:lineRule="auto"/>
        <w:ind w:left="142"/>
        <w:rPr>
          <w:rFonts w:ascii="Calibri" w:eastAsia="Times New Roman" w:hAnsi="Calibri" w:cs="Calibri"/>
          <w:sz w:val="28"/>
          <w:szCs w:val="28"/>
        </w:rPr>
      </w:pPr>
      <w:r>
        <w:rPr>
          <w:rFonts w:ascii="Calibri" w:eastAsia="Times New Roman" w:hAnsi="Calibri" w:cs="Calibri"/>
          <w:sz w:val="36"/>
          <w:szCs w:val="40"/>
        </w:rPr>
        <w:t>Tutorat 2016-2017</w:t>
      </w:r>
      <w:r w:rsidR="00986EC7" w:rsidRPr="00986EC7">
        <w:rPr>
          <w:rFonts w:ascii="Calibri" w:eastAsia="Times New Roman" w:hAnsi="Calibri" w:cs="Calibri"/>
          <w:sz w:val="36"/>
          <w:szCs w:val="40"/>
        </w:rPr>
        <w:t> :</w:t>
      </w:r>
      <w:r w:rsidR="00C076D3">
        <w:rPr>
          <w:rFonts w:ascii="Calibri" w:eastAsia="Times New Roman" w:hAnsi="Calibri" w:cs="Calibri"/>
          <w:sz w:val="36"/>
          <w:szCs w:val="40"/>
        </w:rPr>
        <w:t xml:space="preserve">11 </w:t>
      </w:r>
      <w:r w:rsidR="00D24E4A">
        <w:rPr>
          <w:rFonts w:ascii="Calibri" w:eastAsia="Times New Roman" w:hAnsi="Calibri" w:cs="Calibri"/>
          <w:b/>
          <w:sz w:val="28"/>
          <w:szCs w:val="28"/>
        </w:rPr>
        <w:t xml:space="preserve">QCMS – </w:t>
      </w:r>
    </w:p>
    <w:p w:rsidR="00986EC7" w:rsidRPr="00986EC7" w:rsidRDefault="00986EC7" w:rsidP="00986EC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300" w:rsidRPr="00556300" w:rsidRDefault="00556300" w:rsidP="00556300">
      <w:pPr>
        <w:tabs>
          <w:tab w:val="left" w:pos="1020"/>
        </w:tabs>
        <w:spacing w:after="160" w:line="240" w:lineRule="auto"/>
        <w:rPr>
          <w:rFonts w:ascii="Arial" w:eastAsia="Times New Roman" w:hAnsi="Arial" w:cs="Arial"/>
          <w:sz w:val="20"/>
          <w:szCs w:val="20"/>
        </w:rPr>
      </w:pPr>
    </w:p>
    <w:p w:rsidR="00556300" w:rsidRPr="00556300" w:rsidRDefault="00556300" w:rsidP="0055630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B3531D">
        <w:rPr>
          <w:rFonts w:ascii="Arial" w:eastAsia="Times New Roman" w:hAnsi="Arial" w:cs="Arial"/>
          <w:b/>
          <w:sz w:val="20"/>
          <w:szCs w:val="20"/>
        </w:rPr>
        <w:t>A propos du noyau</w:t>
      </w:r>
      <w:r w:rsidR="006925A0">
        <w:rPr>
          <w:rFonts w:ascii="Arial" w:eastAsia="Times New Roman" w:hAnsi="Arial" w:cs="Arial"/>
          <w:b/>
          <w:sz w:val="20"/>
          <w:szCs w:val="20"/>
        </w:rPr>
        <w:t xml:space="preserve">, </w:t>
      </w:r>
      <w:r w:rsidR="00D24E4A">
        <w:rPr>
          <w:rFonts w:ascii="Arial" w:eastAsia="Times New Roman" w:hAnsi="Arial" w:cs="Arial"/>
          <w:b/>
          <w:sz w:val="20"/>
          <w:szCs w:val="20"/>
        </w:rPr>
        <w:t>donnez la (les) proposition(s) vraie(s)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B3531D">
        <w:rPr>
          <w:rFonts w:ascii="Arial" w:eastAsia="Times New Roman" w:hAnsi="Arial" w:cs="Arial"/>
          <w:sz w:val="20"/>
          <w:szCs w:val="20"/>
        </w:rPr>
        <w:t>La chromatine est correspond à l’</w:t>
      </w:r>
      <w:r w:rsidR="00B67DAB">
        <w:rPr>
          <w:rFonts w:ascii="Arial" w:eastAsia="Times New Roman" w:hAnsi="Arial" w:cs="Arial"/>
          <w:sz w:val="20"/>
          <w:szCs w:val="20"/>
        </w:rPr>
        <w:t>ADN associé</w:t>
      </w:r>
      <w:r w:rsidR="00B3531D">
        <w:rPr>
          <w:rFonts w:ascii="Arial" w:eastAsia="Times New Roman" w:hAnsi="Arial" w:cs="Arial"/>
          <w:sz w:val="20"/>
          <w:szCs w:val="20"/>
        </w:rPr>
        <w:t xml:space="preserve"> à ses protéines de support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B3531D">
        <w:rPr>
          <w:rFonts w:ascii="Arial" w:eastAsia="Times New Roman" w:hAnsi="Arial" w:cs="Arial"/>
          <w:sz w:val="20"/>
          <w:szCs w:val="20"/>
        </w:rPr>
        <w:t>La chromatine ne peut être transcrite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B3531D">
        <w:rPr>
          <w:rFonts w:ascii="Arial" w:eastAsia="Times New Roman" w:hAnsi="Arial" w:cs="Arial"/>
          <w:sz w:val="20"/>
          <w:szCs w:val="20"/>
        </w:rPr>
        <w:t xml:space="preserve"> L’épigénome est moins stable que le génome</w:t>
      </w:r>
    </w:p>
    <w:p w:rsidR="00556300" w:rsidRPr="00556300" w:rsidRDefault="00556300" w:rsidP="0055630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B3531D">
        <w:rPr>
          <w:rFonts w:ascii="Arial" w:eastAsia="Times New Roman" w:hAnsi="Arial" w:cs="Arial"/>
          <w:sz w:val="20"/>
          <w:szCs w:val="20"/>
        </w:rPr>
        <w:t>La TATA box se trouve au début du gène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56300" w:rsidRPr="00556300" w:rsidRDefault="00556300" w:rsidP="0055630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2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 w:rsidR="006925A0">
        <w:rPr>
          <w:rFonts w:ascii="Arial" w:eastAsia="Times New Roman" w:hAnsi="Arial" w:cs="Arial"/>
          <w:b/>
          <w:sz w:val="20"/>
          <w:szCs w:val="20"/>
        </w:rPr>
        <w:t xml:space="preserve">A propos du </w:t>
      </w:r>
      <w:r w:rsidR="00B3531D">
        <w:rPr>
          <w:rFonts w:ascii="Arial" w:eastAsia="Times New Roman" w:hAnsi="Arial" w:cs="Arial"/>
          <w:b/>
          <w:sz w:val="20"/>
          <w:szCs w:val="20"/>
        </w:rPr>
        <w:t>noyau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A)</w:t>
      </w:r>
      <w:r w:rsidR="00B3531D">
        <w:rPr>
          <w:rFonts w:ascii="Arial" w:eastAsia="Times New Roman" w:hAnsi="Arial" w:cs="Arial"/>
          <w:sz w:val="20"/>
          <w:szCs w:val="20"/>
        </w:rPr>
        <w:t xml:space="preserve"> Seul les facteurs de transcription sont nécessaires au début de la transcription</w:t>
      </w:r>
      <w:r w:rsidRPr="00556300">
        <w:rPr>
          <w:rFonts w:ascii="Arial" w:eastAsia="Times New Roman" w:hAnsi="Arial" w:cs="Arial"/>
          <w:sz w:val="20"/>
          <w:szCs w:val="20"/>
        </w:rPr>
        <w:t xml:space="preserve"> 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B3531D">
        <w:rPr>
          <w:rFonts w:ascii="Arial" w:eastAsia="Times New Roman" w:hAnsi="Arial" w:cs="Arial"/>
          <w:sz w:val="20"/>
          <w:szCs w:val="20"/>
        </w:rPr>
        <w:t>les facteurs de transcription sont modulables</w:t>
      </w:r>
    </w:p>
    <w:p w:rsidR="00556300" w:rsidRP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B67DAB">
        <w:rPr>
          <w:rFonts w:ascii="Arial" w:eastAsia="Times New Roman" w:hAnsi="Arial" w:cs="Arial"/>
          <w:sz w:val="20"/>
          <w:szCs w:val="20"/>
        </w:rPr>
        <w:t xml:space="preserve"> </w:t>
      </w:r>
      <w:r w:rsidR="00B3531D">
        <w:rPr>
          <w:rFonts w:ascii="Arial" w:eastAsia="Times New Roman" w:hAnsi="Arial" w:cs="Arial"/>
          <w:sz w:val="20"/>
          <w:szCs w:val="20"/>
        </w:rPr>
        <w:t>Le contrôle de la régulation génétique repose essentiellement sur les facteurs de transcriptions</w:t>
      </w:r>
    </w:p>
    <w:p w:rsidR="00556300" w:rsidRPr="00556300" w:rsidRDefault="00B3531D" w:rsidP="0055630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 galactose est utilisé  pour faire du chocolat blanc</w:t>
      </w:r>
      <w:r w:rsidR="00556300" w:rsidRPr="00556300">
        <w:rPr>
          <w:rFonts w:ascii="Arial" w:eastAsia="Times New Roman" w:hAnsi="Arial" w:cs="Arial"/>
          <w:sz w:val="20"/>
          <w:szCs w:val="20"/>
        </w:rPr>
        <w:tab/>
      </w:r>
    </w:p>
    <w:p w:rsidR="00556300" w:rsidRDefault="0055630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3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 xml:space="preserve">A propos du </w:t>
      </w:r>
      <w:r w:rsidR="00B3531D">
        <w:rPr>
          <w:rFonts w:ascii="Arial" w:eastAsia="Times New Roman" w:hAnsi="Arial" w:cs="Arial"/>
          <w:b/>
          <w:sz w:val="20"/>
          <w:szCs w:val="20"/>
        </w:rPr>
        <w:t>noyau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B3531D">
        <w:rPr>
          <w:rFonts w:ascii="Arial" w:eastAsia="Times New Roman" w:hAnsi="Arial" w:cs="Arial"/>
          <w:sz w:val="20"/>
          <w:szCs w:val="20"/>
        </w:rPr>
        <w:t>Les silencer</w:t>
      </w:r>
      <w:r w:rsidR="00B67DAB">
        <w:rPr>
          <w:rFonts w:ascii="Arial" w:eastAsia="Times New Roman" w:hAnsi="Arial" w:cs="Arial"/>
          <w:sz w:val="20"/>
          <w:szCs w:val="20"/>
        </w:rPr>
        <w:t>s</w:t>
      </w:r>
      <w:r w:rsidR="00B3531D">
        <w:rPr>
          <w:rFonts w:ascii="Arial" w:eastAsia="Times New Roman" w:hAnsi="Arial" w:cs="Arial"/>
          <w:sz w:val="20"/>
          <w:szCs w:val="20"/>
        </w:rPr>
        <w:t xml:space="preserve"> determinent des domaines de régulations en limitant l’action des enhancers et des insulateurs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B3531D">
        <w:rPr>
          <w:rFonts w:ascii="Arial" w:eastAsia="Times New Roman" w:hAnsi="Arial" w:cs="Arial"/>
          <w:sz w:val="20"/>
          <w:szCs w:val="20"/>
        </w:rPr>
        <w:t>Les enhancers et silencers sont présent</w:t>
      </w:r>
      <w:r w:rsidR="00B67DAB">
        <w:rPr>
          <w:rFonts w:ascii="Arial" w:eastAsia="Times New Roman" w:hAnsi="Arial" w:cs="Arial"/>
          <w:sz w:val="20"/>
          <w:szCs w:val="20"/>
        </w:rPr>
        <w:t>s</w:t>
      </w:r>
      <w:r w:rsidR="00B3531D">
        <w:rPr>
          <w:rFonts w:ascii="Arial" w:eastAsia="Times New Roman" w:hAnsi="Arial" w:cs="Arial"/>
          <w:sz w:val="20"/>
          <w:szCs w:val="20"/>
        </w:rPr>
        <w:t xml:space="preserve"> uniquement en 5’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B3531D">
        <w:rPr>
          <w:rFonts w:ascii="Arial" w:eastAsia="Times New Roman" w:hAnsi="Arial" w:cs="Arial"/>
          <w:sz w:val="20"/>
          <w:szCs w:val="20"/>
        </w:rPr>
        <w:t xml:space="preserve">  Ils peuvent se trouver sur différents chromosomes 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B3531D">
        <w:rPr>
          <w:rFonts w:ascii="Arial" w:eastAsia="Times New Roman" w:hAnsi="Arial" w:cs="Arial"/>
          <w:sz w:val="20"/>
          <w:szCs w:val="20"/>
        </w:rPr>
        <w:t xml:space="preserve">Les insulateurs </w:t>
      </w:r>
      <w:r w:rsidR="00C711EF">
        <w:rPr>
          <w:rFonts w:ascii="Arial" w:eastAsia="Times New Roman" w:hAnsi="Arial" w:cs="Arial"/>
          <w:sz w:val="20"/>
          <w:szCs w:val="20"/>
        </w:rPr>
        <w:t>empêchent les enhancers et silencers d’agir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4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 xml:space="preserve">A propos </w:t>
      </w:r>
      <w:r w:rsidR="00C711EF">
        <w:rPr>
          <w:rFonts w:ascii="Arial" w:eastAsia="Times New Roman" w:hAnsi="Arial" w:cs="Arial"/>
          <w:b/>
          <w:sz w:val="20"/>
          <w:szCs w:val="20"/>
        </w:rPr>
        <w:t>du noyau et de l’ADN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C711EF">
        <w:rPr>
          <w:rFonts w:ascii="Arial" w:eastAsia="Times New Roman" w:hAnsi="Arial" w:cs="Arial"/>
          <w:sz w:val="20"/>
          <w:szCs w:val="20"/>
        </w:rPr>
        <w:t>L’ADN est chargé négativement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C711EF">
        <w:rPr>
          <w:rFonts w:ascii="Arial" w:eastAsia="Times New Roman" w:hAnsi="Arial" w:cs="Arial"/>
          <w:sz w:val="20"/>
          <w:szCs w:val="20"/>
        </w:rPr>
        <w:t>Le premier niveau de compaction correspond aux nucléosome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C711EF">
        <w:rPr>
          <w:rFonts w:ascii="Arial" w:eastAsia="Times New Roman" w:hAnsi="Arial" w:cs="Arial"/>
          <w:sz w:val="20"/>
          <w:szCs w:val="20"/>
        </w:rPr>
        <w:t xml:space="preserve"> La nucléase micrococcale coupe entre les histones et dans le petit sillon de l’ADN lié aux histones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C711EF">
        <w:rPr>
          <w:rFonts w:ascii="Arial" w:eastAsia="Times New Roman" w:hAnsi="Arial" w:cs="Arial"/>
          <w:sz w:val="20"/>
          <w:szCs w:val="20"/>
        </w:rPr>
        <w:t xml:space="preserve">Les histones sont chargés </w:t>
      </w:r>
      <w:r w:rsidR="00B67DAB">
        <w:rPr>
          <w:rFonts w:ascii="Arial" w:eastAsia="Times New Roman" w:hAnsi="Arial" w:cs="Arial"/>
          <w:sz w:val="20"/>
          <w:szCs w:val="20"/>
        </w:rPr>
        <w:t>positivements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5</w:t>
      </w:r>
      <w:r w:rsidRPr="00556300"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eastAsia="Times New Roman" w:hAnsi="Arial" w:cs="Arial"/>
          <w:b/>
          <w:sz w:val="20"/>
          <w:szCs w:val="20"/>
        </w:rPr>
        <w:t xml:space="preserve">A propos du </w:t>
      </w:r>
      <w:r w:rsidR="00204B61">
        <w:rPr>
          <w:rFonts w:ascii="Arial" w:eastAsia="Times New Roman" w:hAnsi="Arial" w:cs="Arial"/>
          <w:b/>
          <w:sz w:val="20"/>
          <w:szCs w:val="20"/>
        </w:rPr>
        <w:t>noyau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204B61">
        <w:rPr>
          <w:rFonts w:ascii="Arial" w:eastAsia="Times New Roman" w:hAnsi="Arial" w:cs="Arial"/>
          <w:sz w:val="20"/>
          <w:szCs w:val="20"/>
        </w:rPr>
        <w:t>L’Histone désacètylase couplé</w:t>
      </w:r>
      <w:r w:rsidR="00B67DAB">
        <w:rPr>
          <w:rFonts w:ascii="Arial" w:eastAsia="Times New Roman" w:hAnsi="Arial" w:cs="Arial"/>
          <w:sz w:val="20"/>
          <w:szCs w:val="20"/>
        </w:rPr>
        <w:t>e</w:t>
      </w:r>
      <w:r w:rsidR="00204B61">
        <w:rPr>
          <w:rFonts w:ascii="Arial" w:eastAsia="Times New Roman" w:hAnsi="Arial" w:cs="Arial"/>
          <w:sz w:val="20"/>
          <w:szCs w:val="20"/>
        </w:rPr>
        <w:t xml:space="preserve"> à une méthylase va souvent libérer les queues histonales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204B61">
        <w:rPr>
          <w:rFonts w:ascii="Arial" w:eastAsia="Times New Roman" w:hAnsi="Arial" w:cs="Arial"/>
          <w:sz w:val="20"/>
          <w:szCs w:val="20"/>
        </w:rPr>
        <w:t>Une méthylation de l’histone 3 sur la lysine 9 favorise la transcription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204B61">
        <w:rPr>
          <w:rFonts w:ascii="Arial" w:eastAsia="Times New Roman" w:hAnsi="Arial" w:cs="Arial"/>
          <w:sz w:val="20"/>
          <w:szCs w:val="20"/>
        </w:rPr>
        <w:t xml:space="preserve"> L’acétylation est une marque d’activation puisqu’elle colle les queues des histones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204B61">
        <w:rPr>
          <w:rFonts w:ascii="Arial" w:eastAsia="Times New Roman" w:hAnsi="Arial" w:cs="Arial"/>
          <w:sz w:val="20"/>
          <w:szCs w:val="20"/>
        </w:rPr>
        <w:t xml:space="preserve">Les méthylations sont toujours des marques </w:t>
      </w:r>
      <w:r w:rsidR="00B67DAB">
        <w:rPr>
          <w:rFonts w:ascii="Arial" w:eastAsia="Times New Roman" w:hAnsi="Arial" w:cs="Arial"/>
          <w:sz w:val="20"/>
          <w:szCs w:val="20"/>
        </w:rPr>
        <w:t>répressives</w:t>
      </w:r>
      <w:r w:rsidR="00204B61">
        <w:rPr>
          <w:rFonts w:ascii="Arial" w:eastAsia="Times New Roman" w:hAnsi="Arial" w:cs="Arial"/>
          <w:sz w:val="20"/>
          <w:szCs w:val="20"/>
        </w:rPr>
        <w:t xml:space="preserve"> 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6</w:t>
      </w:r>
      <w:r>
        <w:rPr>
          <w:rFonts w:ascii="Arial" w:eastAsia="Times New Roman" w:hAnsi="Arial" w:cs="Arial"/>
          <w:b/>
          <w:sz w:val="20"/>
          <w:szCs w:val="20"/>
        </w:rPr>
        <w:t xml:space="preserve"> : A propos du </w:t>
      </w:r>
      <w:r w:rsidR="00204B61">
        <w:rPr>
          <w:rFonts w:ascii="Arial" w:eastAsia="Times New Roman" w:hAnsi="Arial" w:cs="Arial"/>
          <w:b/>
          <w:sz w:val="20"/>
          <w:szCs w:val="20"/>
        </w:rPr>
        <w:t>noyau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9B014A">
        <w:rPr>
          <w:rFonts w:ascii="Arial" w:eastAsia="Times New Roman" w:hAnsi="Arial" w:cs="Arial"/>
          <w:sz w:val="20"/>
          <w:szCs w:val="20"/>
        </w:rPr>
        <w:t>L’histone H1 est la clé de voûte de la compaction de chromatine de 30nm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9B014A">
        <w:rPr>
          <w:rFonts w:ascii="Arial" w:eastAsia="Times New Roman" w:hAnsi="Arial" w:cs="Arial"/>
          <w:sz w:val="20"/>
          <w:szCs w:val="20"/>
        </w:rPr>
        <w:t xml:space="preserve">SWI /SNF et MI2 par exemple sont des protéines aidant à la compaction de l’ADN 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9B014A">
        <w:rPr>
          <w:rFonts w:ascii="Arial" w:eastAsia="Times New Roman" w:hAnsi="Arial" w:cs="Arial"/>
          <w:sz w:val="20"/>
          <w:szCs w:val="20"/>
        </w:rPr>
        <w:t xml:space="preserve"> Le domaine 14.3.3 est une modificaton histonale en réponse au stress cellulaire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9B014A">
        <w:rPr>
          <w:rFonts w:ascii="Arial" w:eastAsia="Times New Roman" w:hAnsi="Arial" w:cs="Arial"/>
          <w:sz w:val="20"/>
          <w:szCs w:val="20"/>
        </w:rPr>
        <w:t>Polycomb défavorise la transcription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7</w:t>
      </w:r>
      <w:r>
        <w:rPr>
          <w:rFonts w:ascii="Arial" w:eastAsia="Times New Roman" w:hAnsi="Arial" w:cs="Arial"/>
          <w:b/>
          <w:sz w:val="20"/>
          <w:szCs w:val="20"/>
        </w:rPr>
        <w:t> : A propos du tissu épithélial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9B014A">
        <w:rPr>
          <w:rFonts w:ascii="Arial" w:eastAsia="Times New Roman" w:hAnsi="Arial" w:cs="Arial"/>
          <w:sz w:val="20"/>
          <w:szCs w:val="20"/>
        </w:rPr>
        <w:t>La Dnase2 va couper entre les nucléosomes et sur les nucléosomes dans le grand sillon de l’ADN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9B014A">
        <w:rPr>
          <w:rFonts w:ascii="Arial" w:eastAsia="Times New Roman" w:hAnsi="Arial" w:cs="Arial"/>
          <w:sz w:val="20"/>
          <w:szCs w:val="20"/>
        </w:rPr>
        <w:t>Un site hypersensible à la Dnase2 correspond aux zones régulatrices du gène (en amont de celui-ci)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9B014A">
        <w:rPr>
          <w:rFonts w:ascii="Arial" w:eastAsia="Times New Roman" w:hAnsi="Arial" w:cs="Arial"/>
          <w:sz w:val="20"/>
          <w:szCs w:val="20"/>
        </w:rPr>
        <w:t xml:space="preserve"> Un gène compétent est forcément transcrit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9B014A">
        <w:rPr>
          <w:rFonts w:ascii="Arial" w:eastAsia="Times New Roman" w:hAnsi="Arial" w:cs="Arial"/>
          <w:sz w:val="20"/>
          <w:szCs w:val="20"/>
        </w:rPr>
        <w:t>Un gène compétent possède une absence de méthylation est des sites sensibles a la Dnase2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8</w:t>
      </w:r>
      <w:r>
        <w:rPr>
          <w:rFonts w:ascii="Arial" w:eastAsia="Times New Roman" w:hAnsi="Arial" w:cs="Arial"/>
          <w:b/>
          <w:sz w:val="20"/>
          <w:szCs w:val="20"/>
        </w:rPr>
        <w:t xml:space="preserve"> : A propos </w:t>
      </w:r>
      <w:r w:rsidR="009B014A">
        <w:rPr>
          <w:rFonts w:ascii="Arial" w:eastAsia="Times New Roman" w:hAnsi="Arial" w:cs="Arial"/>
          <w:b/>
          <w:sz w:val="20"/>
          <w:szCs w:val="20"/>
        </w:rPr>
        <w:t>de l’organisation du noyau</w:t>
      </w:r>
      <w:r>
        <w:rPr>
          <w:rFonts w:ascii="Arial" w:eastAsia="Times New Roman" w:hAnsi="Arial" w:cs="Arial"/>
          <w:b/>
          <w:sz w:val="20"/>
          <w:szCs w:val="20"/>
        </w:rPr>
        <w:t xml:space="preserve">, </w:t>
      </w:r>
      <w:r w:rsidR="00D24E4A">
        <w:rPr>
          <w:rFonts w:ascii="Arial" w:eastAsia="Times New Roman" w:hAnsi="Arial" w:cs="Arial"/>
          <w:b/>
          <w:sz w:val="20"/>
          <w:szCs w:val="20"/>
        </w:rPr>
        <w:t>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9B014A">
        <w:rPr>
          <w:rFonts w:ascii="Arial" w:eastAsia="Times New Roman" w:hAnsi="Arial" w:cs="Arial"/>
          <w:sz w:val="20"/>
          <w:szCs w:val="20"/>
        </w:rPr>
        <w:t>La protéine numa correspond à une protéine lectrice du code histonal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9B014A">
        <w:rPr>
          <w:rFonts w:ascii="Arial" w:eastAsia="Times New Roman" w:hAnsi="Arial" w:cs="Arial"/>
          <w:sz w:val="20"/>
          <w:szCs w:val="20"/>
        </w:rPr>
        <w:t>L’euchromatine se trouve en périphérie au niveau des pores nucléaires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E76AE8">
        <w:rPr>
          <w:rFonts w:ascii="Arial" w:eastAsia="Times New Roman" w:hAnsi="Arial" w:cs="Arial"/>
          <w:sz w:val="20"/>
          <w:szCs w:val="20"/>
        </w:rPr>
        <w:t xml:space="preserve"> </w:t>
      </w:r>
      <w:r w:rsidR="009B014A">
        <w:rPr>
          <w:rFonts w:ascii="Arial" w:eastAsia="Times New Roman" w:hAnsi="Arial" w:cs="Arial"/>
          <w:sz w:val="20"/>
          <w:szCs w:val="20"/>
        </w:rPr>
        <w:t>On peut observer de l’hétérochromatine au niveau du nucléole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E76AE8">
        <w:rPr>
          <w:rFonts w:ascii="Arial" w:eastAsia="Times New Roman" w:hAnsi="Arial" w:cs="Arial"/>
          <w:sz w:val="20"/>
          <w:szCs w:val="20"/>
        </w:rPr>
        <w:t>Une cellule souche possède plus d’euchromatines qu’une cellule différenciée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9</w:t>
      </w:r>
      <w:r>
        <w:rPr>
          <w:rFonts w:ascii="Arial" w:eastAsia="Times New Roman" w:hAnsi="Arial" w:cs="Arial"/>
          <w:b/>
          <w:sz w:val="20"/>
          <w:szCs w:val="20"/>
        </w:rPr>
        <w:t xml:space="preserve"> : A propos du </w:t>
      </w:r>
      <w:r w:rsidR="00E76AE8">
        <w:rPr>
          <w:rFonts w:ascii="Arial" w:eastAsia="Times New Roman" w:hAnsi="Arial" w:cs="Arial"/>
          <w:b/>
          <w:sz w:val="20"/>
          <w:szCs w:val="20"/>
        </w:rPr>
        <w:t>noyau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lastRenderedPageBreak/>
        <w:t xml:space="preserve">A) </w:t>
      </w:r>
      <w:r w:rsidR="00E76AE8">
        <w:rPr>
          <w:rFonts w:ascii="Arial" w:eastAsia="Times New Roman" w:hAnsi="Arial" w:cs="Arial"/>
          <w:sz w:val="20"/>
          <w:szCs w:val="20"/>
        </w:rPr>
        <w:t>les gènes su(Var) appelent polycomb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E76AE8">
        <w:rPr>
          <w:rFonts w:ascii="Arial" w:eastAsia="Times New Roman" w:hAnsi="Arial" w:cs="Arial"/>
          <w:sz w:val="20"/>
          <w:szCs w:val="20"/>
        </w:rPr>
        <w:t>les mutant Su(Var) appelent tritorax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E76AE8">
        <w:rPr>
          <w:rFonts w:ascii="Arial" w:eastAsia="Times New Roman" w:hAnsi="Arial" w:cs="Arial"/>
          <w:sz w:val="20"/>
          <w:szCs w:val="20"/>
        </w:rPr>
        <w:t xml:space="preserve"> les mutants Su(Var) appelent tritorax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E76AE8">
        <w:rPr>
          <w:rFonts w:ascii="Arial" w:eastAsia="Times New Roman" w:hAnsi="Arial" w:cs="Arial"/>
          <w:sz w:val="20"/>
          <w:szCs w:val="20"/>
        </w:rPr>
        <w:t xml:space="preserve">les mutants </w:t>
      </w:r>
      <w:r w:rsidR="00B67DAB">
        <w:rPr>
          <w:rFonts w:ascii="Arial" w:eastAsia="Times New Roman" w:hAnsi="Arial" w:cs="Arial"/>
          <w:sz w:val="20"/>
          <w:szCs w:val="20"/>
        </w:rPr>
        <w:t>En (</w:t>
      </w:r>
      <w:r w:rsidR="00E76AE8">
        <w:rPr>
          <w:rFonts w:ascii="Arial" w:eastAsia="Times New Roman" w:hAnsi="Arial" w:cs="Arial"/>
          <w:sz w:val="20"/>
          <w:szCs w:val="20"/>
        </w:rPr>
        <w:t>var) appelent polycomb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0</w:t>
      </w:r>
      <w:r w:rsidR="00E76AE8">
        <w:rPr>
          <w:rFonts w:ascii="Arial" w:eastAsia="Times New Roman" w:hAnsi="Arial" w:cs="Arial"/>
          <w:b/>
          <w:sz w:val="20"/>
          <w:szCs w:val="20"/>
        </w:rPr>
        <w:t> : A propos de l’épigénetique</w:t>
      </w:r>
      <w:r w:rsidR="00D24E4A">
        <w:rPr>
          <w:rFonts w:ascii="Arial" w:eastAsia="Times New Roman" w:hAnsi="Arial" w:cs="Arial"/>
          <w:b/>
          <w:sz w:val="20"/>
          <w:szCs w:val="20"/>
        </w:rPr>
        <w:t>, 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E76AE8">
        <w:rPr>
          <w:rFonts w:ascii="Arial" w:eastAsia="Times New Roman" w:hAnsi="Arial" w:cs="Arial"/>
          <w:sz w:val="20"/>
          <w:szCs w:val="20"/>
        </w:rPr>
        <w:t>Elle</w:t>
      </w:r>
      <w:r w:rsidR="00B67DAB">
        <w:rPr>
          <w:rFonts w:ascii="Arial" w:eastAsia="Times New Roman" w:hAnsi="Arial" w:cs="Arial"/>
          <w:sz w:val="20"/>
          <w:szCs w:val="20"/>
        </w:rPr>
        <w:t>s</w:t>
      </w:r>
      <w:r w:rsidR="00E76AE8">
        <w:rPr>
          <w:rFonts w:ascii="Arial" w:eastAsia="Times New Roman" w:hAnsi="Arial" w:cs="Arial"/>
          <w:sz w:val="20"/>
          <w:szCs w:val="20"/>
        </w:rPr>
        <w:t xml:space="preserve"> n’impliquent pas de modifications de l’ADN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E76AE8">
        <w:rPr>
          <w:rFonts w:ascii="Arial" w:eastAsia="Times New Roman" w:hAnsi="Arial" w:cs="Arial"/>
          <w:sz w:val="20"/>
          <w:szCs w:val="20"/>
        </w:rPr>
        <w:t>Elle passe par des méthylations de l’ADN au niveau des cytosines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E76AE8">
        <w:rPr>
          <w:rFonts w:ascii="Arial" w:eastAsia="Times New Roman" w:hAnsi="Arial" w:cs="Arial"/>
          <w:sz w:val="20"/>
          <w:szCs w:val="20"/>
        </w:rPr>
        <w:t xml:space="preserve"> CpG sous méthylé correspond à un gène actif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E76AE8">
        <w:rPr>
          <w:rFonts w:ascii="Arial" w:eastAsia="Times New Roman" w:hAnsi="Arial" w:cs="Arial"/>
          <w:sz w:val="20"/>
          <w:szCs w:val="20"/>
        </w:rPr>
        <w:t>Ces marques épigénetiques sont répliquées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6925A0" w:rsidRPr="00556300" w:rsidRDefault="006925A0" w:rsidP="006925A0">
      <w:pPr>
        <w:spacing w:after="12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556300">
        <w:rPr>
          <w:rFonts w:ascii="Arial" w:eastAsia="Times New Roman" w:hAnsi="Arial" w:cs="Arial"/>
          <w:b/>
          <w:sz w:val="20"/>
          <w:szCs w:val="20"/>
          <w:u w:val="single"/>
        </w:rPr>
        <w:t>QCM 1</w:t>
      </w:r>
      <w:r w:rsidR="00D24E4A">
        <w:rPr>
          <w:rFonts w:ascii="Arial" w:eastAsia="Times New Roman" w:hAnsi="Arial" w:cs="Arial"/>
          <w:b/>
          <w:sz w:val="20"/>
          <w:szCs w:val="20"/>
          <w:u w:val="single"/>
        </w:rPr>
        <w:t>1</w:t>
      </w:r>
      <w:r>
        <w:rPr>
          <w:rFonts w:ascii="Arial" w:eastAsia="Times New Roman" w:hAnsi="Arial" w:cs="Arial"/>
          <w:b/>
          <w:sz w:val="20"/>
          <w:szCs w:val="20"/>
        </w:rPr>
        <w:t xml:space="preserve"> : A propos du </w:t>
      </w:r>
      <w:r w:rsidR="00934AC1">
        <w:rPr>
          <w:rFonts w:ascii="Arial" w:eastAsia="Times New Roman" w:hAnsi="Arial" w:cs="Arial"/>
          <w:b/>
          <w:sz w:val="20"/>
          <w:szCs w:val="20"/>
        </w:rPr>
        <w:t>noyau</w:t>
      </w:r>
      <w:r>
        <w:rPr>
          <w:rFonts w:ascii="Arial" w:eastAsia="Times New Roman" w:hAnsi="Arial" w:cs="Arial"/>
          <w:b/>
          <w:sz w:val="20"/>
          <w:szCs w:val="20"/>
        </w:rPr>
        <w:t xml:space="preserve">, </w:t>
      </w:r>
      <w:r w:rsidR="00D24E4A">
        <w:rPr>
          <w:rFonts w:ascii="Arial" w:eastAsia="Times New Roman" w:hAnsi="Arial" w:cs="Arial"/>
          <w:b/>
          <w:sz w:val="20"/>
          <w:szCs w:val="20"/>
        </w:rPr>
        <w:t>donnez la (les) proposition(s) vraie(s)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A) </w:t>
      </w:r>
      <w:r w:rsidR="00934AC1">
        <w:rPr>
          <w:rFonts w:ascii="Arial" w:eastAsia="Times New Roman" w:hAnsi="Arial" w:cs="Arial"/>
          <w:sz w:val="20"/>
          <w:szCs w:val="20"/>
        </w:rPr>
        <w:t>Une hypo-méthylation du DMR entraîne une expression de H19 et une augmentation de la croissance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B) </w:t>
      </w:r>
      <w:r w:rsidR="00934AC1">
        <w:rPr>
          <w:rFonts w:ascii="Arial" w:eastAsia="Times New Roman" w:hAnsi="Arial" w:cs="Arial"/>
          <w:sz w:val="20"/>
          <w:szCs w:val="20"/>
        </w:rPr>
        <w:t>Une hyper méthylation du DMR va entraîner une expression d’IFG2 et une baisse de la croissance</w:t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C)</w:t>
      </w:r>
      <w:r w:rsidR="00934AC1">
        <w:rPr>
          <w:rFonts w:ascii="Arial" w:eastAsia="Times New Roman" w:hAnsi="Arial" w:cs="Arial"/>
          <w:sz w:val="20"/>
          <w:szCs w:val="20"/>
        </w:rPr>
        <w:t xml:space="preserve"> Un DMR méthylé a le rôle d’un insulateur</w:t>
      </w:r>
    </w:p>
    <w:p w:rsidR="006925A0" w:rsidRPr="00556300" w:rsidRDefault="006925A0" w:rsidP="006925A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 xml:space="preserve">D)  </w:t>
      </w:r>
      <w:r w:rsidR="003A5978">
        <w:rPr>
          <w:rFonts w:ascii="Arial" w:eastAsia="Times New Roman" w:hAnsi="Arial" w:cs="Arial"/>
          <w:sz w:val="20"/>
          <w:szCs w:val="20"/>
        </w:rPr>
        <w:t>Une perte de l’empreinte parentale favorise certain cancers</w:t>
      </w:r>
      <w:r w:rsidRPr="00556300">
        <w:rPr>
          <w:rFonts w:ascii="Arial" w:eastAsia="Times New Roman" w:hAnsi="Arial" w:cs="Arial"/>
          <w:sz w:val="20"/>
          <w:szCs w:val="20"/>
        </w:rPr>
        <w:tab/>
      </w:r>
    </w:p>
    <w:p w:rsidR="006925A0" w:rsidRPr="00556300" w:rsidRDefault="006925A0" w:rsidP="006925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556300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25A0" w:rsidRDefault="006925A0" w:rsidP="0055630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390670" w:rsidRPr="00BC60A4" w:rsidRDefault="00390670" w:rsidP="00556300">
      <w:pPr>
        <w:tabs>
          <w:tab w:val="left" w:pos="1020"/>
        </w:tabs>
        <w:spacing w:after="160" w:line="240" w:lineRule="auto"/>
        <w:jc w:val="center"/>
        <w:rPr>
          <w:rFonts w:ascii="Arial" w:hAnsi="Arial" w:cs="Arial"/>
          <w:b/>
          <w:sz w:val="14"/>
          <w:u w:val="single"/>
        </w:rPr>
      </w:pPr>
      <w:bookmarkStart w:id="0" w:name="_GoBack"/>
      <w:bookmarkEnd w:id="0"/>
    </w:p>
    <w:sectPr w:rsidR="00390670" w:rsidRPr="00BC60A4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081" w:rsidRDefault="009B4081" w:rsidP="00002F21">
      <w:pPr>
        <w:spacing w:after="0" w:line="240" w:lineRule="auto"/>
      </w:pPr>
      <w:r>
        <w:separator/>
      </w:r>
    </w:p>
  </w:endnote>
  <w:endnote w:type="continuationSeparator" w:id="1">
    <w:p w:rsidR="009B4081" w:rsidRDefault="009B4081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3CA" w:rsidRPr="007E562C" w:rsidRDefault="00C076D3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>
      <w:rPr>
        <w:b/>
      </w:rPr>
      <w:t>12/12/16</w:t>
    </w:r>
    <w:r w:rsidR="00D513CA" w:rsidRPr="006912A2">
      <w:tab/>
    </w:r>
    <w:r w:rsidR="00D513CA" w:rsidRPr="006912A2">
      <w:rPr>
        <w:b/>
      </w:rPr>
      <w:t xml:space="preserve">Le tutorat est gratuit. Toute reproduction ou vente </w:t>
    </w:r>
    <w:r w:rsidR="00D513CA">
      <w:rPr>
        <w:b/>
      </w:rPr>
      <w:t>est interdite.</w:t>
    </w:r>
    <w:r w:rsidR="00D513CA" w:rsidRPr="006912A2">
      <w:tab/>
    </w:r>
    <w:r w:rsidR="00D513CA" w:rsidRPr="006912A2">
      <w:rPr>
        <w:b/>
      </w:rPr>
      <w:t xml:space="preserve">Page </w:t>
    </w:r>
    <w:r w:rsidR="005E41FE" w:rsidRPr="006912A2">
      <w:rPr>
        <w:b/>
      </w:rPr>
      <w:fldChar w:fldCharType="begin"/>
    </w:r>
    <w:r w:rsidR="00D513CA" w:rsidRPr="006912A2">
      <w:rPr>
        <w:b/>
      </w:rPr>
      <w:instrText>PAGE</w:instrText>
    </w:r>
    <w:r w:rsidR="005E41FE" w:rsidRPr="006912A2">
      <w:rPr>
        <w:b/>
      </w:rPr>
      <w:fldChar w:fldCharType="separate"/>
    </w:r>
    <w:r w:rsidR="00B67DAB">
      <w:rPr>
        <w:b/>
        <w:noProof/>
      </w:rPr>
      <w:t>2</w:t>
    </w:r>
    <w:r w:rsidR="005E41FE" w:rsidRPr="006912A2">
      <w:rPr>
        <w:b/>
      </w:rPr>
      <w:fldChar w:fldCharType="end"/>
    </w:r>
    <w:r w:rsidR="00D513CA" w:rsidRPr="006912A2">
      <w:rPr>
        <w:b/>
      </w:rPr>
      <w:t xml:space="preserve"> sur </w:t>
    </w:r>
    <w:r w:rsidR="005E41FE" w:rsidRPr="006912A2">
      <w:rPr>
        <w:b/>
      </w:rPr>
      <w:fldChar w:fldCharType="begin"/>
    </w:r>
    <w:r w:rsidR="00D513CA" w:rsidRPr="006912A2">
      <w:rPr>
        <w:b/>
      </w:rPr>
      <w:instrText>NUMPAGES</w:instrText>
    </w:r>
    <w:r w:rsidR="005E41FE" w:rsidRPr="006912A2">
      <w:rPr>
        <w:b/>
      </w:rPr>
      <w:fldChar w:fldCharType="separate"/>
    </w:r>
    <w:r w:rsidR="00B67DAB">
      <w:rPr>
        <w:b/>
        <w:noProof/>
      </w:rPr>
      <w:t>2</w:t>
    </w:r>
    <w:r w:rsidR="005E41FE" w:rsidRPr="006912A2"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081" w:rsidRDefault="009B4081" w:rsidP="00002F21">
      <w:pPr>
        <w:spacing w:after="0" w:line="240" w:lineRule="auto"/>
      </w:pPr>
      <w:r>
        <w:separator/>
      </w:r>
    </w:p>
  </w:footnote>
  <w:footnote w:type="continuationSeparator" w:id="1">
    <w:p w:rsidR="009B4081" w:rsidRDefault="009B4081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11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533"/>
    <w:rsid w:val="00002F21"/>
    <w:rsid w:val="0001581A"/>
    <w:rsid w:val="000225EA"/>
    <w:rsid w:val="00022D17"/>
    <w:rsid w:val="00023582"/>
    <w:rsid w:val="000236DC"/>
    <w:rsid w:val="000331F5"/>
    <w:rsid w:val="00035987"/>
    <w:rsid w:val="00050AAB"/>
    <w:rsid w:val="00057FC5"/>
    <w:rsid w:val="00087576"/>
    <w:rsid w:val="000A68CA"/>
    <w:rsid w:val="000C7435"/>
    <w:rsid w:val="000F054A"/>
    <w:rsid w:val="000F4562"/>
    <w:rsid w:val="0011589C"/>
    <w:rsid w:val="0013294B"/>
    <w:rsid w:val="001534E3"/>
    <w:rsid w:val="00167E5D"/>
    <w:rsid w:val="001C0435"/>
    <w:rsid w:val="001D2E80"/>
    <w:rsid w:val="001E244C"/>
    <w:rsid w:val="001E264B"/>
    <w:rsid w:val="001E2C9E"/>
    <w:rsid w:val="001E54D1"/>
    <w:rsid w:val="001E5BC8"/>
    <w:rsid w:val="001E611F"/>
    <w:rsid w:val="00203D34"/>
    <w:rsid w:val="00204B61"/>
    <w:rsid w:val="0020693B"/>
    <w:rsid w:val="00210B3A"/>
    <w:rsid w:val="00241118"/>
    <w:rsid w:val="00254BD9"/>
    <w:rsid w:val="00286574"/>
    <w:rsid w:val="002C7193"/>
    <w:rsid w:val="003009D4"/>
    <w:rsid w:val="00304EE8"/>
    <w:rsid w:val="00320FE7"/>
    <w:rsid w:val="00343B94"/>
    <w:rsid w:val="0035629B"/>
    <w:rsid w:val="003564CE"/>
    <w:rsid w:val="00360AA6"/>
    <w:rsid w:val="00373730"/>
    <w:rsid w:val="00390670"/>
    <w:rsid w:val="00395953"/>
    <w:rsid w:val="003A28B3"/>
    <w:rsid w:val="003A5978"/>
    <w:rsid w:val="003B1162"/>
    <w:rsid w:val="003B34D0"/>
    <w:rsid w:val="003D3885"/>
    <w:rsid w:val="003E3BD2"/>
    <w:rsid w:val="003F1CFB"/>
    <w:rsid w:val="003F260C"/>
    <w:rsid w:val="003F49DE"/>
    <w:rsid w:val="00470531"/>
    <w:rsid w:val="00487F3B"/>
    <w:rsid w:val="00495917"/>
    <w:rsid w:val="004A1497"/>
    <w:rsid w:val="004B0C77"/>
    <w:rsid w:val="004B64AB"/>
    <w:rsid w:val="004E2C90"/>
    <w:rsid w:val="004F2050"/>
    <w:rsid w:val="005523C2"/>
    <w:rsid w:val="00554286"/>
    <w:rsid w:val="00555105"/>
    <w:rsid w:val="00556300"/>
    <w:rsid w:val="00571B7D"/>
    <w:rsid w:val="0057426A"/>
    <w:rsid w:val="005A305D"/>
    <w:rsid w:val="005A5E7E"/>
    <w:rsid w:val="005B4AC0"/>
    <w:rsid w:val="005E20C0"/>
    <w:rsid w:val="005E41FE"/>
    <w:rsid w:val="005E476F"/>
    <w:rsid w:val="005F2A46"/>
    <w:rsid w:val="006056B1"/>
    <w:rsid w:val="00613169"/>
    <w:rsid w:val="00626C5A"/>
    <w:rsid w:val="0063668A"/>
    <w:rsid w:val="006530AE"/>
    <w:rsid w:val="006607F5"/>
    <w:rsid w:val="00664424"/>
    <w:rsid w:val="00670EAA"/>
    <w:rsid w:val="00685874"/>
    <w:rsid w:val="006912A2"/>
    <w:rsid w:val="006925A0"/>
    <w:rsid w:val="006A18F1"/>
    <w:rsid w:val="006B1C02"/>
    <w:rsid w:val="006B37CA"/>
    <w:rsid w:val="006B37D9"/>
    <w:rsid w:val="006C268B"/>
    <w:rsid w:val="006E3719"/>
    <w:rsid w:val="00700810"/>
    <w:rsid w:val="007258AB"/>
    <w:rsid w:val="00727B74"/>
    <w:rsid w:val="00755CBD"/>
    <w:rsid w:val="007702AB"/>
    <w:rsid w:val="00793740"/>
    <w:rsid w:val="007A5F02"/>
    <w:rsid w:val="007E562C"/>
    <w:rsid w:val="007F6FDA"/>
    <w:rsid w:val="00853533"/>
    <w:rsid w:val="00887DC6"/>
    <w:rsid w:val="008B0AD6"/>
    <w:rsid w:val="008B4871"/>
    <w:rsid w:val="008B6040"/>
    <w:rsid w:val="008C1868"/>
    <w:rsid w:val="008D6E6B"/>
    <w:rsid w:val="008E187B"/>
    <w:rsid w:val="008E4B27"/>
    <w:rsid w:val="00934AC1"/>
    <w:rsid w:val="009357B5"/>
    <w:rsid w:val="009625AE"/>
    <w:rsid w:val="00964BA2"/>
    <w:rsid w:val="00974C26"/>
    <w:rsid w:val="009760F8"/>
    <w:rsid w:val="00981A39"/>
    <w:rsid w:val="00983EAB"/>
    <w:rsid w:val="00986EC7"/>
    <w:rsid w:val="009A610B"/>
    <w:rsid w:val="009B014A"/>
    <w:rsid w:val="009B4081"/>
    <w:rsid w:val="009C48D3"/>
    <w:rsid w:val="009D196E"/>
    <w:rsid w:val="009E0A49"/>
    <w:rsid w:val="009E71B4"/>
    <w:rsid w:val="009F1D0A"/>
    <w:rsid w:val="009F55E2"/>
    <w:rsid w:val="009F753B"/>
    <w:rsid w:val="009F7D20"/>
    <w:rsid w:val="00A05CF4"/>
    <w:rsid w:val="00A05E54"/>
    <w:rsid w:val="00A1520C"/>
    <w:rsid w:val="00A224B7"/>
    <w:rsid w:val="00A24AF4"/>
    <w:rsid w:val="00A55840"/>
    <w:rsid w:val="00A618AD"/>
    <w:rsid w:val="00A715E6"/>
    <w:rsid w:val="00A904E0"/>
    <w:rsid w:val="00A9069E"/>
    <w:rsid w:val="00A94794"/>
    <w:rsid w:val="00AA2490"/>
    <w:rsid w:val="00AA3BAF"/>
    <w:rsid w:val="00AC63B1"/>
    <w:rsid w:val="00AF457E"/>
    <w:rsid w:val="00B005BB"/>
    <w:rsid w:val="00B017D5"/>
    <w:rsid w:val="00B02203"/>
    <w:rsid w:val="00B07B9C"/>
    <w:rsid w:val="00B162B6"/>
    <w:rsid w:val="00B3531D"/>
    <w:rsid w:val="00B46DA3"/>
    <w:rsid w:val="00B64BE8"/>
    <w:rsid w:val="00B67DAB"/>
    <w:rsid w:val="00B710C2"/>
    <w:rsid w:val="00B71912"/>
    <w:rsid w:val="00B7468E"/>
    <w:rsid w:val="00B75E7F"/>
    <w:rsid w:val="00B967E3"/>
    <w:rsid w:val="00BB1247"/>
    <w:rsid w:val="00BC4826"/>
    <w:rsid w:val="00BC60A4"/>
    <w:rsid w:val="00BD77CF"/>
    <w:rsid w:val="00BE01C7"/>
    <w:rsid w:val="00BE58BE"/>
    <w:rsid w:val="00BF0AC0"/>
    <w:rsid w:val="00BF7199"/>
    <w:rsid w:val="00C076D3"/>
    <w:rsid w:val="00C14134"/>
    <w:rsid w:val="00C175FF"/>
    <w:rsid w:val="00C24662"/>
    <w:rsid w:val="00C40626"/>
    <w:rsid w:val="00C406F9"/>
    <w:rsid w:val="00C711EF"/>
    <w:rsid w:val="00C91FBC"/>
    <w:rsid w:val="00CC74AF"/>
    <w:rsid w:val="00CE3FD6"/>
    <w:rsid w:val="00CE70DA"/>
    <w:rsid w:val="00CF4253"/>
    <w:rsid w:val="00CF5AD4"/>
    <w:rsid w:val="00CF750F"/>
    <w:rsid w:val="00D05D32"/>
    <w:rsid w:val="00D24E4A"/>
    <w:rsid w:val="00D34786"/>
    <w:rsid w:val="00D364C1"/>
    <w:rsid w:val="00D4667B"/>
    <w:rsid w:val="00D46C01"/>
    <w:rsid w:val="00D513CA"/>
    <w:rsid w:val="00D53429"/>
    <w:rsid w:val="00D5626A"/>
    <w:rsid w:val="00D57A3A"/>
    <w:rsid w:val="00D932B7"/>
    <w:rsid w:val="00DD47E8"/>
    <w:rsid w:val="00DD660F"/>
    <w:rsid w:val="00DE0668"/>
    <w:rsid w:val="00DE40C6"/>
    <w:rsid w:val="00DF14AB"/>
    <w:rsid w:val="00E07225"/>
    <w:rsid w:val="00E14288"/>
    <w:rsid w:val="00E20EDD"/>
    <w:rsid w:val="00E2788B"/>
    <w:rsid w:val="00E52916"/>
    <w:rsid w:val="00E5382A"/>
    <w:rsid w:val="00E65E37"/>
    <w:rsid w:val="00E70F39"/>
    <w:rsid w:val="00E76AE8"/>
    <w:rsid w:val="00E80A5E"/>
    <w:rsid w:val="00E84DF1"/>
    <w:rsid w:val="00E97C5C"/>
    <w:rsid w:val="00EC72C6"/>
    <w:rsid w:val="00EE3BA0"/>
    <w:rsid w:val="00EE5709"/>
    <w:rsid w:val="00EE5B50"/>
    <w:rsid w:val="00F058B2"/>
    <w:rsid w:val="00F11595"/>
    <w:rsid w:val="00F16776"/>
    <w:rsid w:val="00F33DF2"/>
    <w:rsid w:val="00F5083F"/>
    <w:rsid w:val="00F515B4"/>
    <w:rsid w:val="00F55983"/>
    <w:rsid w:val="00F85000"/>
    <w:rsid w:val="00F87F73"/>
    <w:rsid w:val="00FB12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1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01581A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5F2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styleId="Paragraphedeliste">
    <w:name w:val="List Paragraph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1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6E568-760A-3448-A9AE-B1481766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666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Sandrine Beauvy</cp:lastModifiedBy>
  <cp:revision>2</cp:revision>
  <cp:lastPrinted>2015-03-16T10:26:00Z</cp:lastPrinted>
  <dcterms:created xsi:type="dcterms:W3CDTF">2016-12-12T10:13:00Z</dcterms:created>
  <dcterms:modified xsi:type="dcterms:W3CDTF">2016-12-12T10:13:00Z</dcterms:modified>
</cp:coreProperties>
</file>