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CBB" w:rsidRDefault="0071292D" w:rsidP="0071292D">
      <w:pPr>
        <w:jc w:val="center"/>
        <w:rPr>
          <w:b/>
          <w:sz w:val="28"/>
          <w:szCs w:val="28"/>
        </w:rPr>
      </w:pPr>
      <w:r w:rsidRPr="0071292D">
        <w:rPr>
          <w:b/>
          <w:sz w:val="28"/>
          <w:szCs w:val="28"/>
        </w:rPr>
        <w:t>Correction officieuse d’UE11</w:t>
      </w:r>
    </w:p>
    <w:p w:rsidR="0071292D" w:rsidRDefault="0071292D" w:rsidP="0071292D">
      <w:pPr>
        <w:rPr>
          <w:sz w:val="28"/>
          <w:szCs w:val="28"/>
        </w:rPr>
      </w:pPr>
    </w:p>
    <w:p w:rsidR="0071292D" w:rsidRDefault="0071292D" w:rsidP="0071292D">
      <w:pPr>
        <w:rPr>
          <w:sz w:val="24"/>
          <w:szCs w:val="24"/>
        </w:rPr>
      </w:pPr>
      <w:r>
        <w:rPr>
          <w:sz w:val="24"/>
          <w:szCs w:val="24"/>
        </w:rPr>
        <w:t>QCM 1 : </w:t>
      </w:r>
      <w:r>
        <w:rPr>
          <w:b/>
          <w:sz w:val="24"/>
          <w:szCs w:val="24"/>
        </w:rPr>
        <w:t>D</w:t>
      </w:r>
      <w:r>
        <w:rPr>
          <w:sz w:val="24"/>
          <w:szCs w:val="24"/>
        </w:rPr>
        <w:t xml:space="preserve"> </w:t>
      </w:r>
    </w:p>
    <w:p w:rsidR="0071292D" w:rsidRDefault="0071292D" w:rsidP="0071292D">
      <w:pPr>
        <w:rPr>
          <w:sz w:val="24"/>
          <w:szCs w:val="24"/>
        </w:rPr>
      </w:pPr>
      <w:r>
        <w:rPr>
          <w:sz w:val="24"/>
          <w:szCs w:val="24"/>
        </w:rPr>
        <w:t>La présence d’une double barre sur la piste 4 montre une hétérozygotie du gène pour l’individu. La piste 4 est dédiée à la stratégie de PCR 2, donc l’amplification de la portion exon 7 – exon 8. Il y a deux barres de poids différents</w:t>
      </w:r>
    </w:p>
    <w:p w:rsidR="0071292D" w:rsidRDefault="0071292D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Il y a donc un variant d’épissage à l’état hétérozygote entre l’exon 7 et 8 </w:t>
      </w:r>
    </w:p>
    <w:p w:rsidR="0071292D" w:rsidRDefault="0071292D" w:rsidP="0071292D">
      <w:pPr>
        <w:rPr>
          <w:sz w:val="24"/>
          <w:szCs w:val="24"/>
        </w:rPr>
      </w:pPr>
    </w:p>
    <w:p w:rsidR="0071292D" w:rsidRDefault="0071292D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QCM 2 : </w:t>
      </w:r>
      <w:r>
        <w:rPr>
          <w:b/>
          <w:sz w:val="24"/>
          <w:szCs w:val="24"/>
        </w:rPr>
        <w:t>AC</w:t>
      </w:r>
      <w:r>
        <w:rPr>
          <w:sz w:val="24"/>
          <w:szCs w:val="24"/>
        </w:rPr>
        <w:t xml:space="preserve"> </w:t>
      </w:r>
    </w:p>
    <w:p w:rsidR="0071292D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B : La PCR repose sur </w:t>
      </w:r>
      <w:r>
        <w:rPr>
          <w:sz w:val="24"/>
          <w:szCs w:val="24"/>
          <w:u w:val="single"/>
        </w:rPr>
        <w:t>3</w:t>
      </w:r>
      <w:r>
        <w:rPr>
          <w:sz w:val="24"/>
          <w:szCs w:val="24"/>
        </w:rPr>
        <w:t xml:space="preserve"> étapes successives </w:t>
      </w: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D : </w:t>
      </w:r>
      <w:r>
        <w:rPr>
          <w:sz w:val="24"/>
          <w:szCs w:val="24"/>
          <w:u w:val="single"/>
        </w:rPr>
        <w:t>Pas d’enzyme de restriction</w:t>
      </w:r>
      <w:r>
        <w:rPr>
          <w:sz w:val="24"/>
          <w:szCs w:val="24"/>
        </w:rPr>
        <w:t xml:space="preserve"> dans une PCR </w:t>
      </w:r>
    </w:p>
    <w:p w:rsidR="001E2CC4" w:rsidRDefault="001E2CC4" w:rsidP="0071292D">
      <w:pPr>
        <w:rPr>
          <w:sz w:val="24"/>
          <w:szCs w:val="24"/>
        </w:rPr>
      </w:pP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>QCM 3 :</w:t>
      </w:r>
      <w:r>
        <w:rPr>
          <w:b/>
          <w:sz w:val="24"/>
          <w:szCs w:val="24"/>
        </w:rPr>
        <w:t xml:space="preserve"> E</w:t>
      </w:r>
      <w:r>
        <w:rPr>
          <w:sz w:val="24"/>
          <w:szCs w:val="24"/>
        </w:rPr>
        <w:t xml:space="preserve"> </w:t>
      </w: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Seuls </w:t>
      </w:r>
      <w:proofErr w:type="spellStart"/>
      <w:r>
        <w:rPr>
          <w:sz w:val="24"/>
          <w:szCs w:val="24"/>
        </w:rPr>
        <w:t>Sma</w:t>
      </w:r>
      <w:proofErr w:type="spellEnd"/>
      <w:r>
        <w:rPr>
          <w:sz w:val="24"/>
          <w:szCs w:val="24"/>
        </w:rPr>
        <w:t xml:space="preserve"> I et </w:t>
      </w:r>
      <w:proofErr w:type="spellStart"/>
      <w:r>
        <w:rPr>
          <w:sz w:val="24"/>
          <w:szCs w:val="24"/>
        </w:rPr>
        <w:t>BamHI</w:t>
      </w:r>
      <w:proofErr w:type="spellEnd"/>
      <w:r>
        <w:rPr>
          <w:sz w:val="24"/>
          <w:szCs w:val="24"/>
        </w:rPr>
        <w:t xml:space="preserve"> étaient capables de couper la séquence </w:t>
      </w:r>
    </w:p>
    <w:p w:rsidR="001E2CC4" w:rsidRDefault="001E2CC4" w:rsidP="0071292D">
      <w:pPr>
        <w:rPr>
          <w:sz w:val="24"/>
          <w:szCs w:val="24"/>
        </w:rPr>
      </w:pP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QCM 4 : </w:t>
      </w:r>
      <w:r>
        <w:rPr>
          <w:b/>
          <w:sz w:val="24"/>
          <w:szCs w:val="24"/>
        </w:rPr>
        <w:t>B</w:t>
      </w:r>
      <w:r>
        <w:rPr>
          <w:sz w:val="24"/>
          <w:szCs w:val="24"/>
        </w:rPr>
        <w:t xml:space="preserve"> </w:t>
      </w: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A : Les globules </w:t>
      </w:r>
      <w:r w:rsidRPr="001E2CC4">
        <w:rPr>
          <w:sz w:val="24"/>
          <w:szCs w:val="24"/>
          <w:u w:val="single"/>
        </w:rPr>
        <w:t>rouges</w:t>
      </w:r>
      <w:r>
        <w:rPr>
          <w:sz w:val="24"/>
          <w:szCs w:val="24"/>
        </w:rPr>
        <w:t xml:space="preserve"> ne contiennent pas d’ADN </w:t>
      </w:r>
    </w:p>
    <w:p w:rsid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C : Un prélèvement plasmatique fournit trop peu d’ADN pour pouvoir en faire des analyses de séquençage / PCR (réponse du prof) </w:t>
      </w:r>
    </w:p>
    <w:p w:rsidR="001E2CC4" w:rsidRP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D : On s’intéresse ici aux régions </w:t>
      </w:r>
      <w:r w:rsidRPr="001E2CC4">
        <w:rPr>
          <w:sz w:val="24"/>
          <w:szCs w:val="24"/>
          <w:u w:val="single"/>
        </w:rPr>
        <w:t>codantes</w:t>
      </w:r>
      <w:r>
        <w:rPr>
          <w:sz w:val="24"/>
          <w:szCs w:val="24"/>
        </w:rPr>
        <w:t xml:space="preserve"> </w:t>
      </w:r>
    </w:p>
    <w:p w:rsidR="001E2CC4" w:rsidRDefault="001E2CC4" w:rsidP="0071292D">
      <w:pPr>
        <w:rPr>
          <w:sz w:val="24"/>
          <w:szCs w:val="24"/>
        </w:rPr>
      </w:pPr>
    </w:p>
    <w:p w:rsidR="001E2CC4" w:rsidRPr="001E2CC4" w:rsidRDefault="001E2CC4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QCM 5 : </w:t>
      </w:r>
      <w:r>
        <w:rPr>
          <w:b/>
          <w:sz w:val="24"/>
          <w:szCs w:val="24"/>
        </w:rPr>
        <w:t>BCD</w:t>
      </w:r>
    </w:p>
    <w:p w:rsidR="001E2CC4" w:rsidRDefault="00020C78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A : On utilise des endonucléases </w:t>
      </w:r>
      <w:r>
        <w:rPr>
          <w:sz w:val="24"/>
          <w:szCs w:val="24"/>
          <w:u w:val="single"/>
        </w:rPr>
        <w:t>non spécifiques</w:t>
      </w:r>
      <w:r>
        <w:rPr>
          <w:sz w:val="24"/>
          <w:szCs w:val="24"/>
        </w:rPr>
        <w:t xml:space="preserve"> pour fragmenter l’ADN </w:t>
      </w:r>
    </w:p>
    <w:p w:rsidR="00020C78" w:rsidRPr="00020C78" w:rsidRDefault="00020C78" w:rsidP="0071292D">
      <w:pPr>
        <w:rPr>
          <w:i/>
          <w:sz w:val="24"/>
          <w:szCs w:val="24"/>
        </w:rPr>
      </w:pPr>
      <w:r w:rsidRPr="00020C78">
        <w:rPr>
          <w:i/>
          <w:sz w:val="24"/>
          <w:szCs w:val="24"/>
        </w:rPr>
        <w:t xml:space="preserve">C : En effet, grâce au </w:t>
      </w:r>
      <w:r>
        <w:rPr>
          <w:b/>
          <w:i/>
          <w:sz w:val="24"/>
          <w:szCs w:val="24"/>
        </w:rPr>
        <w:t xml:space="preserve">Code </w:t>
      </w:r>
      <w:r w:rsidRPr="00020C78">
        <w:rPr>
          <w:b/>
          <w:i/>
          <w:sz w:val="24"/>
          <w:szCs w:val="24"/>
        </w:rPr>
        <w:t>barre</w:t>
      </w:r>
    </w:p>
    <w:p w:rsidR="001E2CC4" w:rsidRDefault="001E2CC4" w:rsidP="0071292D">
      <w:pPr>
        <w:rPr>
          <w:sz w:val="24"/>
          <w:szCs w:val="24"/>
        </w:rPr>
      </w:pPr>
    </w:p>
    <w:p w:rsidR="00AD1EE0" w:rsidRDefault="00AD1EE0" w:rsidP="0071292D">
      <w:pPr>
        <w:rPr>
          <w:sz w:val="24"/>
          <w:szCs w:val="24"/>
        </w:rPr>
      </w:pPr>
    </w:p>
    <w:p w:rsidR="00AD1EE0" w:rsidRDefault="00AD1EE0" w:rsidP="0071292D">
      <w:pPr>
        <w:rPr>
          <w:sz w:val="24"/>
          <w:szCs w:val="24"/>
        </w:rPr>
      </w:pPr>
    </w:p>
    <w:p w:rsidR="00AD1EE0" w:rsidRDefault="00AD1EE0" w:rsidP="0071292D">
      <w:pPr>
        <w:rPr>
          <w:sz w:val="24"/>
          <w:szCs w:val="24"/>
        </w:rPr>
      </w:pPr>
    </w:p>
    <w:p w:rsidR="00AD1EE0" w:rsidRDefault="00AD1EE0" w:rsidP="0071292D">
      <w:pPr>
        <w:rPr>
          <w:sz w:val="24"/>
          <w:szCs w:val="24"/>
        </w:rPr>
      </w:pPr>
    </w:p>
    <w:p w:rsidR="00AD1EE0" w:rsidRPr="001E2CC4" w:rsidRDefault="00AD1EE0" w:rsidP="0071292D">
      <w:pPr>
        <w:rPr>
          <w:sz w:val="24"/>
          <w:szCs w:val="24"/>
        </w:rPr>
      </w:pPr>
    </w:p>
    <w:p w:rsidR="00A5304B" w:rsidRDefault="00020C78" w:rsidP="0071292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QCM 6 : </w:t>
      </w:r>
      <w:r>
        <w:rPr>
          <w:b/>
          <w:sz w:val="24"/>
          <w:szCs w:val="24"/>
        </w:rPr>
        <w:t xml:space="preserve">C </w:t>
      </w:r>
    </w:p>
    <w:p w:rsidR="00AD1EE0" w:rsidRPr="00AD1EE0" w:rsidRDefault="00AD1EE0" w:rsidP="0071292D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Le « diamètre bipariétal » est en fait décrit dans la ronéo sous le terme de </w:t>
      </w:r>
      <w:r>
        <w:rPr>
          <w:b/>
          <w:sz w:val="24"/>
          <w:szCs w:val="24"/>
        </w:rPr>
        <w:t>macrocéphalie</w:t>
      </w:r>
      <w:r>
        <w:rPr>
          <w:sz w:val="24"/>
          <w:szCs w:val="24"/>
        </w:rPr>
        <w:t xml:space="preserve"> </w:t>
      </w:r>
    </w:p>
    <w:p w:rsidR="00020C78" w:rsidRDefault="00A5304B" w:rsidP="0071292D">
      <w:pPr>
        <w:rPr>
          <w:sz w:val="24"/>
          <w:szCs w:val="24"/>
        </w:rPr>
      </w:pPr>
      <w:r>
        <w:rPr>
          <w:sz w:val="24"/>
          <w:szCs w:val="24"/>
        </w:rPr>
        <w:t xml:space="preserve">J’ai fait quelques recherches </w:t>
      </w:r>
      <w:r w:rsidR="00AD1EE0">
        <w:rPr>
          <w:sz w:val="24"/>
          <w:szCs w:val="24"/>
        </w:rPr>
        <w:t xml:space="preserve">personnelles, et j’ai trouvé ceci sur un site de </w:t>
      </w:r>
      <w:proofErr w:type="spellStart"/>
      <w:r w:rsidR="00AD1EE0">
        <w:rPr>
          <w:sz w:val="24"/>
          <w:szCs w:val="24"/>
        </w:rPr>
        <w:t>radiopédiatrie</w:t>
      </w:r>
      <w:proofErr w:type="spellEnd"/>
      <w:r w:rsidR="00AD1EE0">
        <w:rPr>
          <w:sz w:val="24"/>
          <w:szCs w:val="24"/>
        </w:rPr>
        <w:t xml:space="preserve"> : </w:t>
      </w:r>
      <w:r w:rsidR="00AD1EE0" w:rsidRPr="00AD1EE0">
        <w:rPr>
          <w:sz w:val="24"/>
          <w:szCs w:val="24"/>
        </w:rPr>
        <w:t>https://i.gyazo.com/4f44a0597cdd356a9f04b21da8a0cc9b.png</w:t>
      </w:r>
    </w:p>
    <w:p w:rsidR="00AD1EE0" w:rsidRPr="00AD1EE0" w:rsidRDefault="00AD1EE0" w:rsidP="00AD1EE0">
      <w:pPr>
        <w:pStyle w:val="Paragraphedeliste"/>
        <w:numPr>
          <w:ilvl w:val="0"/>
          <w:numId w:val="1"/>
        </w:numPr>
        <w:rPr>
          <w:i/>
          <w:sz w:val="24"/>
          <w:szCs w:val="24"/>
        </w:rPr>
      </w:pPr>
      <w:r w:rsidRPr="00AD1EE0">
        <w:rPr>
          <w:i/>
          <w:sz w:val="24"/>
          <w:szCs w:val="24"/>
        </w:rPr>
        <w:t>La taille de fémur &lt; 5</w:t>
      </w:r>
      <w:r w:rsidRPr="00AD1EE0">
        <w:rPr>
          <w:i/>
          <w:sz w:val="24"/>
          <w:szCs w:val="24"/>
          <w:vertAlign w:val="superscript"/>
        </w:rPr>
        <w:t>e</w:t>
      </w:r>
      <w:r w:rsidRPr="00AD1EE0">
        <w:rPr>
          <w:i/>
          <w:sz w:val="24"/>
          <w:szCs w:val="24"/>
        </w:rPr>
        <w:t xml:space="preserve"> (~ 3e) percentile </w:t>
      </w:r>
    </w:p>
    <w:p w:rsidR="00AD1EE0" w:rsidRDefault="00AD1EE0" w:rsidP="00AD1EE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AD1EE0">
        <w:rPr>
          <w:i/>
          <w:sz w:val="24"/>
          <w:szCs w:val="24"/>
        </w:rPr>
        <w:t>Le diamètre bipariétal supérieur au 90</w:t>
      </w:r>
      <w:r w:rsidRPr="00AD1EE0">
        <w:rPr>
          <w:i/>
          <w:sz w:val="24"/>
          <w:szCs w:val="24"/>
          <w:vertAlign w:val="superscript"/>
        </w:rPr>
        <w:t>e</w:t>
      </w:r>
      <w:r w:rsidRPr="00AD1EE0">
        <w:rPr>
          <w:i/>
          <w:sz w:val="24"/>
          <w:szCs w:val="24"/>
        </w:rPr>
        <w:t xml:space="preserve"> (~ 95</w:t>
      </w:r>
      <w:r w:rsidRPr="00AD1EE0">
        <w:rPr>
          <w:i/>
          <w:sz w:val="24"/>
          <w:szCs w:val="24"/>
          <w:vertAlign w:val="superscript"/>
        </w:rPr>
        <w:t>e</w:t>
      </w:r>
      <w:r>
        <w:rPr>
          <w:i/>
          <w:sz w:val="24"/>
          <w:szCs w:val="24"/>
        </w:rPr>
        <w:t>) percentile</w:t>
      </w:r>
    </w:p>
    <w:p w:rsidR="00AD1EE0" w:rsidRDefault="00AD1EE0" w:rsidP="00AD1EE0">
      <w:pPr>
        <w:rPr>
          <w:sz w:val="24"/>
          <w:szCs w:val="24"/>
        </w:rPr>
      </w:pPr>
    </w:p>
    <w:p w:rsidR="00AD1EE0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Le QCM était donc faisable avec les données de cours, mais c’est une formulation qui n’est pas du tout habituelle </w:t>
      </w:r>
    </w:p>
    <w:p w:rsidR="00AD1EE0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A : je dirais qu’elle est fausse, car la transmission de </w:t>
      </w:r>
      <w:r w:rsidRPr="00AD1EE0">
        <w:rPr>
          <w:sz w:val="24"/>
          <w:szCs w:val="24"/>
          <w:u w:val="single"/>
        </w:rPr>
        <w:t>l’achondroplasie</w:t>
      </w:r>
      <w:r>
        <w:rPr>
          <w:sz w:val="24"/>
          <w:szCs w:val="24"/>
        </w:rPr>
        <w:t xml:space="preserve"> </w:t>
      </w:r>
      <w:r w:rsidRPr="00AD1EE0">
        <w:rPr>
          <w:sz w:val="24"/>
          <w:szCs w:val="24"/>
        </w:rPr>
        <w:t>est</w:t>
      </w:r>
      <w:r>
        <w:rPr>
          <w:sz w:val="24"/>
          <w:szCs w:val="24"/>
        </w:rPr>
        <w:t xml:space="preserve"> autosomique dominante, mais </w:t>
      </w:r>
      <w:r>
        <w:rPr>
          <w:sz w:val="24"/>
          <w:szCs w:val="24"/>
          <w:u w:val="single"/>
        </w:rPr>
        <w:t>le père a une taille normale</w:t>
      </w:r>
      <w:r>
        <w:rPr>
          <w:sz w:val="24"/>
          <w:szCs w:val="24"/>
        </w:rPr>
        <w:t xml:space="preserve">. Il doit donc s’agir d’une transmission de novo, et les antécédents de nanismes ne rentrent pas en compte dans ce cas là </w:t>
      </w:r>
    </w:p>
    <w:p w:rsidR="00AD1EE0" w:rsidRDefault="00AD1EE0" w:rsidP="00AD1EE0">
      <w:pPr>
        <w:rPr>
          <w:sz w:val="24"/>
          <w:szCs w:val="24"/>
        </w:rPr>
      </w:pPr>
      <w:bookmarkStart w:id="0" w:name="_GoBack"/>
      <w:bookmarkEnd w:id="0"/>
    </w:p>
    <w:p w:rsidR="00AD1EE0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QCM 7 : </w:t>
      </w:r>
      <w:r>
        <w:rPr>
          <w:b/>
          <w:sz w:val="24"/>
          <w:szCs w:val="24"/>
        </w:rPr>
        <w:t>AC</w:t>
      </w:r>
    </w:p>
    <w:p w:rsidR="00AD1EE0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B : Les produits générés par PCR en temps réel sont vérifiés </w:t>
      </w:r>
      <w:r>
        <w:rPr>
          <w:sz w:val="24"/>
          <w:szCs w:val="24"/>
          <w:u w:val="single"/>
        </w:rPr>
        <w:t>après chaque cycle</w:t>
      </w:r>
      <w:r>
        <w:rPr>
          <w:sz w:val="24"/>
          <w:szCs w:val="24"/>
        </w:rPr>
        <w:t xml:space="preserve"> </w:t>
      </w:r>
    </w:p>
    <w:p w:rsidR="00AD1EE0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D : La PCR en temps réel se déroule à des températures </w:t>
      </w:r>
      <w:r>
        <w:rPr>
          <w:sz w:val="24"/>
          <w:szCs w:val="24"/>
          <w:u w:val="single"/>
        </w:rPr>
        <w:t>élevées</w:t>
      </w:r>
      <w:r>
        <w:rPr>
          <w:sz w:val="24"/>
          <w:szCs w:val="24"/>
        </w:rPr>
        <w:t> : 95 / 55 / 60 °C</w:t>
      </w:r>
    </w:p>
    <w:p w:rsidR="00AD1EE0" w:rsidRDefault="00AD1EE0" w:rsidP="00AD1EE0">
      <w:pPr>
        <w:rPr>
          <w:sz w:val="24"/>
          <w:szCs w:val="24"/>
        </w:rPr>
      </w:pPr>
    </w:p>
    <w:p w:rsidR="00AD1EE0" w:rsidRPr="00574A71" w:rsidRDefault="00AD1EE0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QCM 8 : </w:t>
      </w:r>
      <w:r w:rsidR="00574A71">
        <w:rPr>
          <w:b/>
          <w:sz w:val="24"/>
          <w:szCs w:val="24"/>
        </w:rPr>
        <w:t>ABCD</w:t>
      </w:r>
    </w:p>
    <w:p w:rsidR="00574A71" w:rsidRDefault="00574A71" w:rsidP="00AD1EE0">
      <w:pPr>
        <w:rPr>
          <w:sz w:val="24"/>
          <w:szCs w:val="24"/>
        </w:rPr>
      </w:pPr>
      <w:r>
        <w:rPr>
          <w:sz w:val="24"/>
          <w:szCs w:val="24"/>
        </w:rPr>
        <w:t xml:space="preserve">Voici les combinaisons correspondantes pour l’ADN recombinant : </w:t>
      </w:r>
    </w:p>
    <w:p w:rsidR="00574A71" w:rsidRDefault="00574A71" w:rsidP="00574A71">
      <w:pPr>
        <w:rPr>
          <w:sz w:val="24"/>
          <w:szCs w:val="24"/>
        </w:rPr>
      </w:pPr>
      <w:r>
        <w:rPr>
          <w:b/>
          <w:sz w:val="24"/>
          <w:szCs w:val="24"/>
        </w:rPr>
        <w:t>Sans insert</w:t>
      </w:r>
      <w:r>
        <w:rPr>
          <w:sz w:val="24"/>
          <w:szCs w:val="24"/>
        </w:rPr>
        <w:t xml:space="preserve"> : </w:t>
      </w:r>
      <w:r w:rsidRPr="00574A71">
        <w:rPr>
          <w:sz w:val="24"/>
          <w:szCs w:val="24"/>
          <w:u w:val="single"/>
        </w:rPr>
        <w:t>200</w:t>
      </w:r>
      <w:r>
        <w:rPr>
          <w:sz w:val="24"/>
          <w:szCs w:val="24"/>
        </w:rPr>
        <w:t xml:space="preserve"> + </w:t>
      </w:r>
      <w:r w:rsidRPr="00574A71">
        <w:rPr>
          <w:sz w:val="24"/>
          <w:szCs w:val="24"/>
          <w:u w:val="single"/>
        </w:rPr>
        <w:t>200</w:t>
      </w:r>
      <w:r>
        <w:rPr>
          <w:sz w:val="24"/>
          <w:szCs w:val="24"/>
        </w:rPr>
        <w:t xml:space="preserve"> (</w:t>
      </w:r>
      <w:r w:rsidRPr="00574A71">
        <w:rPr>
          <w:i/>
          <w:sz w:val="24"/>
          <w:szCs w:val="24"/>
        </w:rPr>
        <w:t xml:space="preserve">la portion de 400 pb de </w:t>
      </w:r>
      <w:proofErr w:type="spellStart"/>
      <w:r w:rsidRPr="00574A71">
        <w:rPr>
          <w:i/>
          <w:sz w:val="24"/>
          <w:szCs w:val="24"/>
        </w:rPr>
        <w:t>XhoI</w:t>
      </w:r>
      <w:proofErr w:type="spellEnd"/>
      <w:r w:rsidRPr="00574A71">
        <w:rPr>
          <w:i/>
          <w:sz w:val="24"/>
          <w:szCs w:val="24"/>
        </w:rPr>
        <w:t xml:space="preserve"> divisée en deux par </w:t>
      </w:r>
      <w:proofErr w:type="spellStart"/>
      <w:r w:rsidRPr="00574A71">
        <w:rPr>
          <w:i/>
          <w:sz w:val="24"/>
          <w:szCs w:val="24"/>
        </w:rPr>
        <w:t>EcoRI</w:t>
      </w:r>
      <w:proofErr w:type="spell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+ </w:t>
      </w:r>
      <w:r w:rsidRPr="00574A71">
        <w:rPr>
          <w:sz w:val="24"/>
          <w:szCs w:val="24"/>
          <w:u w:val="single"/>
        </w:rPr>
        <w:t>2600</w:t>
      </w:r>
      <w:r>
        <w:rPr>
          <w:sz w:val="24"/>
          <w:szCs w:val="24"/>
        </w:rPr>
        <w:t xml:space="preserve"> pb (</w:t>
      </w:r>
      <w:r w:rsidRPr="00574A71">
        <w:rPr>
          <w:i/>
          <w:sz w:val="24"/>
          <w:szCs w:val="24"/>
        </w:rPr>
        <w:t>le fragment restant, correspondant à 3000 – 400</w:t>
      </w:r>
      <w:r>
        <w:rPr>
          <w:sz w:val="24"/>
          <w:szCs w:val="24"/>
        </w:rPr>
        <w:t xml:space="preserve">) </w:t>
      </w:r>
    </w:p>
    <w:p w:rsidR="00574A71" w:rsidRDefault="00574A71" w:rsidP="00AD1EE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Avec insert sans mutation : </w:t>
      </w:r>
      <w:r w:rsidRPr="00574A71">
        <w:rPr>
          <w:sz w:val="24"/>
          <w:szCs w:val="24"/>
          <w:u w:val="single"/>
        </w:rPr>
        <w:t>200</w:t>
      </w:r>
      <w:r>
        <w:rPr>
          <w:sz w:val="24"/>
          <w:szCs w:val="24"/>
        </w:rPr>
        <w:t xml:space="preserve"> pb (</w:t>
      </w:r>
      <w:r w:rsidRPr="00574A71">
        <w:rPr>
          <w:i/>
          <w:sz w:val="24"/>
          <w:szCs w:val="24"/>
        </w:rPr>
        <w:t xml:space="preserve">la portion </w:t>
      </w:r>
      <w:proofErr w:type="spellStart"/>
      <w:r w:rsidRPr="00574A71">
        <w:rPr>
          <w:i/>
          <w:sz w:val="24"/>
          <w:szCs w:val="24"/>
        </w:rPr>
        <w:t>EcoRI</w:t>
      </w:r>
      <w:proofErr w:type="spellEnd"/>
      <w:r w:rsidRPr="00574A71">
        <w:rPr>
          <w:i/>
          <w:sz w:val="24"/>
          <w:szCs w:val="24"/>
        </w:rPr>
        <w:t xml:space="preserve"> 400 – </w:t>
      </w:r>
      <w:proofErr w:type="spellStart"/>
      <w:r w:rsidRPr="00574A71">
        <w:rPr>
          <w:i/>
          <w:sz w:val="24"/>
          <w:szCs w:val="24"/>
        </w:rPr>
        <w:t>XhoI</w:t>
      </w:r>
      <w:proofErr w:type="spellEnd"/>
      <w:r w:rsidRPr="00574A71">
        <w:rPr>
          <w:i/>
          <w:sz w:val="24"/>
          <w:szCs w:val="24"/>
        </w:rPr>
        <w:t xml:space="preserve"> 600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+ </w:t>
      </w:r>
      <w:r w:rsidRPr="00574A71">
        <w:rPr>
          <w:sz w:val="24"/>
          <w:szCs w:val="24"/>
          <w:u w:val="single"/>
        </w:rPr>
        <w:t>300</w:t>
      </w:r>
      <w:r>
        <w:rPr>
          <w:sz w:val="24"/>
          <w:szCs w:val="24"/>
        </w:rPr>
        <w:t xml:space="preserve"> pb (</w:t>
      </w:r>
      <w:r w:rsidRPr="00574A71">
        <w:rPr>
          <w:i/>
          <w:sz w:val="24"/>
          <w:szCs w:val="24"/>
        </w:rPr>
        <w:t xml:space="preserve">la portion </w:t>
      </w:r>
      <w:proofErr w:type="spellStart"/>
      <w:r w:rsidRPr="00574A71">
        <w:rPr>
          <w:i/>
          <w:sz w:val="24"/>
          <w:szCs w:val="24"/>
        </w:rPr>
        <w:t>XhoI</w:t>
      </w:r>
      <w:proofErr w:type="spellEnd"/>
      <w:r w:rsidRPr="00574A71">
        <w:rPr>
          <w:i/>
          <w:sz w:val="24"/>
          <w:szCs w:val="24"/>
        </w:rPr>
        <w:t xml:space="preserve"> 200 – </w:t>
      </w:r>
      <w:proofErr w:type="spellStart"/>
      <w:r w:rsidRPr="00574A71">
        <w:rPr>
          <w:i/>
          <w:sz w:val="24"/>
          <w:szCs w:val="24"/>
        </w:rPr>
        <w:t>EcoRI</w:t>
      </w:r>
      <w:proofErr w:type="spellEnd"/>
      <w:r w:rsidRPr="00574A71">
        <w:rPr>
          <w:i/>
          <w:sz w:val="24"/>
          <w:szCs w:val="24"/>
        </w:rPr>
        <w:t xml:space="preserve"> 400 auquel s’ajoute les 100 pb de l’insert</w:t>
      </w:r>
      <w:r>
        <w:rPr>
          <w:sz w:val="24"/>
          <w:szCs w:val="24"/>
        </w:rPr>
        <w:t xml:space="preserve">) + </w:t>
      </w:r>
      <w:r w:rsidRPr="00574A71">
        <w:rPr>
          <w:sz w:val="24"/>
          <w:szCs w:val="24"/>
          <w:u w:val="single"/>
        </w:rPr>
        <w:t>2600</w:t>
      </w:r>
      <w:r>
        <w:rPr>
          <w:sz w:val="24"/>
          <w:szCs w:val="24"/>
        </w:rPr>
        <w:t xml:space="preserve"> pb </w:t>
      </w:r>
    </w:p>
    <w:p w:rsidR="00574A71" w:rsidRDefault="00574A71" w:rsidP="00AD1EE0">
      <w:pPr>
        <w:rPr>
          <w:sz w:val="24"/>
          <w:szCs w:val="24"/>
        </w:rPr>
      </w:pPr>
      <w:r>
        <w:rPr>
          <w:b/>
          <w:sz w:val="24"/>
          <w:szCs w:val="24"/>
        </w:rPr>
        <w:t>Avec insert avec mutation</w:t>
      </w:r>
      <w:r>
        <w:rPr>
          <w:sz w:val="24"/>
          <w:szCs w:val="24"/>
        </w:rPr>
        <w:t xml:space="preserve"> : </w:t>
      </w:r>
      <w:r>
        <w:rPr>
          <w:sz w:val="24"/>
          <w:szCs w:val="24"/>
          <w:u w:val="single"/>
        </w:rPr>
        <w:t>200</w:t>
      </w:r>
      <w:r>
        <w:rPr>
          <w:sz w:val="24"/>
          <w:szCs w:val="24"/>
        </w:rPr>
        <w:t xml:space="preserve"> pb (</w:t>
      </w:r>
      <w:r w:rsidRPr="00574A71">
        <w:rPr>
          <w:i/>
          <w:sz w:val="24"/>
          <w:szCs w:val="24"/>
        </w:rPr>
        <w:t xml:space="preserve">toujours la portion </w:t>
      </w:r>
      <w:proofErr w:type="spellStart"/>
      <w:r w:rsidRPr="00574A71">
        <w:rPr>
          <w:i/>
          <w:sz w:val="24"/>
          <w:szCs w:val="24"/>
        </w:rPr>
        <w:t>EcoRI</w:t>
      </w:r>
      <w:proofErr w:type="spellEnd"/>
      <w:r w:rsidRPr="00574A71">
        <w:rPr>
          <w:i/>
          <w:sz w:val="24"/>
          <w:szCs w:val="24"/>
        </w:rPr>
        <w:t xml:space="preserve"> 400 – </w:t>
      </w:r>
      <w:proofErr w:type="spellStart"/>
      <w:r w:rsidRPr="00574A71">
        <w:rPr>
          <w:i/>
          <w:sz w:val="24"/>
          <w:szCs w:val="24"/>
        </w:rPr>
        <w:t>XhoI</w:t>
      </w:r>
      <w:proofErr w:type="spellEnd"/>
      <w:r w:rsidRPr="00574A71">
        <w:rPr>
          <w:i/>
          <w:sz w:val="24"/>
          <w:szCs w:val="24"/>
        </w:rPr>
        <w:t xml:space="preserve"> 600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+ </w:t>
      </w:r>
      <w:r>
        <w:rPr>
          <w:sz w:val="24"/>
          <w:szCs w:val="24"/>
          <w:u w:val="single"/>
        </w:rPr>
        <w:t>150</w:t>
      </w:r>
      <w:r>
        <w:rPr>
          <w:sz w:val="24"/>
          <w:szCs w:val="24"/>
        </w:rPr>
        <w:t xml:space="preserve"> pb + </w:t>
      </w:r>
      <w:r w:rsidRPr="00574A71">
        <w:rPr>
          <w:sz w:val="24"/>
          <w:szCs w:val="24"/>
          <w:u w:val="single"/>
        </w:rPr>
        <w:t>150</w:t>
      </w:r>
      <w:r>
        <w:rPr>
          <w:sz w:val="24"/>
          <w:szCs w:val="24"/>
        </w:rPr>
        <w:t xml:space="preserve"> pb (</w:t>
      </w:r>
      <w:r>
        <w:rPr>
          <w:i/>
          <w:sz w:val="24"/>
          <w:szCs w:val="24"/>
        </w:rPr>
        <w:t xml:space="preserve">cela correspond à </w:t>
      </w:r>
      <w:r w:rsidRPr="00574A71">
        <w:rPr>
          <w:i/>
          <w:sz w:val="24"/>
          <w:szCs w:val="24"/>
        </w:rPr>
        <w:t>la portion de 300 pb qui a été coupée en deux par</w:t>
      </w:r>
      <w:r>
        <w:rPr>
          <w:i/>
          <w:sz w:val="24"/>
          <w:szCs w:val="24"/>
        </w:rPr>
        <w:t xml:space="preserve"> le site </w:t>
      </w:r>
      <w:proofErr w:type="spellStart"/>
      <w:r>
        <w:rPr>
          <w:i/>
          <w:sz w:val="24"/>
          <w:szCs w:val="24"/>
        </w:rPr>
        <w:t>EcoRI</w:t>
      </w:r>
      <w:proofErr w:type="spellEnd"/>
      <w:r>
        <w:rPr>
          <w:i/>
          <w:sz w:val="24"/>
          <w:szCs w:val="24"/>
        </w:rPr>
        <w:t xml:space="preserve"> apparu sur l’insert avec la mutation, site qui coupe l’insert en position 50 sur 100 : l’insert est donc coupé en deux, et deux portions à 150 pb apparaissent</w:t>
      </w:r>
      <w:r>
        <w:rPr>
          <w:sz w:val="24"/>
          <w:szCs w:val="24"/>
        </w:rPr>
        <w:t xml:space="preserve">) + </w:t>
      </w:r>
      <w:r>
        <w:rPr>
          <w:sz w:val="24"/>
          <w:szCs w:val="24"/>
          <w:u w:val="single"/>
        </w:rPr>
        <w:t>2600</w:t>
      </w:r>
      <w:r>
        <w:rPr>
          <w:sz w:val="24"/>
          <w:szCs w:val="24"/>
        </w:rPr>
        <w:t xml:space="preserve"> pb </w:t>
      </w:r>
    </w:p>
    <w:p w:rsidR="00574A71" w:rsidRPr="00574A71" w:rsidRDefault="00574A71" w:rsidP="00AD1EE0">
      <w:pPr>
        <w:rPr>
          <w:sz w:val="24"/>
          <w:szCs w:val="24"/>
        </w:rPr>
      </w:pPr>
    </w:p>
    <w:sectPr w:rsidR="00574A71" w:rsidRPr="00574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95E7A"/>
    <w:multiLevelType w:val="hybridMultilevel"/>
    <w:tmpl w:val="4432C1C6"/>
    <w:lvl w:ilvl="0" w:tplc="745A31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2D"/>
    <w:rsid w:val="00020C78"/>
    <w:rsid w:val="000E5D16"/>
    <w:rsid w:val="000F6000"/>
    <w:rsid w:val="001E2CC4"/>
    <w:rsid w:val="00574A71"/>
    <w:rsid w:val="00637742"/>
    <w:rsid w:val="0071292D"/>
    <w:rsid w:val="008C11FF"/>
    <w:rsid w:val="00A5304B"/>
    <w:rsid w:val="00AD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046D9"/>
  <w15:chartTrackingRefBased/>
  <w15:docId w15:val="{923BA39F-E69E-477C-9F5B-B7FF6F06A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1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Bousquel</dc:creator>
  <cp:keywords/>
  <dc:description/>
  <cp:lastModifiedBy>Pierre Bousquel</cp:lastModifiedBy>
  <cp:revision>2</cp:revision>
  <dcterms:created xsi:type="dcterms:W3CDTF">2017-06-02T17:33:00Z</dcterms:created>
  <dcterms:modified xsi:type="dcterms:W3CDTF">2017-06-02T17:33:00Z</dcterms:modified>
</cp:coreProperties>
</file>