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57A3A">
      <w:pPr>
        <w:jc w:val="both"/>
        <w:rPr>
          <w:rFonts w:ascii="Arial" w:hAnsi="Arial" w:cs="Arial"/>
          <w:sz w:val="20"/>
        </w:rPr>
      </w:pPr>
      <w:r>
        <w:rPr>
          <w:rFonts w:ascii="Arial" w:hAnsi="Arial" w:cs="Arial"/>
          <w:noProof/>
          <w:sz w:val="20"/>
        </w:rPr>
        <w:pict>
          <v:rect id="_x0000_s1026" style="position:absolute;left:0;text-align:left;margin-left:63pt;margin-top:-9pt;width:342pt;height:43.9pt;z-index:251657216" strokeweight="1.25pt">
            <v:textbox>
              <w:txbxContent>
                <w:p w:rsidR="00000000" w:rsidRDefault="00D57A3A">
                  <w:pPr>
                    <w:jc w:val="center"/>
                    <w:rPr>
                      <w:rFonts w:ascii="Arial" w:hAnsi="Arial" w:cs="Arial"/>
                      <w:sz w:val="44"/>
                    </w:rPr>
                  </w:pPr>
                  <w:r>
                    <w:rPr>
                      <w:rFonts w:ascii="Arial" w:hAnsi="Arial" w:cs="Arial"/>
                      <w:sz w:val="44"/>
                    </w:rPr>
                    <w:t>La maturation épididymaire</w:t>
                  </w:r>
                </w:p>
              </w:txbxContent>
            </v:textbox>
          </v:rect>
        </w:pic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 xml:space="preserve">Les spermatozoïdes de la tête de l’épididyme sont moins fécondants que ceux de la queue de l’épididyme : au cours du transit dans l’épididyme, les spermatozoïdes subissent des modifications qui augmentent leur pouvoir fécondant. C’est la </w:t>
      </w:r>
      <w:r>
        <w:rPr>
          <w:rFonts w:ascii="Arial" w:hAnsi="Arial" w:cs="Arial"/>
          <w:sz w:val="20"/>
          <w:u w:val="single"/>
        </w:rPr>
        <w:t>maturation</w:t>
      </w:r>
      <w:r>
        <w:rPr>
          <w:rFonts w:ascii="Arial" w:hAnsi="Arial" w:cs="Arial"/>
          <w:sz w:val="20"/>
          <w:u w:val="single"/>
        </w:rPr>
        <w:t xml:space="preserve"> épididymaire</w:t>
      </w:r>
      <w:r>
        <w:rPr>
          <w:rFonts w:ascii="Arial" w:hAnsi="Arial" w:cs="Arial"/>
          <w:sz w:val="20"/>
        </w:rPr>
        <w:t>.</w:t>
      </w:r>
    </w:p>
    <w:p w:rsidR="00000000" w:rsidRDefault="00D57A3A">
      <w:pPr>
        <w:jc w:val="both"/>
        <w:rPr>
          <w:rFonts w:ascii="Arial" w:hAnsi="Arial" w:cs="Arial"/>
          <w:sz w:val="20"/>
        </w:rPr>
      </w:pPr>
    </w:p>
    <w:p w:rsidR="00000000" w:rsidRDefault="00D57A3A">
      <w:pPr>
        <w:jc w:val="both"/>
        <w:rPr>
          <w:rFonts w:ascii="Arial" w:hAnsi="Arial" w:cs="Arial"/>
          <w:b/>
          <w:bCs/>
          <w:sz w:val="22"/>
        </w:rPr>
      </w:pPr>
      <w:r>
        <w:rPr>
          <w:rFonts w:ascii="Arial" w:hAnsi="Arial" w:cs="Arial"/>
          <w:b/>
          <w:bCs/>
          <w:sz w:val="22"/>
        </w:rPr>
        <w:t>6 points :</w:t>
      </w: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 xml:space="preserve">● </w:t>
      </w:r>
      <w:r>
        <w:rPr>
          <w:rFonts w:ascii="Arial" w:hAnsi="Arial" w:cs="Arial"/>
          <w:b/>
          <w:bCs/>
          <w:sz w:val="20"/>
          <w:u w:val="single"/>
        </w:rPr>
        <w:t>Evacuation totale des restes cytoplasmiques</w:t>
      </w:r>
    </w:p>
    <w:p w:rsidR="00000000" w:rsidRDefault="00D57A3A">
      <w:pPr>
        <w:jc w:val="both"/>
        <w:rPr>
          <w:rFonts w:ascii="Arial" w:hAnsi="Arial" w:cs="Arial"/>
          <w:sz w:val="20"/>
        </w:rPr>
      </w:pPr>
      <w:r>
        <w:rPr>
          <w:rFonts w:ascii="Arial" w:hAnsi="Arial" w:cs="Arial"/>
          <w:sz w:val="20"/>
        </w:rPr>
        <w:t>Si les restes cytoplasmiques ne sont pas totalement évacués, les spermatozoïdes seront anormaux et non-fécondants.</w: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 xml:space="preserve">● </w:t>
      </w:r>
      <w:r>
        <w:rPr>
          <w:rFonts w:ascii="Arial" w:hAnsi="Arial" w:cs="Arial"/>
          <w:b/>
          <w:bCs/>
          <w:sz w:val="20"/>
          <w:u w:val="single"/>
        </w:rPr>
        <w:t>Compaction des noyaux</w:t>
      </w:r>
    </w:p>
    <w:p w:rsidR="00000000" w:rsidRDefault="00D57A3A">
      <w:pPr>
        <w:pStyle w:val="Corpsdetexte"/>
        <w:jc w:val="both"/>
      </w:pPr>
      <w:r>
        <w:t>= Compaction plus importante par modification biochimique des nucléop</w:t>
      </w:r>
      <w:r>
        <w:t>rotéines qui entourent l’ADN (protamines et histones). Le but est de protéger l’ADN du spermatozoïde au cours de sa progression dans le tractus féminin.</w:t>
      </w: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 xml:space="preserve">● </w:t>
      </w:r>
      <w:r>
        <w:rPr>
          <w:rFonts w:ascii="Arial" w:hAnsi="Arial" w:cs="Arial"/>
          <w:b/>
          <w:bCs/>
          <w:sz w:val="20"/>
        </w:rPr>
        <w:t xml:space="preserve">Le </w:t>
      </w:r>
      <w:r>
        <w:rPr>
          <w:rFonts w:ascii="Arial" w:hAnsi="Arial" w:cs="Arial"/>
          <w:b/>
          <w:bCs/>
          <w:sz w:val="20"/>
          <w:u w:val="single"/>
        </w:rPr>
        <w:t>manchon mitochondrial</w:t>
      </w:r>
      <w:r>
        <w:rPr>
          <w:rFonts w:ascii="Arial" w:hAnsi="Arial" w:cs="Arial"/>
          <w:sz w:val="20"/>
        </w:rPr>
        <w:t xml:space="preserve"> devient fonctionnel.</w: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 xml:space="preserve">● </w:t>
      </w:r>
      <w:r>
        <w:rPr>
          <w:rFonts w:ascii="Arial" w:hAnsi="Arial" w:cs="Arial"/>
          <w:b/>
          <w:bCs/>
          <w:sz w:val="20"/>
          <w:u w:val="single"/>
        </w:rPr>
        <w:t>Modifications membranaires</w:t>
      </w:r>
      <w:r>
        <w:rPr>
          <w:rFonts w:ascii="Arial" w:hAnsi="Arial" w:cs="Arial"/>
          <w:sz w:val="20"/>
        </w:rPr>
        <w:t> : des protéines sont ad</w:t>
      </w:r>
      <w:r>
        <w:rPr>
          <w:rFonts w:ascii="Arial" w:hAnsi="Arial" w:cs="Arial"/>
          <w:sz w:val="20"/>
        </w:rPr>
        <w:t>sorbées (et pas absorbées) à la surface de la membrane par des liaisons très lâches. C’est la formation du cell coat.</w: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 xml:space="preserve">● </w:t>
      </w:r>
      <w:r>
        <w:rPr>
          <w:rFonts w:ascii="Arial" w:hAnsi="Arial" w:cs="Arial"/>
          <w:b/>
          <w:bCs/>
          <w:sz w:val="20"/>
          <w:u w:val="single"/>
        </w:rPr>
        <w:t>Décapacitation</w:t>
      </w:r>
    </w:p>
    <w:p w:rsidR="00000000" w:rsidRDefault="00D57A3A">
      <w:pPr>
        <w:jc w:val="both"/>
        <w:rPr>
          <w:rFonts w:ascii="Arial" w:hAnsi="Arial" w:cs="Arial"/>
          <w:sz w:val="20"/>
        </w:rPr>
      </w:pPr>
      <w:r>
        <w:rPr>
          <w:rFonts w:ascii="Arial" w:hAnsi="Arial" w:cs="Arial"/>
          <w:sz w:val="20"/>
        </w:rPr>
        <w:t>Des facteurs décapacitants (= glycoprotéines) sont sécrétés par le corps de l’épididyme : ils permettent de retarder la</w:t>
      </w:r>
      <w:r>
        <w:rPr>
          <w:rFonts w:ascii="Arial" w:hAnsi="Arial" w:cs="Arial"/>
          <w:sz w:val="20"/>
        </w:rPr>
        <w:t xml:space="preserve"> capacité fécondante du spermatozoïde (il a un trajet très long à parcourir).</w: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pPr>
      <w:r>
        <w:rPr>
          <w:rFonts w:ascii="Arial" w:hAnsi="Arial" w:cs="Arial"/>
          <w:sz w:val="20"/>
        </w:rPr>
        <w:t xml:space="preserve">● </w:t>
      </w:r>
      <w:r>
        <w:rPr>
          <w:rFonts w:ascii="Arial" w:hAnsi="Arial" w:cs="Arial"/>
          <w:b/>
          <w:bCs/>
          <w:sz w:val="20"/>
          <w:u w:val="single"/>
        </w:rPr>
        <w:t>Modification de la mobilité</w:t>
      </w:r>
      <w:r>
        <w:rPr>
          <w:rFonts w:ascii="Arial" w:hAnsi="Arial" w:cs="Arial"/>
          <w:sz w:val="20"/>
        </w:rPr>
        <w:t xml:space="preserve"> par acquisition de protéines sur leur membrane (protéine FMP). Au niveau de la tête de l’épididyme le trajet est rectiligne. A la fin de la matura</w:t>
      </w:r>
      <w:r>
        <w:rPr>
          <w:rFonts w:ascii="Arial" w:hAnsi="Arial" w:cs="Arial"/>
          <w:sz w:val="20"/>
        </w:rPr>
        <w:t>tion épididymaire, au niveau de la queue de l’épididyme, le trajet est sinusoïdal avec changements d’orientation et de direction de la tête. Cela permet d’augmenter l’amplitude du déplacement latéral de la tête et augmente les chances de rencontre avec l’o</w:t>
      </w:r>
      <w:r>
        <w:rPr>
          <w:rFonts w:ascii="Arial" w:hAnsi="Arial" w:cs="Arial"/>
          <w:sz w:val="20"/>
        </w:rPr>
        <w:t>vocyte.</w:t>
      </w:r>
    </w:p>
    <w:p w:rsidR="00000000" w:rsidRDefault="00D57A3A">
      <w:pPr>
        <w:jc w:val="both"/>
      </w:pPr>
    </w:p>
    <w:p w:rsidR="00000000" w:rsidRDefault="00D57A3A">
      <w:pPr>
        <w:pStyle w:val="Titre1"/>
        <w:jc w:val="both"/>
      </w:pPr>
      <w:r>
        <w:br w:type="page"/>
      </w:r>
    </w:p>
    <w:p w:rsidR="00000000" w:rsidRDefault="00D57A3A">
      <w:pPr>
        <w:jc w:val="both"/>
        <w:rPr>
          <w:rFonts w:ascii="Arial" w:hAnsi="Arial" w:cs="Arial"/>
          <w:sz w:val="20"/>
        </w:rPr>
      </w:pPr>
      <w:r>
        <w:rPr>
          <w:noProof/>
        </w:rPr>
        <w:pict>
          <v:rect id="_x0000_s1027" style="position:absolute;left:0;text-align:left;margin-left:45pt;margin-top:-58.8pt;width:387pt;height:36pt;z-index:251658240" strokeweight="1.25pt">
            <v:textbox>
              <w:txbxContent>
                <w:p w:rsidR="00000000" w:rsidRDefault="00D57A3A">
                  <w:pPr>
                    <w:jc w:val="center"/>
                    <w:rPr>
                      <w:rFonts w:ascii="Arial" w:hAnsi="Arial" w:cs="Arial"/>
                      <w:sz w:val="44"/>
                    </w:rPr>
                  </w:pPr>
                  <w:r>
                    <w:rPr>
                      <w:rFonts w:ascii="Arial" w:hAnsi="Arial" w:cs="Arial"/>
                      <w:sz w:val="44"/>
                    </w:rPr>
                    <w:t>Régulation de la fonction ovarienne</w:t>
                  </w:r>
                </w:p>
              </w:txbxContent>
            </v:textbox>
          </v:rect>
        </w:pict>
      </w:r>
    </w:p>
    <w:p w:rsidR="00000000" w:rsidRDefault="00D57A3A">
      <w:pPr>
        <w:pStyle w:val="Titre8"/>
        <w:jc w:val="both"/>
      </w:pPr>
      <w:r>
        <w:t>REGULATION ENDOCRINE</w:t>
      </w:r>
    </w:p>
    <w:p w:rsidR="00000000" w:rsidRDefault="00D57A3A">
      <w:pPr>
        <w:jc w:val="both"/>
      </w:pPr>
    </w:p>
    <w:p w:rsidR="00000000" w:rsidRDefault="00D57A3A">
      <w:pPr>
        <w:pStyle w:val="Titre2"/>
        <w:jc w:val="both"/>
        <w:rPr>
          <w:b w:val="0"/>
          <w:bCs w:val="0"/>
          <w:sz w:val="20"/>
          <w:u w:val="none"/>
        </w:rPr>
      </w:pPr>
      <w:r>
        <w:rPr>
          <w:b w:val="0"/>
          <w:bCs w:val="0"/>
          <w:sz w:val="20"/>
          <w:u w:val="none"/>
        </w:rPr>
        <w:t xml:space="preserve">La même hormone hypothalamique (GnRH = LHRH) contrôle la sécrétion de LH et de FSH. </w:t>
      </w:r>
    </w:p>
    <w:p w:rsidR="00000000" w:rsidRDefault="00D57A3A">
      <w:pPr>
        <w:pStyle w:val="Titre2"/>
        <w:jc w:val="both"/>
        <w:rPr>
          <w:b w:val="0"/>
          <w:bCs w:val="0"/>
          <w:sz w:val="20"/>
          <w:u w:val="none"/>
        </w:rPr>
      </w:pPr>
    </w:p>
    <w:p w:rsidR="00000000" w:rsidRDefault="00D57A3A">
      <w:pPr>
        <w:pStyle w:val="Titre2"/>
        <w:jc w:val="both"/>
        <w:rPr>
          <w:b w:val="0"/>
          <w:bCs w:val="0"/>
          <w:sz w:val="20"/>
          <w:u w:val="none"/>
        </w:rPr>
      </w:pPr>
      <w:r>
        <w:rPr>
          <w:b w:val="0"/>
          <w:bCs w:val="0"/>
          <w:sz w:val="20"/>
          <w:u w:val="none"/>
        </w:rPr>
        <w:t>Elle est sécrétée par l’hypothalamus, puis emprunte le système porte de Popa pour venir stimuler l’hypophyse. La GnRH ne doit pas passe</w:t>
      </w:r>
      <w:r>
        <w:rPr>
          <w:b w:val="0"/>
          <w:bCs w:val="0"/>
          <w:sz w:val="20"/>
          <w:u w:val="none"/>
        </w:rPr>
        <w:t>r dans la circulation générale car l’hypothalamus communique par la fréquence et l’amplitude des pulses de GnRH.</w:t>
      </w:r>
    </w:p>
    <w:p w:rsidR="00000000" w:rsidRDefault="00D57A3A">
      <w:pPr>
        <w:jc w:val="both"/>
        <w:rPr>
          <w:rFonts w:ascii="Arial" w:hAnsi="Arial" w:cs="Arial"/>
          <w:sz w:val="20"/>
        </w:rPr>
      </w:pPr>
      <w:r>
        <w:rPr>
          <w:rFonts w:ascii="Arial" w:hAnsi="Arial" w:cs="Arial"/>
          <w:sz w:val="20"/>
        </w:rPr>
        <w:t>Elle stimule ainsi l’hypophyse qui sécrète la LH et la FSH en quantités variables selon la pulsatilité de GnRH. Ces hormones gonadotropes agiss</w:t>
      </w:r>
      <w:r>
        <w:rPr>
          <w:rFonts w:ascii="Arial" w:hAnsi="Arial" w:cs="Arial"/>
          <w:sz w:val="20"/>
        </w:rPr>
        <w:t>ent de manière endocrine sur les cellules ovariennes.</w:t>
      </w: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La FSH agit sur les cellules de la granulosa qui produit ainsi l’aromatase.</w:t>
      </w:r>
    </w:p>
    <w:p w:rsidR="00000000" w:rsidRDefault="00D57A3A">
      <w:pPr>
        <w:jc w:val="both"/>
      </w:pPr>
      <w:r>
        <w:rPr>
          <w:rFonts w:ascii="Arial" w:hAnsi="Arial" w:cs="Arial"/>
          <w:sz w:val="20"/>
        </w:rPr>
        <w:t xml:space="preserve">La LH agit sur les cellules de la thèque interne et stimule la stéroïdogenèse, c’est à dire la sécrétion de </w:t>
      </w:r>
      <w:r>
        <w:rPr>
          <w:rFonts w:ascii="Arial" w:hAnsi="Arial" w:cs="Arial"/>
          <w:sz w:val="20"/>
        </w:rPr>
        <w:t>Δ4 androstendione. La Δ4 androstendione est une hormone stéroïde de la classe des androgènes. Elle est donc lipophile et peut traverser la membrane de Slavjanski pour se rendre dans les cellules de la granulosa où elle est aromatisée en oestradiol.</w:t>
      </w:r>
      <w:r>
        <w:rPr>
          <w:rFonts w:ascii="Arial" w:hAnsi="Arial" w:cs="Arial"/>
          <w:b/>
          <w:bCs/>
          <w:sz w:val="20"/>
        </w:rPr>
        <w:t xml:space="preserve"> </w:t>
      </w:r>
      <w:r>
        <w:rPr>
          <w:rFonts w:ascii="Arial" w:hAnsi="Arial" w:cs="Arial"/>
          <w:sz w:val="20"/>
        </w:rPr>
        <w:t>La Δ4 a</w:t>
      </w:r>
      <w:r>
        <w:rPr>
          <w:rFonts w:ascii="Arial" w:hAnsi="Arial" w:cs="Arial"/>
          <w:sz w:val="20"/>
        </w:rPr>
        <w:t xml:space="preserve">ndrostendione passe également dans le sang et sera transformée en testostérone : une femme a des taux conséquents de testostérone </w:t>
      </w:r>
      <w:r>
        <w:rPr>
          <w:rFonts w:ascii="Arial" w:hAnsi="Arial" w:cs="Arial"/>
          <w:i/>
          <w:iCs/>
          <w:sz w:val="20"/>
        </w:rPr>
        <w:t>(par exemple, les boutons d’acné chez la fille sont dus à un excès de testostérone)</w:t>
      </w:r>
      <w:r>
        <w:rPr>
          <w:rFonts w:ascii="Arial" w:hAnsi="Arial" w:cs="Arial"/>
          <w:sz w:val="20"/>
        </w:rPr>
        <w:t>.</w:t>
      </w:r>
    </w:p>
    <w:p w:rsidR="00000000" w:rsidRDefault="00D57A3A">
      <w:pPr>
        <w:jc w:val="both"/>
        <w:rPr>
          <w:rFonts w:ascii="Arial" w:hAnsi="Arial" w:cs="Arial"/>
          <w:sz w:val="20"/>
        </w:rPr>
      </w:pPr>
    </w:p>
    <w:p w:rsidR="00000000" w:rsidRDefault="00D57A3A">
      <w:pPr>
        <w:pStyle w:val="Titre9"/>
        <w:jc w:val="both"/>
      </w:pPr>
      <w:r>
        <w:t>Mécanisme d’action</w:t>
      </w:r>
    </w:p>
    <w:p w:rsidR="00000000" w:rsidRDefault="00D57A3A">
      <w:pPr>
        <w:jc w:val="both"/>
        <w:rPr>
          <w:rFonts w:ascii="Arial" w:hAnsi="Arial" w:cs="Arial"/>
          <w:sz w:val="20"/>
        </w:rPr>
      </w:pPr>
      <w:r>
        <w:rPr>
          <w:rFonts w:ascii="Arial" w:hAnsi="Arial" w:cs="Arial"/>
          <w:sz w:val="20"/>
        </w:rPr>
        <w:t>Les hormones gonadotr</w:t>
      </w:r>
      <w:r>
        <w:rPr>
          <w:rFonts w:ascii="Arial" w:hAnsi="Arial" w:cs="Arial"/>
          <w:sz w:val="20"/>
        </w:rPr>
        <w:t>opes sont des hormones polypeptidiques, elles sont donc hydrophiles et se fixent sur les récepteurs membranaires des cellules cibles (granulosa et thèque interne). Ensuite il y a transduction du signal comme vous l’avez sûrement vu en bio cell : fixation l</w:t>
      </w:r>
      <w:r>
        <w:rPr>
          <w:rFonts w:ascii="Arial" w:hAnsi="Arial" w:cs="Arial"/>
          <w:sz w:val="20"/>
        </w:rPr>
        <w:t>igand/récepteur au niveau de la membrane plasmique → transduction du signal via l’AMPc → facteurs de transcription → transcription de certains gènes.</w:t>
      </w:r>
    </w:p>
    <w:p w:rsidR="00000000" w:rsidRDefault="00D57A3A">
      <w:pPr>
        <w:jc w:val="both"/>
        <w:rPr>
          <w:rFonts w:ascii="Arial" w:hAnsi="Arial" w:cs="Arial"/>
          <w:sz w:val="20"/>
        </w:rPr>
      </w:pPr>
      <w:r>
        <w:rPr>
          <w:rFonts w:ascii="Arial" w:hAnsi="Arial" w:cs="Arial"/>
          <w:sz w:val="20"/>
        </w:rPr>
        <w:t>Au niveau de la granulosa, c’est de gène de l’aromatase. Au niveau de la thèque interne, ce sont les gènes</w:t>
      </w:r>
      <w:r>
        <w:rPr>
          <w:rFonts w:ascii="Arial" w:hAnsi="Arial" w:cs="Arial"/>
          <w:sz w:val="20"/>
        </w:rPr>
        <w:t xml:space="preserve"> des enzymes de la stéroïdogenèse.</w:t>
      </w: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En fin de phase folliculaire puis en phase lutéale, les cellules de la granulosa expriment des récepteurs à la LH : la LH stimule la stéroïdogenèse des grandes cellules lutéales, c’est à dire la formation de progestérone</w:t>
      </w:r>
      <w:r>
        <w:rPr>
          <w:rFonts w:ascii="Arial" w:hAnsi="Arial" w:cs="Arial"/>
          <w:sz w:val="20"/>
        </w:rPr>
        <w:t>.</w: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pStyle w:val="Titre9"/>
        <w:jc w:val="both"/>
        <w:rPr>
          <w:sz w:val="22"/>
        </w:rPr>
      </w:pPr>
      <w:r>
        <w:rPr>
          <w:sz w:val="22"/>
        </w:rPr>
        <w:t>REGULATION PARACRINE</w:t>
      </w: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C’est la communication entre les cellules de la granulosa et de la thèque interne par le biais de cytokines.</w:t>
      </w: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 xml:space="preserve">Les cellules de la thèque sécrètent EGF et </w:t>
      </w:r>
      <w:r>
        <w:rPr>
          <w:rFonts w:ascii="Arial" w:hAnsi="Arial" w:cs="Arial"/>
          <w:sz w:val="20"/>
        </w:rPr>
        <w:t>TGFβ qui vont se fixer sur des récepteurs membranaires des cellules de la granulosa.</w:t>
      </w:r>
    </w:p>
    <w:p w:rsidR="00000000" w:rsidRDefault="00D57A3A">
      <w:pPr>
        <w:jc w:val="both"/>
        <w:rPr>
          <w:rFonts w:ascii="Arial" w:hAnsi="Arial" w:cs="Arial"/>
          <w:sz w:val="20"/>
        </w:rPr>
      </w:pPr>
      <w:r>
        <w:rPr>
          <w:rFonts w:ascii="Arial" w:hAnsi="Arial" w:cs="Arial"/>
          <w:sz w:val="20"/>
        </w:rPr>
        <w:t>EGF stimule la prolifération et freine la différenciation. Au contraire TGFβ a un effet antimitotique et stimule la différenciation.</w:t>
      </w: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Stimulateurs de la mitose = TNFα, int</w:t>
      </w:r>
      <w:r>
        <w:rPr>
          <w:rFonts w:ascii="Arial" w:hAnsi="Arial" w:cs="Arial"/>
          <w:sz w:val="20"/>
        </w:rPr>
        <w:t>erleukine 1, INFγ, EGF, oestradiol 17β, IGF1</w:t>
      </w:r>
    </w:p>
    <w:p w:rsidR="00000000" w:rsidRDefault="00D57A3A">
      <w:pPr>
        <w:jc w:val="both"/>
        <w:rPr>
          <w:rFonts w:ascii="Arial" w:hAnsi="Arial" w:cs="Arial"/>
          <w:sz w:val="20"/>
        </w:rPr>
      </w:pPr>
      <w:r>
        <w:rPr>
          <w:rFonts w:ascii="Arial" w:hAnsi="Arial" w:cs="Arial"/>
          <w:sz w:val="20"/>
        </w:rPr>
        <w:t>Stimulateurs de la différenciation = TGFβ</w:t>
      </w:r>
    </w:p>
    <w:p w:rsidR="00000000" w:rsidRDefault="00D57A3A">
      <w:pPr>
        <w:jc w:val="both"/>
        <w:rPr>
          <w:rFonts w:ascii="Arial" w:hAnsi="Arial" w:cs="Arial"/>
          <w:sz w:val="20"/>
        </w:rPr>
      </w:pPr>
    </w:p>
    <w:p w:rsidR="00000000" w:rsidRDefault="00D57A3A">
      <w:pPr>
        <w:numPr>
          <w:ilvl w:val="0"/>
          <w:numId w:val="10"/>
        </w:numPr>
        <w:jc w:val="both"/>
        <w:rPr>
          <w:rFonts w:ascii="Arial" w:hAnsi="Arial" w:cs="Arial"/>
          <w:sz w:val="20"/>
        </w:rPr>
      </w:pPr>
      <w:r>
        <w:rPr>
          <w:rFonts w:ascii="Arial" w:hAnsi="Arial" w:cs="Arial"/>
          <w:sz w:val="20"/>
        </w:rPr>
        <w:t>Les cellules de la thèque interne régulent les deux fonctions de la granulosa (prolifération et différenciation).</w: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pStyle w:val="Titre2"/>
        <w:jc w:val="both"/>
        <w:rPr>
          <w:sz w:val="22"/>
        </w:rPr>
      </w:pPr>
      <w:r>
        <w:rPr>
          <w:sz w:val="22"/>
        </w:rPr>
        <w:t>REGULATION JUXTACRINE</w:t>
      </w:r>
    </w:p>
    <w:p w:rsidR="00000000" w:rsidRDefault="00D57A3A">
      <w:pPr>
        <w:jc w:val="both"/>
      </w:pPr>
    </w:p>
    <w:p w:rsidR="00000000" w:rsidRDefault="00D57A3A">
      <w:pPr>
        <w:jc w:val="both"/>
        <w:rPr>
          <w:rFonts w:ascii="Arial" w:hAnsi="Arial" w:cs="Arial"/>
          <w:sz w:val="20"/>
        </w:rPr>
      </w:pPr>
      <w:r>
        <w:rPr>
          <w:rFonts w:ascii="Arial" w:hAnsi="Arial" w:cs="Arial"/>
          <w:sz w:val="20"/>
        </w:rPr>
        <w:t>C’est la régulation via les g</w:t>
      </w:r>
      <w:r>
        <w:rPr>
          <w:rFonts w:ascii="Arial" w:hAnsi="Arial" w:cs="Arial"/>
          <w:sz w:val="20"/>
        </w:rPr>
        <w:t>ap-jonctions :</w:t>
      </w:r>
    </w:p>
    <w:p w:rsidR="00000000" w:rsidRDefault="00D57A3A">
      <w:pPr>
        <w:numPr>
          <w:ilvl w:val="0"/>
          <w:numId w:val="11"/>
        </w:numPr>
        <w:jc w:val="both"/>
        <w:rPr>
          <w:rFonts w:ascii="Arial" w:hAnsi="Arial" w:cs="Arial"/>
          <w:sz w:val="20"/>
        </w:rPr>
      </w:pPr>
      <w:r>
        <w:rPr>
          <w:rFonts w:ascii="Arial" w:hAnsi="Arial" w:cs="Arial"/>
          <w:sz w:val="20"/>
        </w:rPr>
        <w:t>granulosa – granulosa : harmonisation de leur fonctionnement (les cellules de la granulosa coordonnent leurs actions)</w:t>
      </w:r>
    </w:p>
    <w:p w:rsidR="00000000" w:rsidRDefault="00D57A3A">
      <w:pPr>
        <w:numPr>
          <w:ilvl w:val="0"/>
          <w:numId w:val="11"/>
        </w:numPr>
        <w:jc w:val="both"/>
        <w:rPr>
          <w:rFonts w:ascii="Arial" w:hAnsi="Arial" w:cs="Arial"/>
          <w:sz w:val="20"/>
        </w:rPr>
      </w:pPr>
      <w:r>
        <w:rPr>
          <w:rFonts w:ascii="Arial" w:hAnsi="Arial" w:cs="Arial"/>
          <w:sz w:val="20"/>
        </w:rPr>
        <w:t>corona radiata - membrane ovocytaire : blocage de la méiose I</w:t>
      </w:r>
    </w:p>
    <w:p w:rsidR="00000000" w:rsidRDefault="00D57A3A">
      <w:pPr>
        <w:numPr>
          <w:ilvl w:val="0"/>
          <w:numId w:val="11"/>
        </w:numPr>
        <w:jc w:val="both"/>
        <w:rPr>
          <w:rFonts w:ascii="Arial" w:hAnsi="Arial" w:cs="Arial"/>
          <w:sz w:val="20"/>
        </w:rPr>
      </w:pPr>
      <w:r>
        <w:rPr>
          <w:rFonts w:ascii="Arial" w:hAnsi="Arial" w:cs="Arial"/>
          <w:sz w:val="20"/>
        </w:rPr>
        <w:t>cumulus – cumulus</w:t>
      </w:r>
    </w:p>
    <w:p w:rsidR="00000000" w:rsidRDefault="00D57A3A">
      <w:pPr>
        <w:numPr>
          <w:ilvl w:val="0"/>
          <w:numId w:val="11"/>
        </w:numPr>
        <w:jc w:val="both"/>
        <w:rPr>
          <w:rFonts w:ascii="Arial" w:hAnsi="Arial" w:cs="Arial"/>
          <w:b/>
          <w:bCs/>
          <w:sz w:val="20"/>
        </w:rPr>
      </w:pPr>
      <w:r>
        <w:rPr>
          <w:rFonts w:ascii="Arial" w:hAnsi="Arial" w:cs="Arial"/>
          <w:sz w:val="20"/>
        </w:rPr>
        <w:t>thèque - thèque</w:t>
      </w:r>
    </w:p>
    <w:p w:rsidR="00000000" w:rsidRDefault="00D57A3A">
      <w:pPr>
        <w:pStyle w:val="Titre2"/>
        <w:jc w:val="both"/>
      </w:pPr>
      <w:r>
        <w:lastRenderedPageBreak/>
        <w:t>EVOLUTION CYCLIQUE DES TAUX</w:t>
      </w:r>
      <w:r>
        <w:t xml:space="preserve"> HORMONAUX</w: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Il y a deux phases dans le cycle menstruel : la phase folliculaire (J1 à J14) et la phase lutéale (J14 à J28).</w:t>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00139">
      <w:pPr>
        <w:jc w:val="center"/>
        <w:rPr>
          <w:rFonts w:ascii="Arial" w:hAnsi="Arial" w:cs="Arial"/>
          <w:sz w:val="20"/>
        </w:rPr>
      </w:pPr>
      <w:r>
        <w:rPr>
          <w:noProof/>
        </w:rPr>
        <w:drawing>
          <wp:inline distT="0" distB="0" distL="0" distR="0">
            <wp:extent cx="4899660" cy="2042160"/>
            <wp:effectExtent l="19050" t="0" r="0" b="0"/>
            <wp:docPr id="1" name="Image 1" descr="variation des hormones au cours du cycle ovar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iation des hormones au cours du cycle ovarien."/>
                    <pic:cNvPicPr>
                      <a:picLocks noChangeAspect="1" noChangeArrowheads="1"/>
                    </pic:cNvPicPr>
                  </pic:nvPicPr>
                  <pic:blipFill>
                    <a:blip r:embed="rId5" cstate="print"/>
                    <a:srcRect/>
                    <a:stretch>
                      <a:fillRect/>
                    </a:stretch>
                  </pic:blipFill>
                  <pic:spPr bwMode="auto">
                    <a:xfrm>
                      <a:off x="0" y="0"/>
                      <a:ext cx="4899660" cy="2042160"/>
                    </a:xfrm>
                    <a:prstGeom prst="rect">
                      <a:avLst/>
                    </a:prstGeom>
                    <a:noFill/>
                    <a:ln w="9525">
                      <a:noFill/>
                      <a:miter lim="800000"/>
                      <a:headEnd/>
                      <a:tailEnd/>
                    </a:ln>
                  </pic:spPr>
                </pic:pic>
              </a:graphicData>
            </a:graphic>
          </wp:inline>
        </w:drawing>
      </w: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jc w:val="both"/>
        <w:rPr>
          <w:rFonts w:ascii="Arial" w:hAnsi="Arial" w:cs="Arial"/>
          <w:sz w:val="20"/>
        </w:rPr>
      </w:pPr>
    </w:p>
    <w:p w:rsidR="00000000" w:rsidRDefault="00D57A3A">
      <w:pPr>
        <w:pStyle w:val="Titre2"/>
        <w:numPr>
          <w:ilvl w:val="1"/>
          <w:numId w:val="8"/>
        </w:numPr>
        <w:tabs>
          <w:tab w:val="clear" w:pos="1440"/>
        </w:tabs>
        <w:ind w:left="900"/>
        <w:jc w:val="both"/>
        <w:rPr>
          <w:color w:val="800000"/>
          <w:sz w:val="20"/>
        </w:rPr>
      </w:pPr>
      <w:r>
        <w:rPr>
          <w:color w:val="800000"/>
          <w:sz w:val="20"/>
        </w:rPr>
        <w:t>FSH</w:t>
      </w:r>
    </w:p>
    <w:p w:rsidR="00000000" w:rsidRDefault="00D57A3A">
      <w:pPr>
        <w:jc w:val="both"/>
      </w:pPr>
      <w:r>
        <w:rPr>
          <w:rFonts w:ascii="Arial" w:hAnsi="Arial" w:cs="Arial"/>
          <w:sz w:val="20"/>
        </w:rPr>
        <w:t>Le taux de FSH augmente au cours de la phase folliculaire : il est maximal au 7</w:t>
      </w:r>
      <w:r>
        <w:rPr>
          <w:rFonts w:ascii="Arial" w:hAnsi="Arial" w:cs="Arial"/>
          <w:sz w:val="20"/>
          <w:vertAlign w:val="superscript"/>
        </w:rPr>
        <w:t>e</w:t>
      </w:r>
      <w:r>
        <w:rPr>
          <w:rFonts w:ascii="Arial" w:hAnsi="Arial" w:cs="Arial"/>
          <w:sz w:val="20"/>
        </w:rPr>
        <w:t xml:space="preserve"> jour, puis diminue. Cette chute du taux de FSH est capitale car elle permet une monoovulation.</w:t>
      </w:r>
    </w:p>
    <w:p w:rsidR="00000000" w:rsidRDefault="00D57A3A">
      <w:pPr>
        <w:jc w:val="both"/>
        <w:rPr>
          <w:rFonts w:ascii="Arial" w:hAnsi="Arial" w:cs="Arial"/>
          <w:sz w:val="20"/>
        </w:rPr>
      </w:pPr>
      <w:r>
        <w:rPr>
          <w:rFonts w:ascii="Arial" w:hAnsi="Arial" w:cs="Arial"/>
          <w:sz w:val="20"/>
        </w:rPr>
        <w:t>Dans la période pré-ovulatoire, le taux de FSH fait un 2</w:t>
      </w:r>
      <w:r>
        <w:rPr>
          <w:rFonts w:ascii="Arial" w:hAnsi="Arial" w:cs="Arial"/>
          <w:sz w:val="20"/>
          <w:vertAlign w:val="superscript"/>
        </w:rPr>
        <w:t>e</w:t>
      </w:r>
      <w:r>
        <w:rPr>
          <w:rFonts w:ascii="Arial" w:hAnsi="Arial" w:cs="Arial"/>
          <w:sz w:val="20"/>
        </w:rPr>
        <w:t xml:space="preserve"> pic qui permet le</w:t>
      </w:r>
      <w:r>
        <w:rPr>
          <w:rFonts w:ascii="Arial" w:hAnsi="Arial" w:cs="Arial"/>
          <w:sz w:val="20"/>
        </w:rPr>
        <w:t xml:space="preserve"> recrutement des follicules pour les cycles suivants.</w:t>
      </w:r>
    </w:p>
    <w:p w:rsidR="00000000" w:rsidRDefault="00D57A3A">
      <w:pPr>
        <w:jc w:val="both"/>
        <w:rPr>
          <w:rFonts w:ascii="Arial" w:hAnsi="Arial" w:cs="Arial"/>
          <w:sz w:val="20"/>
        </w:rPr>
      </w:pPr>
      <w:r>
        <w:rPr>
          <w:rFonts w:ascii="Arial" w:hAnsi="Arial" w:cs="Arial"/>
          <w:sz w:val="20"/>
        </w:rPr>
        <w:t>Le taux de FSH est très faible en phase lutéale.</w:t>
      </w:r>
    </w:p>
    <w:p w:rsidR="00000000" w:rsidRDefault="00D57A3A">
      <w:pPr>
        <w:jc w:val="both"/>
        <w:rPr>
          <w:rFonts w:ascii="Arial" w:hAnsi="Arial" w:cs="Arial"/>
          <w:sz w:val="20"/>
        </w:rPr>
      </w:pPr>
      <w:r>
        <w:rPr>
          <w:rFonts w:ascii="Arial" w:hAnsi="Arial" w:cs="Arial"/>
          <w:sz w:val="20"/>
        </w:rPr>
        <w:t>La FSH subit un rétrocontrôle négatif via l’inhibine.</w:t>
      </w:r>
    </w:p>
    <w:p w:rsidR="00000000" w:rsidRDefault="00D57A3A">
      <w:pPr>
        <w:jc w:val="both"/>
      </w:pPr>
    </w:p>
    <w:p w:rsidR="00000000" w:rsidRDefault="00D57A3A">
      <w:pPr>
        <w:numPr>
          <w:ilvl w:val="1"/>
          <w:numId w:val="8"/>
        </w:numPr>
        <w:tabs>
          <w:tab w:val="clear" w:pos="1440"/>
        </w:tabs>
        <w:ind w:left="900"/>
        <w:jc w:val="both"/>
        <w:rPr>
          <w:rFonts w:ascii="Arial" w:hAnsi="Arial" w:cs="Arial"/>
          <w:b/>
          <w:bCs/>
          <w:color w:val="0000FF"/>
          <w:sz w:val="20"/>
          <w:u w:val="single"/>
        </w:rPr>
      </w:pPr>
      <w:r>
        <w:rPr>
          <w:rFonts w:ascii="Arial" w:hAnsi="Arial" w:cs="Arial"/>
          <w:b/>
          <w:bCs/>
          <w:color w:val="0000FF"/>
          <w:sz w:val="20"/>
          <w:u w:val="single"/>
        </w:rPr>
        <w:t>LH</w:t>
      </w:r>
    </w:p>
    <w:p w:rsidR="00000000" w:rsidRDefault="00D57A3A">
      <w:pPr>
        <w:jc w:val="both"/>
        <w:rPr>
          <w:rFonts w:ascii="Arial" w:hAnsi="Arial" w:cs="Arial"/>
          <w:sz w:val="20"/>
        </w:rPr>
      </w:pPr>
      <w:r>
        <w:rPr>
          <w:rFonts w:ascii="Arial" w:hAnsi="Arial" w:cs="Arial"/>
          <w:sz w:val="20"/>
        </w:rPr>
        <w:t>Un pic de LH au 14</w:t>
      </w:r>
      <w:r>
        <w:rPr>
          <w:rFonts w:ascii="Arial" w:hAnsi="Arial" w:cs="Arial"/>
          <w:sz w:val="20"/>
          <w:vertAlign w:val="superscript"/>
        </w:rPr>
        <w:t>e</w:t>
      </w:r>
      <w:r>
        <w:rPr>
          <w:rFonts w:ascii="Arial" w:hAnsi="Arial" w:cs="Arial"/>
          <w:sz w:val="20"/>
        </w:rPr>
        <w:t xml:space="preserve"> jour déclenche l’ovulation.</w:t>
      </w:r>
    </w:p>
    <w:p w:rsidR="00000000" w:rsidRDefault="00D57A3A">
      <w:pPr>
        <w:pStyle w:val="Titre2"/>
        <w:jc w:val="both"/>
        <w:rPr>
          <w:rFonts w:ascii="Times New Roman" w:hAnsi="Times New Roman" w:cs="Times New Roman"/>
          <w:b w:val="0"/>
          <w:bCs w:val="0"/>
          <w:u w:val="none"/>
        </w:rPr>
      </w:pPr>
    </w:p>
    <w:p w:rsidR="00000000" w:rsidRDefault="00D57A3A">
      <w:pPr>
        <w:pStyle w:val="Titre2"/>
        <w:numPr>
          <w:ilvl w:val="1"/>
          <w:numId w:val="8"/>
        </w:numPr>
        <w:tabs>
          <w:tab w:val="clear" w:pos="1440"/>
        </w:tabs>
        <w:ind w:left="900"/>
        <w:jc w:val="both"/>
        <w:rPr>
          <w:color w:val="006600"/>
          <w:sz w:val="20"/>
        </w:rPr>
      </w:pPr>
      <w:r>
        <w:rPr>
          <w:color w:val="006600"/>
          <w:sz w:val="20"/>
        </w:rPr>
        <w:t>Oestradiol</w:t>
      </w:r>
    </w:p>
    <w:p w:rsidR="00000000" w:rsidRDefault="00D57A3A">
      <w:pPr>
        <w:pStyle w:val="Titre5"/>
        <w:numPr>
          <w:ilvl w:val="0"/>
          <w:numId w:val="0"/>
        </w:numPr>
        <w:jc w:val="both"/>
        <w:rPr>
          <w:b w:val="0"/>
          <w:bCs w:val="0"/>
          <w:sz w:val="20"/>
          <w:u w:val="none"/>
        </w:rPr>
      </w:pPr>
      <w:r>
        <w:rPr>
          <w:b w:val="0"/>
          <w:bCs w:val="0"/>
          <w:sz w:val="20"/>
          <w:u w:val="none"/>
        </w:rPr>
        <w:t>L’œstradiol a un double rôle : para</w:t>
      </w:r>
      <w:r>
        <w:rPr>
          <w:b w:val="0"/>
          <w:bCs w:val="0"/>
          <w:sz w:val="20"/>
          <w:u w:val="none"/>
        </w:rPr>
        <w:t>crine (stimulation des cellules de la granulosa) et endocrine (passe dans le sang vers des tissus cibles)</w:t>
      </w:r>
    </w:p>
    <w:p w:rsidR="00000000" w:rsidRDefault="00D57A3A">
      <w:pPr>
        <w:jc w:val="both"/>
        <w:rPr>
          <w:rFonts w:ascii="Arial" w:hAnsi="Arial" w:cs="Arial"/>
          <w:sz w:val="20"/>
        </w:rPr>
      </w:pPr>
      <w:r>
        <w:rPr>
          <w:rFonts w:ascii="Arial" w:hAnsi="Arial" w:cs="Arial"/>
          <w:sz w:val="20"/>
        </w:rPr>
        <w:t>Le taux d’œstradiol augmente au cours de la phase folliculaire : cela permet la prolifération des cellules de la granulosa.</w:t>
      </w:r>
    </w:p>
    <w:p w:rsidR="00000000" w:rsidRDefault="00D57A3A">
      <w:pPr>
        <w:jc w:val="both"/>
        <w:rPr>
          <w:rFonts w:ascii="Arial" w:hAnsi="Arial" w:cs="Arial"/>
          <w:sz w:val="20"/>
        </w:rPr>
      </w:pPr>
      <w:r>
        <w:rPr>
          <w:rFonts w:ascii="Arial" w:hAnsi="Arial" w:cs="Arial"/>
          <w:sz w:val="20"/>
        </w:rPr>
        <w:t>Il décrit un pic au 11</w:t>
      </w:r>
      <w:r>
        <w:rPr>
          <w:rFonts w:ascii="Arial" w:hAnsi="Arial" w:cs="Arial"/>
          <w:sz w:val="20"/>
          <w:vertAlign w:val="superscript"/>
        </w:rPr>
        <w:t>e</w:t>
      </w:r>
      <w:r>
        <w:rPr>
          <w:rFonts w:ascii="Arial" w:hAnsi="Arial" w:cs="Arial"/>
          <w:sz w:val="20"/>
        </w:rPr>
        <w:t xml:space="preserve"> 12</w:t>
      </w:r>
      <w:r>
        <w:rPr>
          <w:rFonts w:ascii="Arial" w:hAnsi="Arial" w:cs="Arial"/>
          <w:sz w:val="20"/>
          <w:vertAlign w:val="superscript"/>
        </w:rPr>
        <w:t>e</w:t>
      </w:r>
      <w:r>
        <w:rPr>
          <w:rFonts w:ascii="Arial" w:hAnsi="Arial" w:cs="Arial"/>
          <w:sz w:val="20"/>
        </w:rPr>
        <w:t xml:space="preserve"> jours entraîne le lendemain le pic de LH (rétrocontrôle positif).</w:t>
      </w:r>
    </w:p>
    <w:p w:rsidR="00000000" w:rsidRDefault="00D57A3A">
      <w:pPr>
        <w:jc w:val="both"/>
        <w:rPr>
          <w:rFonts w:ascii="Arial" w:hAnsi="Arial" w:cs="Arial"/>
          <w:sz w:val="20"/>
        </w:rPr>
      </w:pPr>
    </w:p>
    <w:p w:rsidR="00000000" w:rsidRDefault="00D57A3A">
      <w:pPr>
        <w:numPr>
          <w:ilvl w:val="1"/>
          <w:numId w:val="8"/>
        </w:numPr>
        <w:tabs>
          <w:tab w:val="clear" w:pos="1440"/>
        </w:tabs>
        <w:ind w:left="900"/>
        <w:jc w:val="both"/>
        <w:rPr>
          <w:rFonts w:ascii="Arial" w:hAnsi="Arial" w:cs="Arial"/>
          <w:b/>
          <w:bCs/>
          <w:color w:val="800080"/>
          <w:sz w:val="20"/>
          <w:u w:val="single"/>
        </w:rPr>
      </w:pPr>
      <w:r>
        <w:rPr>
          <w:rFonts w:ascii="Arial" w:hAnsi="Arial" w:cs="Arial"/>
          <w:b/>
          <w:bCs/>
          <w:color w:val="800080"/>
          <w:sz w:val="20"/>
          <w:u w:val="single"/>
        </w:rPr>
        <w:t>Progestérone</w:t>
      </w:r>
    </w:p>
    <w:p w:rsidR="00000000" w:rsidRDefault="00D57A3A">
      <w:pPr>
        <w:jc w:val="both"/>
        <w:rPr>
          <w:rFonts w:ascii="Arial" w:hAnsi="Arial" w:cs="Arial"/>
          <w:sz w:val="20"/>
        </w:rPr>
      </w:pPr>
      <w:r>
        <w:rPr>
          <w:rFonts w:ascii="Arial" w:hAnsi="Arial" w:cs="Arial"/>
          <w:sz w:val="20"/>
        </w:rPr>
        <w:t>Le taux de progestérone est très bas en phase folliculaire. Il décrit une c</w:t>
      </w:r>
      <w:r>
        <w:rPr>
          <w:rFonts w:ascii="Arial" w:hAnsi="Arial" w:cs="Arial"/>
          <w:sz w:val="20"/>
          <w:u w:val="single"/>
        </w:rPr>
        <w:t>loche en phase lutéale</w:t>
      </w:r>
      <w:r>
        <w:rPr>
          <w:rFonts w:ascii="Arial" w:hAnsi="Arial" w:cs="Arial"/>
          <w:sz w:val="20"/>
        </w:rPr>
        <w:t> :</w:t>
      </w:r>
    </w:p>
    <w:p w:rsidR="00000000" w:rsidRDefault="00D57A3A">
      <w:pPr>
        <w:numPr>
          <w:ilvl w:val="0"/>
          <w:numId w:val="2"/>
        </w:numPr>
        <w:jc w:val="both"/>
        <w:rPr>
          <w:rFonts w:ascii="Arial" w:hAnsi="Arial" w:cs="Arial"/>
          <w:sz w:val="20"/>
        </w:rPr>
      </w:pPr>
      <w:r>
        <w:rPr>
          <w:rFonts w:ascii="Arial" w:hAnsi="Arial" w:cs="Arial"/>
          <w:sz w:val="20"/>
        </w:rPr>
        <w:t xml:space="preserve">le taux de progestérone s’élève dans la circulation sanguine la veille de </w:t>
      </w:r>
      <w:r>
        <w:rPr>
          <w:rFonts w:ascii="Arial" w:hAnsi="Arial" w:cs="Arial"/>
          <w:sz w:val="20"/>
        </w:rPr>
        <w:t>l’ovulation quand les cellules de la granulosa commencent à être matures (quelques heures avant l’ovulation)</w:t>
      </w:r>
    </w:p>
    <w:p w:rsidR="00000000" w:rsidRDefault="00D57A3A">
      <w:pPr>
        <w:numPr>
          <w:ilvl w:val="0"/>
          <w:numId w:val="2"/>
        </w:numPr>
        <w:jc w:val="both"/>
        <w:rPr>
          <w:rFonts w:ascii="Arial" w:hAnsi="Arial" w:cs="Arial"/>
          <w:sz w:val="20"/>
        </w:rPr>
      </w:pPr>
      <w:r>
        <w:rPr>
          <w:rFonts w:ascii="Arial" w:hAnsi="Arial" w:cs="Arial"/>
          <w:sz w:val="20"/>
        </w:rPr>
        <w:t>sommet de la cloche au 21</w:t>
      </w:r>
      <w:r>
        <w:rPr>
          <w:rFonts w:ascii="Arial" w:hAnsi="Arial" w:cs="Arial"/>
          <w:sz w:val="20"/>
          <w:vertAlign w:val="superscript"/>
        </w:rPr>
        <w:t>e</w:t>
      </w:r>
      <w:r>
        <w:rPr>
          <w:rFonts w:ascii="Arial" w:hAnsi="Arial" w:cs="Arial"/>
          <w:sz w:val="20"/>
        </w:rPr>
        <w:t xml:space="preserve"> jour = </w:t>
      </w:r>
      <w:r>
        <w:rPr>
          <w:rFonts w:ascii="Arial" w:hAnsi="Arial" w:cs="Arial"/>
          <w:b/>
          <w:bCs/>
          <w:sz w:val="20"/>
        </w:rPr>
        <w:t>fenêtre d’implantation</w:t>
      </w:r>
      <w:r>
        <w:rPr>
          <w:rFonts w:ascii="Arial" w:hAnsi="Arial" w:cs="Arial"/>
          <w:sz w:val="20"/>
        </w:rPr>
        <w:t> : le pic de progestérone a préparé l’endomètre de manière adéquate pour permettre une impl</w:t>
      </w:r>
      <w:r>
        <w:rPr>
          <w:rFonts w:ascii="Arial" w:hAnsi="Arial" w:cs="Arial"/>
          <w:sz w:val="20"/>
        </w:rPr>
        <w:t>antation</w:t>
      </w:r>
    </w:p>
    <w:p w:rsidR="00000000" w:rsidRDefault="00D57A3A">
      <w:pPr>
        <w:numPr>
          <w:ilvl w:val="0"/>
          <w:numId w:val="2"/>
        </w:numPr>
        <w:jc w:val="both"/>
        <w:rPr>
          <w:rFonts w:ascii="Arial" w:hAnsi="Arial" w:cs="Arial"/>
          <w:sz w:val="20"/>
        </w:rPr>
      </w:pPr>
      <w:r>
        <w:rPr>
          <w:rFonts w:ascii="Arial" w:hAnsi="Arial" w:cs="Arial"/>
          <w:sz w:val="20"/>
        </w:rPr>
        <w:t>le taux de progestérone chute en fin de phase lutéale</w:t>
      </w:r>
    </w:p>
    <w:p w:rsidR="00000000" w:rsidRDefault="00D57A3A">
      <w:pPr>
        <w:jc w:val="both"/>
        <w:rPr>
          <w:rFonts w:ascii="Arial" w:hAnsi="Arial" w:cs="Arial"/>
          <w:sz w:val="20"/>
        </w:rPr>
      </w:pPr>
    </w:p>
    <w:p w:rsidR="00000000" w:rsidRDefault="00D57A3A">
      <w:pPr>
        <w:pStyle w:val="Corpsdetexte"/>
        <w:jc w:val="both"/>
      </w:pPr>
      <w:r>
        <w:t>La progestérone a une action anti-œstrogenique.</w:t>
      </w:r>
    </w:p>
    <w:p w:rsidR="00000000" w:rsidRDefault="00D57A3A">
      <w:pPr>
        <w:jc w:val="both"/>
        <w:rPr>
          <w:rFonts w:ascii="Arial" w:hAnsi="Arial" w:cs="Arial"/>
          <w:sz w:val="20"/>
        </w:rPr>
      </w:pPr>
    </w:p>
    <w:p w:rsidR="00000000" w:rsidRDefault="00D57A3A">
      <w:pPr>
        <w:jc w:val="both"/>
        <w:rPr>
          <w:rFonts w:ascii="Arial" w:hAnsi="Arial" w:cs="Arial"/>
          <w:sz w:val="20"/>
        </w:rPr>
      </w:pPr>
      <w:r>
        <w:rPr>
          <w:rFonts w:ascii="Arial" w:hAnsi="Arial" w:cs="Arial"/>
          <w:sz w:val="20"/>
        </w:rPr>
        <w:t>En phase lutéale, la progestérone retarde la fréquence de la pulsatilité de GnRH. Ainsi, elle exerce un rétrocontrôle</w:t>
      </w:r>
    </w:p>
    <w:p w:rsidR="00000000" w:rsidRDefault="00D57A3A">
      <w:pPr>
        <w:numPr>
          <w:ilvl w:val="0"/>
          <w:numId w:val="2"/>
        </w:numPr>
        <w:jc w:val="both"/>
        <w:rPr>
          <w:rFonts w:ascii="Arial" w:hAnsi="Arial" w:cs="Arial"/>
          <w:sz w:val="20"/>
        </w:rPr>
      </w:pPr>
      <w:r>
        <w:rPr>
          <w:rFonts w:ascii="Arial" w:hAnsi="Arial" w:cs="Arial"/>
          <w:sz w:val="20"/>
        </w:rPr>
        <w:t xml:space="preserve">négatif sur la sécrétion </w:t>
      </w:r>
      <w:r>
        <w:rPr>
          <w:rFonts w:ascii="Arial" w:hAnsi="Arial" w:cs="Arial"/>
          <w:sz w:val="20"/>
        </w:rPr>
        <w:t>de LH</w:t>
      </w:r>
    </w:p>
    <w:p w:rsidR="00000000" w:rsidRDefault="00D57A3A">
      <w:pPr>
        <w:numPr>
          <w:ilvl w:val="0"/>
          <w:numId w:val="2"/>
        </w:numPr>
        <w:jc w:val="both"/>
        <w:rPr>
          <w:rFonts w:ascii="Arial" w:hAnsi="Arial" w:cs="Arial"/>
          <w:sz w:val="20"/>
        </w:rPr>
      </w:pPr>
      <w:r>
        <w:rPr>
          <w:rFonts w:ascii="Arial" w:hAnsi="Arial" w:cs="Arial"/>
          <w:sz w:val="20"/>
        </w:rPr>
        <w:t>positif sur la sécrétion de FSH</w:t>
      </w:r>
    </w:p>
    <w:p w:rsidR="00000000" w:rsidRDefault="00D57A3A">
      <w:pPr>
        <w:rPr>
          <w:rFonts w:ascii="Arial" w:hAnsi="Arial" w:cs="Arial"/>
          <w:sz w:val="20"/>
        </w:rPr>
      </w:pPr>
      <w:r>
        <w:rPr>
          <w:rFonts w:ascii="Arial" w:hAnsi="Arial" w:cs="Arial"/>
          <w:sz w:val="20"/>
        </w:rPr>
        <w:t xml:space="preserve"> </w:t>
      </w:r>
    </w:p>
    <w:p w:rsidR="00D57A3A" w:rsidRDefault="00D57A3A"/>
    <w:sectPr w:rsidR="00D57A3A">
      <w:pgSz w:w="11906" w:h="16838"/>
      <w:pgMar w:top="1618" w:right="1417" w:bottom="107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9E37E0"/>
    <w:multiLevelType w:val="hybridMultilevel"/>
    <w:tmpl w:val="441676F6"/>
    <w:lvl w:ilvl="0" w:tplc="DD92C1F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1FE4CAF"/>
    <w:multiLevelType w:val="hybridMultilevel"/>
    <w:tmpl w:val="3DF440E2"/>
    <w:lvl w:ilvl="0" w:tplc="DD92C1F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318A4862"/>
    <w:multiLevelType w:val="hybridMultilevel"/>
    <w:tmpl w:val="1BD05D06"/>
    <w:lvl w:ilvl="0" w:tplc="24182192">
      <w:start w:val="1"/>
      <w:numFmt w:val="upperRoman"/>
      <w:pStyle w:val="Titre5"/>
      <w:lvlText w:val="%1."/>
      <w:lvlJc w:val="left"/>
      <w:pPr>
        <w:tabs>
          <w:tab w:val="num" w:pos="1080"/>
        </w:tabs>
        <w:ind w:left="1080" w:hanging="720"/>
      </w:pPr>
      <w:rPr>
        <w:rFonts w:hint="default"/>
      </w:rPr>
    </w:lvl>
    <w:lvl w:ilvl="1" w:tplc="5BF09F26">
      <w:start w:val="1"/>
      <w:numFmt w:val="decimal"/>
      <w:lvlText w:val="%2)"/>
      <w:lvlJc w:val="left"/>
      <w:pPr>
        <w:tabs>
          <w:tab w:val="num" w:pos="1440"/>
        </w:tabs>
        <w:ind w:left="1440" w:hanging="360"/>
      </w:pPr>
      <w:rPr>
        <w:rFonts w:hint="default"/>
      </w:rPr>
    </w:lvl>
    <w:lvl w:ilvl="2" w:tplc="046629BC">
      <w:start w:val="2"/>
      <w:numFmt w:val="bullet"/>
      <w:lvlText w:val="-"/>
      <w:lvlJc w:val="left"/>
      <w:pPr>
        <w:tabs>
          <w:tab w:val="num" w:pos="2340"/>
        </w:tabs>
        <w:ind w:left="2340" w:hanging="360"/>
      </w:pPr>
      <w:rPr>
        <w:rFonts w:ascii="Times New Roman" w:eastAsia="Times New Roman" w:hAnsi="Times New Roman" w:cs="Times New Roman"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31EB42B4"/>
    <w:multiLevelType w:val="hybridMultilevel"/>
    <w:tmpl w:val="8AEAA2A4"/>
    <w:lvl w:ilvl="0" w:tplc="DD92C1FE">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22B62B4"/>
    <w:multiLevelType w:val="hybridMultilevel"/>
    <w:tmpl w:val="F4C8265E"/>
    <w:lvl w:ilvl="0" w:tplc="DD92C1F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E575504"/>
    <w:multiLevelType w:val="hybridMultilevel"/>
    <w:tmpl w:val="FCD87068"/>
    <w:lvl w:ilvl="0" w:tplc="DD92C1FE">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49C844F6"/>
    <w:multiLevelType w:val="hybridMultilevel"/>
    <w:tmpl w:val="7CC865A2"/>
    <w:lvl w:ilvl="0" w:tplc="DD92C1FE">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1AF4A97"/>
    <w:multiLevelType w:val="hybridMultilevel"/>
    <w:tmpl w:val="C616F646"/>
    <w:lvl w:ilvl="0" w:tplc="DD92C1FE">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66C270F5"/>
    <w:multiLevelType w:val="hybridMultilevel"/>
    <w:tmpl w:val="98D009EE"/>
    <w:lvl w:ilvl="0" w:tplc="DA08EEFA">
      <w:numFmt w:val="bullet"/>
      <w:lvlText w:val=""/>
      <w:lvlJc w:val="left"/>
      <w:pPr>
        <w:tabs>
          <w:tab w:val="num" w:pos="720"/>
        </w:tabs>
        <w:ind w:left="720" w:hanging="360"/>
      </w:pPr>
      <w:rPr>
        <w:rFonts w:ascii="Wingdings" w:eastAsia="Times New Roman" w:hAnsi="Wingdings" w:cs="Aria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F7C4354"/>
    <w:multiLevelType w:val="hybridMultilevel"/>
    <w:tmpl w:val="43964CBC"/>
    <w:lvl w:ilvl="0" w:tplc="DD92C1FE">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F5F3A7E"/>
    <w:multiLevelType w:val="hybridMultilevel"/>
    <w:tmpl w:val="6FDE075C"/>
    <w:lvl w:ilvl="0" w:tplc="48CC1636">
      <w:start w:val="1"/>
      <w:numFmt w:val="upperRoman"/>
      <w:lvlText w:val="%1."/>
      <w:lvlJc w:val="left"/>
      <w:pPr>
        <w:tabs>
          <w:tab w:val="num" w:pos="1080"/>
        </w:tabs>
        <w:ind w:left="1080" w:hanging="720"/>
      </w:pPr>
      <w:rPr>
        <w:rFonts w:hint="default"/>
      </w:rPr>
    </w:lvl>
    <w:lvl w:ilvl="1" w:tplc="253E0E2C">
      <w:start w:val="1"/>
      <w:numFmt w:val="decimal"/>
      <w:lvlText w:val="%2)"/>
      <w:lvlJc w:val="left"/>
      <w:pPr>
        <w:tabs>
          <w:tab w:val="num" w:pos="1440"/>
        </w:tabs>
        <w:ind w:left="1440" w:hanging="360"/>
      </w:pPr>
      <w:rPr>
        <w:rFonts w:hint="default"/>
      </w:rPr>
    </w:lvl>
    <w:lvl w:ilvl="2" w:tplc="CC5449E4">
      <w:start w:val="2"/>
      <w:numFmt w:val="bullet"/>
      <w:lvlText w:val=""/>
      <w:lvlJc w:val="left"/>
      <w:pPr>
        <w:tabs>
          <w:tab w:val="num" w:pos="2340"/>
        </w:tabs>
        <w:ind w:left="2340" w:hanging="360"/>
      </w:pPr>
      <w:rPr>
        <w:rFonts w:ascii="Wingdings" w:eastAsia="Times New Roman" w:hAnsi="Wingdings" w:cs="Arial" w:hint="default"/>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7"/>
  </w:num>
  <w:num w:numId="4">
    <w:abstractNumId w:val="2"/>
  </w:num>
  <w:num w:numId="5">
    <w:abstractNumId w:val="3"/>
  </w:num>
  <w:num w:numId="6">
    <w:abstractNumId w:val="9"/>
  </w:num>
  <w:num w:numId="7">
    <w:abstractNumId w:val="5"/>
  </w:num>
  <w:num w:numId="8">
    <w:abstractNumId w:val="10"/>
  </w:num>
  <w:num w:numId="9">
    <w:abstractNumId w:val="6"/>
  </w:num>
  <w:num w:numId="10">
    <w:abstractNumId w:val="8"/>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noPunctuationKerning/>
  <w:characterSpacingControl w:val="doNotCompress"/>
  <w:compat/>
  <w:rsids>
    <w:rsidRoot w:val="00D00139"/>
    <w:rsid w:val="00D00139"/>
    <w:rsid w:val="00D57A3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Titre1">
    <w:name w:val="heading 1"/>
    <w:basedOn w:val="Normal"/>
    <w:next w:val="Normal"/>
    <w:qFormat/>
    <w:pPr>
      <w:keepNext/>
      <w:outlineLvl w:val="0"/>
    </w:pPr>
    <w:rPr>
      <w:u w:val="single"/>
    </w:rPr>
  </w:style>
  <w:style w:type="paragraph" w:styleId="Titre2">
    <w:name w:val="heading 2"/>
    <w:basedOn w:val="Normal"/>
    <w:next w:val="Normal"/>
    <w:qFormat/>
    <w:pPr>
      <w:keepNext/>
      <w:outlineLvl w:val="1"/>
    </w:pPr>
    <w:rPr>
      <w:rFonts w:ascii="Arial" w:hAnsi="Arial" w:cs="Arial"/>
      <w:b/>
      <w:bCs/>
      <w:u w:val="single"/>
    </w:rPr>
  </w:style>
  <w:style w:type="paragraph" w:styleId="Titre5">
    <w:name w:val="heading 5"/>
    <w:basedOn w:val="Normal"/>
    <w:next w:val="Normal"/>
    <w:qFormat/>
    <w:pPr>
      <w:keepNext/>
      <w:numPr>
        <w:numId w:val="4"/>
      </w:numPr>
      <w:outlineLvl w:val="4"/>
    </w:pPr>
    <w:rPr>
      <w:rFonts w:ascii="Arial" w:hAnsi="Arial" w:cs="Arial"/>
      <w:b/>
      <w:bCs/>
      <w:sz w:val="32"/>
      <w:u w:val="single"/>
    </w:rPr>
  </w:style>
  <w:style w:type="paragraph" w:styleId="Titre8">
    <w:name w:val="heading 8"/>
    <w:basedOn w:val="Normal"/>
    <w:next w:val="Normal"/>
    <w:qFormat/>
    <w:pPr>
      <w:keepNext/>
      <w:outlineLvl w:val="7"/>
    </w:pPr>
    <w:rPr>
      <w:rFonts w:ascii="Arial" w:hAnsi="Arial" w:cs="Arial"/>
      <w:b/>
      <w:bCs/>
      <w:sz w:val="22"/>
      <w:u w:val="single"/>
    </w:rPr>
  </w:style>
  <w:style w:type="paragraph" w:styleId="Titre9">
    <w:name w:val="heading 9"/>
    <w:basedOn w:val="Normal"/>
    <w:next w:val="Normal"/>
    <w:qFormat/>
    <w:pPr>
      <w:keepNext/>
      <w:outlineLvl w:val="8"/>
    </w:pPr>
    <w:rPr>
      <w:rFonts w:ascii="Arial" w:hAnsi="Arial" w:cs="Arial"/>
      <w:b/>
      <w:bCs/>
      <w:sz w:val="20"/>
      <w:u w:val="single"/>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
    <w:name w:val="Body Text"/>
    <w:basedOn w:val="Normal"/>
    <w:semiHidden/>
    <w:rPr>
      <w:rFonts w:ascii="Arial" w:hAnsi="Arial" w:cs="Arial"/>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961</Words>
  <Characters>5288</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6237</CharactersWithSpaces>
  <SharedDoc>false</SharedDoc>
  <HLinks>
    <vt:vector size="6" baseType="variant">
      <vt:variant>
        <vt:i4>4980756</vt:i4>
      </vt:variant>
      <vt:variant>
        <vt:i4>8187</vt:i4>
      </vt:variant>
      <vt:variant>
        <vt:i4>1025</vt:i4>
      </vt:variant>
      <vt:variant>
        <vt:i4>1</vt:i4>
      </vt:variant>
      <vt:variant>
        <vt:lpwstr>http://www.natisens.com/Articles/Fecondation_in_vitro/Variations_hormonales_cycle.jpg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Laly</dc:creator>
  <cp:lastModifiedBy>Vic</cp:lastModifiedBy>
  <cp:revision>2</cp:revision>
  <dcterms:created xsi:type="dcterms:W3CDTF">2010-11-28T17:11:00Z</dcterms:created>
  <dcterms:modified xsi:type="dcterms:W3CDTF">2010-11-28T17:11:00Z</dcterms:modified>
</cp:coreProperties>
</file>