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44CB36" w14:textId="57D5B30B" w:rsidR="001B038E" w:rsidRPr="007055F3" w:rsidRDefault="00674DCC" w:rsidP="007055F3">
      <w:pPr>
        <w:spacing w:after="0" w:line="240" w:lineRule="auto"/>
        <w:ind w:left="142"/>
        <w:jc w:val="center"/>
        <w:rPr>
          <w:rFonts w:eastAsia="Times New Roman" w:cs="Calibri"/>
          <w:b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6DF8AFB9" wp14:editId="7C809481">
            <wp:simplePos x="0" y="0"/>
            <wp:positionH relativeFrom="column">
              <wp:posOffset>5655945</wp:posOffset>
            </wp:positionH>
            <wp:positionV relativeFrom="paragraph">
              <wp:posOffset>-239395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CCFEB3" wp14:editId="05129DAC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0" t="0" r="18415" b="1778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C19BFA" id="Rectangle 2" o:spid="_x0000_s1026" style="position:absolute;margin-left:-4.6pt;margin-top:-1.2pt;width:536.55pt;height:60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" filled="f" strokecolor="#a6a6a6" strokeweight="2pt"/>
            </w:pict>
          </mc:Fallback>
        </mc:AlternateContent>
      </w:r>
      <w:r w:rsidR="007055F3">
        <w:rPr>
          <w:rFonts w:eastAsia="Times New Roman" w:cs="Calibri"/>
          <w:b/>
          <w:i/>
          <w:sz w:val="40"/>
          <w:szCs w:val="40"/>
        </w:rPr>
        <w:t>DM</w:t>
      </w:r>
      <w:r w:rsidR="00FF0B3B" w:rsidRPr="00524FD1">
        <w:rPr>
          <w:rFonts w:eastAsia="Times New Roman" w:cs="Calibri"/>
          <w:b/>
          <w:i/>
          <w:sz w:val="40"/>
          <w:szCs w:val="40"/>
        </w:rPr>
        <w:t xml:space="preserve"> </w:t>
      </w:r>
      <w:r w:rsidR="0017505E" w:rsidRPr="00524FD1">
        <w:rPr>
          <w:rFonts w:eastAsia="Times New Roman" w:cs="Calibri"/>
          <w:b/>
          <w:i/>
          <w:sz w:val="40"/>
          <w:szCs w:val="40"/>
        </w:rPr>
        <w:t>n°</w:t>
      </w:r>
      <w:r w:rsidR="00EA2029">
        <w:rPr>
          <w:rFonts w:eastAsia="Times New Roman" w:cs="Calibri"/>
          <w:b/>
          <w:i/>
          <w:sz w:val="40"/>
          <w:szCs w:val="40"/>
          <w:highlight w:val="yellow"/>
        </w:rPr>
        <w:t>13</w:t>
      </w:r>
      <w:r w:rsidR="007055F3">
        <w:rPr>
          <w:rFonts w:eastAsia="Times New Roman" w:cs="Calibri"/>
          <w:b/>
          <w:i/>
          <w:sz w:val="40"/>
          <w:szCs w:val="40"/>
        </w:rPr>
        <w:t xml:space="preserve"> : </w:t>
      </w:r>
      <w:r w:rsidR="00EA2029">
        <w:rPr>
          <w:rFonts w:eastAsia="Times New Roman" w:cs="Calibri"/>
          <w:b/>
          <w:sz w:val="40"/>
          <w:szCs w:val="40"/>
        </w:rPr>
        <w:t>catabolisme des AA</w:t>
      </w:r>
    </w:p>
    <w:p w14:paraId="4B34C0A4" w14:textId="1447B546" w:rsidR="0055059B" w:rsidRPr="005A39C5" w:rsidRDefault="007A2542" w:rsidP="007055F3">
      <w:pPr>
        <w:spacing w:after="0" w:line="240" w:lineRule="auto"/>
        <w:ind w:left="142"/>
        <w:jc w:val="center"/>
        <w:rPr>
          <w:rFonts w:eastAsia="Times New Roman" w:cs="Calibri"/>
          <w:sz w:val="28"/>
          <w:szCs w:val="28"/>
          <w:lang w:val="it-IT"/>
        </w:rPr>
      </w:pPr>
      <w:r w:rsidRPr="005A39C5">
        <w:rPr>
          <w:rFonts w:eastAsia="Times New Roman" w:cs="Calibri"/>
          <w:sz w:val="36"/>
          <w:szCs w:val="40"/>
          <w:lang w:val="it-IT"/>
        </w:rPr>
        <w:t>Tutorat 2017</w:t>
      </w:r>
      <w:r w:rsidR="00835C1B" w:rsidRPr="005A39C5">
        <w:rPr>
          <w:rFonts w:eastAsia="Times New Roman" w:cs="Calibri"/>
          <w:sz w:val="36"/>
          <w:szCs w:val="40"/>
          <w:lang w:val="it-IT"/>
        </w:rPr>
        <w:t>-</w:t>
      </w:r>
      <w:r w:rsidRPr="005A39C5">
        <w:rPr>
          <w:rFonts w:eastAsia="Times New Roman" w:cs="Calibri"/>
          <w:sz w:val="36"/>
          <w:szCs w:val="40"/>
          <w:lang w:val="it-IT"/>
        </w:rPr>
        <w:t>2018</w:t>
      </w:r>
      <w:r w:rsidR="0055059B" w:rsidRPr="005A39C5">
        <w:rPr>
          <w:rFonts w:eastAsia="Times New Roman" w:cs="Calibri"/>
          <w:sz w:val="36"/>
          <w:szCs w:val="40"/>
          <w:lang w:val="it-IT"/>
        </w:rPr>
        <w:t> :</w:t>
      </w:r>
      <w:r w:rsidR="0055059B" w:rsidRPr="005A39C5">
        <w:rPr>
          <w:rFonts w:eastAsia="Times New Roman"/>
          <w:b/>
          <w:sz w:val="20"/>
          <w:lang w:val="it-IT"/>
        </w:rPr>
        <w:t xml:space="preserve"> </w:t>
      </w:r>
      <w:r w:rsidR="006F1211">
        <w:rPr>
          <w:rFonts w:eastAsia="Times New Roman" w:cs="Calibri"/>
          <w:b/>
          <w:color w:val="000000"/>
          <w:sz w:val="28"/>
          <w:szCs w:val="28"/>
          <w:highlight w:val="yellow"/>
          <w:lang w:val="it-IT"/>
        </w:rPr>
        <w:t xml:space="preserve"> 10 </w:t>
      </w:r>
      <w:r w:rsidR="0055059B" w:rsidRPr="005A39C5">
        <w:rPr>
          <w:rFonts w:eastAsia="Times New Roman" w:cs="Calibri"/>
          <w:b/>
          <w:sz w:val="28"/>
          <w:szCs w:val="28"/>
          <w:highlight w:val="yellow"/>
          <w:lang w:val="it-IT"/>
        </w:rPr>
        <w:t>QCMS</w:t>
      </w:r>
      <w:r w:rsidR="00545DCF" w:rsidRPr="005A39C5">
        <w:rPr>
          <w:rFonts w:eastAsia="Times New Roman" w:cs="Calibri"/>
          <w:b/>
          <w:sz w:val="28"/>
          <w:szCs w:val="28"/>
          <w:lang w:val="it-IT"/>
        </w:rPr>
        <w:t xml:space="preserve"> </w:t>
      </w:r>
    </w:p>
    <w:p w14:paraId="2BB6A48F" w14:textId="7490BA29" w:rsidR="007E4BB3" w:rsidRPr="005A39C5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75610883" w14:textId="3E21C80D" w:rsidR="0050312F" w:rsidRPr="005A39C5" w:rsidRDefault="0050312F" w:rsidP="000B6DC2">
      <w:pPr>
        <w:pStyle w:val="Sansinterligne"/>
        <w:tabs>
          <w:tab w:val="left" w:pos="1020"/>
        </w:tabs>
        <w:spacing w:after="160"/>
        <w:rPr>
          <w:rFonts w:ascii="Arial" w:hAnsi="Arial" w:cs="Arial"/>
          <w:sz w:val="20"/>
          <w:szCs w:val="20"/>
          <w:lang w:val="it-IT"/>
        </w:rPr>
      </w:pPr>
    </w:p>
    <w:p w14:paraId="7C07BB7D" w14:textId="7306F1B8" w:rsidR="00545DCF" w:rsidRPr="001367C5" w:rsidRDefault="007A2542" w:rsidP="005A39C5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 w:rsidR="006F1211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1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</w:t>
      </w:r>
      <w:r w:rsidR="00545DCF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 w:rsidR="001367C5">
        <w:rPr>
          <w:rFonts w:ascii="Arial" w:eastAsia="Times New Roman" w:hAnsi="Arial" w:cs="Arial"/>
          <w:b/>
          <w:bCs/>
          <w:sz w:val="20"/>
          <w:szCs w:val="20"/>
        </w:rPr>
        <w:t>A propos du catabolisme des AA, donnez la ou les proposition(s) exacte(s) :</w:t>
      </w:r>
    </w:p>
    <w:p w14:paraId="4B141D9A" w14:textId="3ED08950" w:rsidR="00B725C8" w:rsidRPr="005A39C5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>A)</w:t>
      </w:r>
      <w:r w:rsidR="007A2542"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 w:rsidR="00B53AA2">
        <w:rPr>
          <w:rFonts w:ascii="Arial" w:eastAsia="Times New Roman" w:hAnsi="Arial" w:cs="Arial"/>
          <w:sz w:val="20"/>
          <w:szCs w:val="20"/>
          <w:lang w:val="it-IT"/>
        </w:rPr>
        <w:t xml:space="preserve">La première étape </w:t>
      </w:r>
      <w:r w:rsidR="00964E05">
        <w:rPr>
          <w:rFonts w:ascii="Arial" w:eastAsia="Times New Roman" w:hAnsi="Arial" w:cs="Arial"/>
          <w:sz w:val="20"/>
          <w:szCs w:val="20"/>
          <w:lang w:val="it-IT"/>
        </w:rPr>
        <w:t>de la dégradation des AA est la désamination.</w:t>
      </w:r>
    </w:p>
    <w:p w14:paraId="5DC089BD" w14:textId="0FEA5F85" w:rsidR="00B725C8" w:rsidRPr="00902516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>B)</w:t>
      </w:r>
      <w:r w:rsidR="007A2542"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 w:rsidR="00964E05">
        <w:rPr>
          <w:rFonts w:ascii="Arial" w:eastAsia="Times New Roman" w:hAnsi="Arial" w:cs="Arial"/>
          <w:sz w:val="20"/>
          <w:szCs w:val="20"/>
          <w:lang w:val="it-IT"/>
        </w:rPr>
        <w:t>La consommation d’énergie en LHE de la Glutamine Synthase est de 2.</w:t>
      </w:r>
    </w:p>
    <w:p w14:paraId="3E710DF9" w14:textId="3AE9DFD9" w:rsidR="00B725C8" w:rsidRPr="00902516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964E05">
        <w:rPr>
          <w:rFonts w:ascii="Arial" w:eastAsia="Times New Roman" w:hAnsi="Arial" w:cs="Arial"/>
          <w:sz w:val="20"/>
          <w:szCs w:val="20"/>
          <w:lang w:val="it-IT"/>
        </w:rPr>
        <w:t xml:space="preserve">La Glutaminase catalyse </w:t>
      </w:r>
      <w:r w:rsidR="00CF180F">
        <w:rPr>
          <w:rFonts w:ascii="Arial" w:eastAsia="Times New Roman" w:hAnsi="Arial" w:cs="Arial"/>
          <w:sz w:val="20"/>
          <w:szCs w:val="20"/>
          <w:lang w:val="it-IT"/>
        </w:rPr>
        <w:t>une réaction de désamination nécessitant la consommation d’1 H2O.</w:t>
      </w:r>
    </w:p>
    <w:p w14:paraId="1231DC08" w14:textId="1C81AFA3" w:rsidR="00B725C8" w:rsidRPr="00902516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>D)</w:t>
      </w:r>
      <w:r w:rsidR="007A2542"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 w:rsidR="00CF180F">
        <w:rPr>
          <w:rFonts w:ascii="Arial" w:eastAsia="Times New Roman" w:hAnsi="Arial" w:cs="Arial"/>
          <w:sz w:val="20"/>
          <w:szCs w:val="20"/>
          <w:lang w:val="it-IT"/>
        </w:rPr>
        <w:t>Le catabolisme des AA est une voie permettant leur stockage.</w:t>
      </w:r>
    </w:p>
    <w:p w14:paraId="1DE92E57" w14:textId="1E01EB04" w:rsidR="00805EF2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6F1211">
        <w:rPr>
          <w:rFonts w:ascii="Arial" w:eastAsia="Times New Roman" w:hAnsi="Arial" w:cs="Arial"/>
          <w:sz w:val="20"/>
          <w:szCs w:val="20"/>
          <w:lang w:val="it-IT"/>
        </w:rPr>
        <w:t>Toutes les propositions sont fausses.</w:t>
      </w:r>
    </w:p>
    <w:p w14:paraId="1B466321" w14:textId="77777777" w:rsidR="006F1211" w:rsidRDefault="006F1211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634FA765" w14:textId="41F11154" w:rsidR="008757E4" w:rsidRDefault="008757E4" w:rsidP="008757E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du catabolisme des AA, donnez la ou les proposition(s) exacte(s) :</w:t>
      </w:r>
    </w:p>
    <w:p w14:paraId="01D5A776" w14:textId="77777777" w:rsidR="008757E4" w:rsidRPr="00F11A32" w:rsidRDefault="008757E4" w:rsidP="008757E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Dans les réactions de transamination, les alpha-céto acides sont tous glucoformateurs.</w:t>
      </w:r>
    </w:p>
    <w:p w14:paraId="7C85FE34" w14:textId="77777777" w:rsidR="008757E4" w:rsidRPr="00F11A32" w:rsidRDefault="008757E4" w:rsidP="008757E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La carbamyl phosphate synthétase-1 est régulée positivement par le N-Acétyl-glutamate. </w:t>
      </w:r>
    </w:p>
    <w:p w14:paraId="3B7614C4" w14:textId="77777777" w:rsidR="008757E4" w:rsidRPr="00A837E0" w:rsidRDefault="008757E4" w:rsidP="008757E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Les hépatocytes périveineux ont une activité essentiellement de glutaminogenèse.</w:t>
      </w:r>
    </w:p>
    <w:p w14:paraId="1E02D071" w14:textId="77777777" w:rsidR="0045099E" w:rsidRDefault="008757E4" w:rsidP="008757E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Au cours d’un jeûne prolongé, l’élimination de l’excès de protons passe également par l’ammoniogenèse rénale.</w:t>
      </w:r>
    </w:p>
    <w:p w14:paraId="24A031CD" w14:textId="6D0336A5" w:rsidR="006F1211" w:rsidRPr="00902516" w:rsidRDefault="006F1211" w:rsidP="008757E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>
        <w:rPr>
          <w:rFonts w:ascii="Arial" w:eastAsia="Times New Roman" w:hAnsi="Arial" w:cs="Arial"/>
          <w:sz w:val="20"/>
          <w:szCs w:val="20"/>
          <w:lang w:val="it-IT"/>
        </w:rPr>
        <w:t>Toutes les propositions sont fausses.</w:t>
      </w:r>
    </w:p>
    <w:p w14:paraId="52D1FFF8" w14:textId="77777777" w:rsidR="00902516" w:rsidRPr="00902516" w:rsidRDefault="00902516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1772AAB7" w14:textId="001CD4E9" w:rsidR="006F1211" w:rsidRPr="00082F99" w:rsidRDefault="006F1211" w:rsidP="006F121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3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082F99">
        <w:rPr>
          <w:rFonts w:ascii="Arial" w:eastAsia="Times New Roman" w:hAnsi="Arial" w:cs="Arial"/>
          <w:b/>
          <w:bCs/>
          <w:sz w:val="20"/>
          <w:szCs w:val="20"/>
        </w:rPr>
        <w:t>A propos du catabolisme des AA, donnez la ou les proposition(s) exacte(s) :</w:t>
      </w:r>
    </w:p>
    <w:p w14:paraId="250BFC1C" w14:textId="3824CCA9" w:rsidR="006F1211" w:rsidRPr="002F7483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2F7483">
        <w:rPr>
          <w:rFonts w:ascii="Arial" w:eastAsia="Times New Roman" w:hAnsi="Arial" w:cs="Arial"/>
          <w:sz w:val="20"/>
          <w:szCs w:val="20"/>
          <w:lang w:val="it-IT"/>
        </w:rPr>
        <w:t>L’urée contient dans sa structure 1 NH3 provenant de la glutamine.</w:t>
      </w:r>
    </w:p>
    <w:p w14:paraId="57D3788A" w14:textId="0A2DA659" w:rsidR="006F1211" w:rsidRPr="002F7483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2F7483">
        <w:rPr>
          <w:rFonts w:ascii="Arial" w:eastAsia="Times New Roman" w:hAnsi="Arial" w:cs="Arial"/>
          <w:sz w:val="20"/>
          <w:szCs w:val="20"/>
        </w:rPr>
        <w:t>En cas d’acidose, le rein est le seul organe capable de suppléer le foie en réalisant l’uréogenèse et en luttant contre l’acidose.</w:t>
      </w:r>
    </w:p>
    <w:p w14:paraId="66C43314" w14:textId="7134B35D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2F7483">
        <w:rPr>
          <w:rFonts w:ascii="Arial" w:eastAsia="Times New Roman" w:hAnsi="Arial" w:cs="Arial"/>
          <w:sz w:val="20"/>
          <w:szCs w:val="20"/>
          <w:lang w:val="it-IT"/>
        </w:rPr>
        <w:t>La Glutamate Déshydrogénase est régulée positivement et par allostérie via le GDP et l’ATP.</w:t>
      </w:r>
    </w:p>
    <w:p w14:paraId="0FE86427" w14:textId="2B8E169B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3D1F11">
        <w:rPr>
          <w:rFonts w:ascii="Arial" w:eastAsia="Times New Roman" w:hAnsi="Arial" w:cs="Arial"/>
          <w:sz w:val="20"/>
          <w:szCs w:val="20"/>
          <w:lang w:val="it-IT"/>
        </w:rPr>
        <w:t>Dans l’uréogenèse, l’antiport citrulline/ornithine est indispensable: il permet de faire entrer la citrulline dans la mitochondrie en faisant sortir l’ornithine dans le cytoplasme.</w:t>
      </w:r>
    </w:p>
    <w:p w14:paraId="6156F67F" w14:textId="77777777" w:rsidR="006F1211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>
        <w:rPr>
          <w:rFonts w:ascii="Arial" w:eastAsia="Times New Roman" w:hAnsi="Arial" w:cs="Arial"/>
          <w:sz w:val="20"/>
          <w:szCs w:val="20"/>
          <w:lang w:val="it-IT"/>
        </w:rPr>
        <w:t>Toutes les propositions sont fausses.</w:t>
      </w:r>
    </w:p>
    <w:p w14:paraId="603B472B" w14:textId="77777777" w:rsidR="006F1211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5D261F13" w14:textId="00DFCC2A" w:rsidR="006F1211" w:rsidRPr="005A39C5" w:rsidRDefault="006F1211" w:rsidP="006F121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4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082F99">
        <w:rPr>
          <w:rFonts w:ascii="Arial" w:eastAsia="Times New Roman" w:hAnsi="Arial" w:cs="Arial"/>
          <w:b/>
          <w:bCs/>
          <w:sz w:val="20"/>
          <w:szCs w:val="20"/>
          <w:lang w:val="it-IT"/>
        </w:rPr>
        <w:t>A propos de la gestion de l’ammoniac, donnez la ou les proposition(s) exacte(s):</w:t>
      </w:r>
    </w:p>
    <w:p w14:paraId="1A830FAB" w14:textId="2920D1C4" w:rsidR="006F1211" w:rsidRPr="005A39C5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082F99">
        <w:rPr>
          <w:rFonts w:ascii="Arial" w:eastAsia="Times New Roman" w:hAnsi="Arial" w:cs="Arial"/>
          <w:sz w:val="20"/>
          <w:szCs w:val="20"/>
          <w:lang w:val="it-IT"/>
        </w:rPr>
        <w:t>En situation normale, l’urée produit au sein des hépatocytes périportaux se dirigera vers le rein pour être éliminée.</w:t>
      </w:r>
    </w:p>
    <w:p w14:paraId="30FCDEF3" w14:textId="0CD606F1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082F99">
        <w:rPr>
          <w:rFonts w:ascii="Arial" w:eastAsia="Times New Roman" w:hAnsi="Arial" w:cs="Arial"/>
          <w:sz w:val="20"/>
          <w:szCs w:val="20"/>
          <w:lang w:val="it-IT"/>
        </w:rPr>
        <w:t>En acidose, les hépatocytes périveineux captent l’ammoniac pour le transformer en urée.</w:t>
      </w:r>
    </w:p>
    <w:p w14:paraId="649811B8" w14:textId="601F6714" w:rsidR="00A4037C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082F99">
        <w:rPr>
          <w:rFonts w:ascii="Arial" w:eastAsia="Times New Roman" w:hAnsi="Arial" w:cs="Arial"/>
          <w:sz w:val="20"/>
          <w:szCs w:val="20"/>
          <w:lang w:val="it-IT"/>
        </w:rPr>
        <w:t xml:space="preserve">La glutaminogenèse, en fonction de la situation, est assurée </w:t>
      </w:r>
      <w:r w:rsidR="0099261B">
        <w:rPr>
          <w:rFonts w:ascii="Arial" w:eastAsia="Times New Roman" w:hAnsi="Arial" w:cs="Arial"/>
          <w:sz w:val="20"/>
          <w:szCs w:val="20"/>
          <w:lang w:val="it-IT"/>
        </w:rPr>
        <w:t xml:space="preserve">soit par les hépatocytes periveineux </w:t>
      </w:r>
      <w:r w:rsidR="00A4037C">
        <w:rPr>
          <w:rFonts w:ascii="Arial" w:eastAsia="Times New Roman" w:hAnsi="Arial" w:cs="Arial"/>
          <w:sz w:val="20"/>
          <w:szCs w:val="20"/>
          <w:lang w:val="it-IT"/>
        </w:rPr>
        <w:t>soit par les cellules rénales.</w:t>
      </w:r>
    </w:p>
    <w:p w14:paraId="1376DE79" w14:textId="77074888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A4037C">
        <w:rPr>
          <w:rFonts w:ascii="Arial" w:eastAsia="Times New Roman" w:hAnsi="Arial" w:cs="Arial"/>
          <w:sz w:val="20"/>
          <w:szCs w:val="20"/>
          <w:lang w:val="it-IT"/>
        </w:rPr>
        <w:t>Le métabolisme azoté rénal aboutit à la formation d’un prrécurseur de la NGG.</w:t>
      </w:r>
    </w:p>
    <w:p w14:paraId="524176A3" w14:textId="77777777" w:rsidR="006F1211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>
        <w:rPr>
          <w:rFonts w:ascii="Arial" w:eastAsia="Times New Roman" w:hAnsi="Arial" w:cs="Arial"/>
          <w:sz w:val="20"/>
          <w:szCs w:val="20"/>
          <w:lang w:val="it-IT"/>
        </w:rPr>
        <w:t>Toutes les propositions sont fausses.</w:t>
      </w:r>
    </w:p>
    <w:p w14:paraId="1BBD99A6" w14:textId="77777777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34712B46" w14:textId="4A0908EA" w:rsidR="006F1211" w:rsidRPr="00DF4354" w:rsidRDefault="006F1211" w:rsidP="006F121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5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DF4354">
        <w:rPr>
          <w:rFonts w:ascii="Arial" w:eastAsia="Times New Roman" w:hAnsi="Arial" w:cs="Arial"/>
          <w:b/>
          <w:bCs/>
          <w:sz w:val="20"/>
          <w:szCs w:val="20"/>
        </w:rPr>
        <w:t>A propos du catabolisme des AA, donnez la ou les proposition(s) exacte(s) :</w:t>
      </w:r>
    </w:p>
    <w:p w14:paraId="7495F105" w14:textId="3E567D13" w:rsidR="006F1211" w:rsidRPr="005A39C5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936670">
        <w:rPr>
          <w:rFonts w:ascii="Arial" w:eastAsia="Times New Roman" w:hAnsi="Arial" w:cs="Arial"/>
          <w:sz w:val="20"/>
          <w:szCs w:val="20"/>
          <w:lang w:val="it-IT"/>
        </w:rPr>
        <w:t>L’excès de NH3 libéré au cours du catabolisme des AA, est transporté notamment sous la forme de glutamine.</w:t>
      </w:r>
    </w:p>
    <w:p w14:paraId="374C4FCB" w14:textId="3E026638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936670">
        <w:rPr>
          <w:rFonts w:ascii="Arial" w:eastAsia="Times New Roman" w:hAnsi="Arial" w:cs="Arial"/>
          <w:sz w:val="20"/>
          <w:szCs w:val="20"/>
          <w:lang w:val="it-IT"/>
        </w:rPr>
        <w:t>La glutamine a la capacité de rentrer directement dans les mitochondries hépatocytaires puis sera prise en charge par la Glutaminase libérant le NH3 trasnporté.</w:t>
      </w:r>
    </w:p>
    <w:p w14:paraId="059DE5B5" w14:textId="5CE589F6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936670">
        <w:rPr>
          <w:rFonts w:ascii="Arial" w:eastAsia="Times New Roman" w:hAnsi="Arial" w:cs="Arial"/>
          <w:sz w:val="20"/>
          <w:szCs w:val="20"/>
          <w:lang w:val="it-IT"/>
        </w:rPr>
        <w:t>Le cycle de l’urée se déroule au sein des hépatocytes périportaux.</w:t>
      </w:r>
    </w:p>
    <w:p w14:paraId="158204C2" w14:textId="295C405B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936670">
        <w:rPr>
          <w:rFonts w:ascii="Arial" w:eastAsia="Times New Roman" w:hAnsi="Arial" w:cs="Arial"/>
          <w:sz w:val="20"/>
          <w:szCs w:val="20"/>
          <w:lang w:val="it-IT"/>
        </w:rPr>
        <w:t>Dans une situation où le ratio ATP/ADP diminue, on active la Glutaminase Déshydrogénase donc on réalise le cycle de l’urée.</w:t>
      </w:r>
    </w:p>
    <w:p w14:paraId="37FD3C33" w14:textId="77777777" w:rsidR="006F1211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>
        <w:rPr>
          <w:rFonts w:ascii="Arial" w:eastAsia="Times New Roman" w:hAnsi="Arial" w:cs="Arial"/>
          <w:sz w:val="20"/>
          <w:szCs w:val="20"/>
          <w:lang w:val="it-IT"/>
        </w:rPr>
        <w:t>Toutes les propositions sont fausses.</w:t>
      </w:r>
    </w:p>
    <w:p w14:paraId="08FB5370" w14:textId="77777777" w:rsidR="006F1211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2CBC9A2C" w14:textId="088E2E66" w:rsidR="006F1211" w:rsidRPr="00C54EEB" w:rsidRDefault="006F1211" w:rsidP="006F121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6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C54EEB">
        <w:rPr>
          <w:rFonts w:ascii="Arial" w:eastAsia="Times New Roman" w:hAnsi="Arial" w:cs="Arial"/>
          <w:b/>
          <w:bCs/>
          <w:sz w:val="20"/>
          <w:szCs w:val="20"/>
        </w:rPr>
        <w:t>A propos du catabolisme des AA, donnez la ou les proposition(s) exacte(s) :</w:t>
      </w:r>
    </w:p>
    <w:p w14:paraId="5A736373" w14:textId="29507001" w:rsidR="006F1211" w:rsidRPr="005A39C5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51715F">
        <w:rPr>
          <w:rFonts w:ascii="Arial" w:eastAsia="Times New Roman" w:hAnsi="Arial" w:cs="Arial"/>
          <w:sz w:val="20"/>
          <w:szCs w:val="20"/>
          <w:lang w:val="it-IT"/>
        </w:rPr>
        <w:t>Les hépatocytes périportaux, en réalisant la glutaminogenèse, sont une sécurité face à une situation où les hépatocytes périveineux ne peuvent pas réaliser l’uréogenèse.</w:t>
      </w:r>
    </w:p>
    <w:p w14:paraId="17BB07F9" w14:textId="637AABA0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51715F">
        <w:rPr>
          <w:rFonts w:ascii="Arial" w:eastAsia="Times New Roman" w:hAnsi="Arial" w:cs="Arial"/>
          <w:sz w:val="20"/>
          <w:szCs w:val="20"/>
          <w:lang w:val="it-IT"/>
        </w:rPr>
        <w:t>La Glutaminase hépatique est inhibée par l’acidose.</w:t>
      </w:r>
    </w:p>
    <w:p w14:paraId="7D2DA316" w14:textId="306F8F24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51715F">
        <w:rPr>
          <w:rFonts w:ascii="Arial" w:eastAsia="Times New Roman" w:hAnsi="Arial" w:cs="Arial"/>
          <w:sz w:val="20"/>
          <w:szCs w:val="20"/>
          <w:lang w:val="it-IT"/>
        </w:rPr>
        <w:t xml:space="preserve">En acidose, le rein contrecarre l’augmentation de pH: pour se faire, il synthétise de la glutamine </w:t>
      </w:r>
      <w:r w:rsidR="000938F4">
        <w:rPr>
          <w:rFonts w:ascii="Arial" w:eastAsia="Times New Roman" w:hAnsi="Arial" w:cs="Arial"/>
          <w:sz w:val="20"/>
          <w:szCs w:val="20"/>
          <w:lang w:val="it-IT"/>
        </w:rPr>
        <w:t>en fixant le NH3 plasmatique.</w:t>
      </w:r>
    </w:p>
    <w:p w14:paraId="5AD675B5" w14:textId="42D318F7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0938F4">
        <w:rPr>
          <w:rFonts w:ascii="Arial" w:eastAsia="Times New Roman" w:hAnsi="Arial" w:cs="Arial"/>
          <w:sz w:val="20"/>
          <w:szCs w:val="20"/>
          <w:lang w:val="it-IT"/>
        </w:rPr>
        <w:t>Il existe une coopération foie/rein assurant la lutte contre les désordres acidobasiques.</w:t>
      </w:r>
    </w:p>
    <w:p w14:paraId="706E7E30" w14:textId="77777777" w:rsidR="006F1211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>
        <w:rPr>
          <w:rFonts w:ascii="Arial" w:eastAsia="Times New Roman" w:hAnsi="Arial" w:cs="Arial"/>
          <w:sz w:val="20"/>
          <w:szCs w:val="20"/>
          <w:lang w:val="it-IT"/>
        </w:rPr>
        <w:t>Toutes les propositions sont fausses.</w:t>
      </w:r>
    </w:p>
    <w:p w14:paraId="7E8D5B95" w14:textId="77777777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59EBE4AF" w14:textId="1E9C2DF3" w:rsidR="006F1211" w:rsidRPr="00C54EEB" w:rsidRDefault="006F1211" w:rsidP="006F121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7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C54EEB">
        <w:rPr>
          <w:rFonts w:ascii="Arial" w:eastAsia="Times New Roman" w:hAnsi="Arial" w:cs="Arial"/>
          <w:b/>
          <w:bCs/>
          <w:sz w:val="20"/>
          <w:szCs w:val="20"/>
        </w:rPr>
        <w:t>A propos du catabolisme des AA, donnez la ou les proposition(s) exacte(s) :</w:t>
      </w:r>
    </w:p>
    <w:p w14:paraId="49B0E11E" w14:textId="44F89E5B" w:rsidR="006F1211" w:rsidRPr="005A39C5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C343E2">
        <w:rPr>
          <w:rFonts w:ascii="Arial" w:eastAsia="Times New Roman" w:hAnsi="Arial" w:cs="Arial"/>
          <w:sz w:val="20"/>
          <w:szCs w:val="20"/>
          <w:lang w:val="it-IT"/>
        </w:rPr>
        <w:t xml:space="preserve">L’ammoniac libéré par le muscle sera transporté sous forme d’alanine plutôt que sous forme de glutamine afin d’économiser le pool d’ATP utilisé par la </w:t>
      </w:r>
      <w:r w:rsidR="006D4E9B">
        <w:rPr>
          <w:rFonts w:ascii="Arial" w:eastAsia="Times New Roman" w:hAnsi="Arial" w:cs="Arial"/>
          <w:sz w:val="20"/>
          <w:szCs w:val="20"/>
          <w:lang w:val="it-IT"/>
        </w:rPr>
        <w:t>Glutamine Synthase.</w:t>
      </w:r>
    </w:p>
    <w:p w14:paraId="21B92A0C" w14:textId="7FC6966D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6D4E9B">
        <w:rPr>
          <w:rFonts w:ascii="Arial" w:eastAsia="Times New Roman" w:hAnsi="Arial" w:cs="Arial"/>
          <w:sz w:val="20"/>
          <w:szCs w:val="20"/>
          <w:lang w:val="it-IT"/>
        </w:rPr>
        <w:t>Pour les réactions de transamination, les accepteurs des alpha-céto-acides sont le pyruvate, l’OAA et l’alpha-cétoglutarate.</w:t>
      </w:r>
    </w:p>
    <w:p w14:paraId="578EC249" w14:textId="38692FF7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6D4E9B">
        <w:rPr>
          <w:rFonts w:ascii="Arial" w:eastAsia="Times New Roman" w:hAnsi="Arial" w:cs="Arial"/>
          <w:sz w:val="20"/>
          <w:szCs w:val="20"/>
          <w:lang w:val="it-IT"/>
        </w:rPr>
        <w:t xml:space="preserve">Le N-acétyl-glutamate est un activateur </w:t>
      </w:r>
      <w:r w:rsidR="00A8714C">
        <w:rPr>
          <w:rFonts w:ascii="Arial" w:eastAsia="Times New Roman" w:hAnsi="Arial" w:cs="Arial"/>
          <w:sz w:val="20"/>
          <w:szCs w:val="20"/>
          <w:lang w:val="it-IT"/>
        </w:rPr>
        <w:t>allostérique de la Carbamyl-phosphate-synthétase-1 mitochondriale.</w:t>
      </w:r>
    </w:p>
    <w:p w14:paraId="1AC03FA4" w14:textId="4590003A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A8714C">
        <w:rPr>
          <w:rFonts w:ascii="Arial" w:eastAsia="Times New Roman" w:hAnsi="Arial" w:cs="Arial"/>
          <w:sz w:val="20"/>
          <w:szCs w:val="20"/>
          <w:lang w:val="it-IT"/>
        </w:rPr>
        <w:t>En situation d’acidose métabolique, la synthèse de la glutamine augmente au niveau des hépatocytes périveineux afin d’alimenter l’amminogenèse rénale.</w:t>
      </w:r>
    </w:p>
    <w:p w14:paraId="5C56373D" w14:textId="77777777" w:rsidR="006F1211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lastRenderedPageBreak/>
        <w:t xml:space="preserve">E) </w:t>
      </w:r>
      <w:r>
        <w:rPr>
          <w:rFonts w:ascii="Arial" w:eastAsia="Times New Roman" w:hAnsi="Arial" w:cs="Arial"/>
          <w:sz w:val="20"/>
          <w:szCs w:val="20"/>
          <w:lang w:val="it-IT"/>
        </w:rPr>
        <w:t>Toutes les propositions sont fausses.</w:t>
      </w:r>
    </w:p>
    <w:p w14:paraId="729215FE" w14:textId="77777777" w:rsidR="006F1211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6962B49F" w14:textId="31919FFB" w:rsidR="006F1211" w:rsidRPr="00C54EEB" w:rsidRDefault="006F1211" w:rsidP="006F121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8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C54EEB">
        <w:rPr>
          <w:rFonts w:ascii="Arial" w:eastAsia="Times New Roman" w:hAnsi="Arial" w:cs="Arial"/>
          <w:b/>
          <w:bCs/>
          <w:sz w:val="20"/>
          <w:szCs w:val="20"/>
        </w:rPr>
        <w:t>A propos du catabolisme des AA, donnez la ou les proposition(s) exacte(s) :</w:t>
      </w:r>
    </w:p>
    <w:p w14:paraId="0AB821A4" w14:textId="4C9F7288" w:rsidR="006F1211" w:rsidRPr="005A39C5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DF19EF">
        <w:rPr>
          <w:rFonts w:ascii="Arial" w:eastAsia="Times New Roman" w:hAnsi="Arial" w:cs="Arial"/>
          <w:sz w:val="20"/>
          <w:szCs w:val="20"/>
          <w:lang w:val="it-IT"/>
        </w:rPr>
        <w:t>La Pepsine est une carboxypeptidase assurant la digestion des protéines exogènes.</w:t>
      </w:r>
    </w:p>
    <w:p w14:paraId="54EF36F1" w14:textId="0D86EDD1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DF19EF">
        <w:rPr>
          <w:rFonts w:ascii="Arial" w:eastAsia="Times New Roman" w:hAnsi="Arial" w:cs="Arial"/>
          <w:sz w:val="20"/>
          <w:szCs w:val="20"/>
          <w:lang w:val="it-IT"/>
        </w:rPr>
        <w:t>Les AA en excès par rapport aux besoins protéiques sont dirigés vers les réactions de transfert de groupements carbonés.</w:t>
      </w:r>
    </w:p>
    <w:p w14:paraId="781B9563" w14:textId="7D09235F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DF19EF">
        <w:rPr>
          <w:rFonts w:ascii="Arial" w:eastAsia="Times New Roman" w:hAnsi="Arial" w:cs="Arial"/>
          <w:sz w:val="20"/>
          <w:szCs w:val="20"/>
          <w:lang w:val="it-IT"/>
        </w:rPr>
        <w:t xml:space="preserve">Les Transaminases utilisent </w:t>
      </w:r>
      <w:r w:rsidR="00890BCE">
        <w:rPr>
          <w:rFonts w:ascii="Arial" w:eastAsia="Times New Roman" w:hAnsi="Arial" w:cs="Arial"/>
          <w:sz w:val="20"/>
          <w:szCs w:val="20"/>
          <w:lang w:val="it-IT"/>
        </w:rPr>
        <w:t>le piridoxal phosphate comme coenzyme.</w:t>
      </w:r>
    </w:p>
    <w:p w14:paraId="553EEF00" w14:textId="2CA4C03E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890BCE">
        <w:rPr>
          <w:rFonts w:ascii="Arial" w:eastAsia="Times New Roman" w:hAnsi="Arial" w:cs="Arial"/>
          <w:sz w:val="20"/>
          <w:szCs w:val="20"/>
          <w:lang w:val="it-IT"/>
        </w:rPr>
        <w:t xml:space="preserve">La Glutamate déshydrogénase permet la désamination oxydative </w:t>
      </w:r>
      <w:r w:rsidR="009671C7">
        <w:rPr>
          <w:rFonts w:ascii="Arial" w:eastAsia="Times New Roman" w:hAnsi="Arial" w:cs="Arial"/>
          <w:sz w:val="20"/>
          <w:szCs w:val="20"/>
          <w:lang w:val="it-IT"/>
        </w:rPr>
        <w:t>du glutamate.</w:t>
      </w:r>
    </w:p>
    <w:p w14:paraId="6A63AC89" w14:textId="77777777" w:rsidR="006F1211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>
        <w:rPr>
          <w:rFonts w:ascii="Arial" w:eastAsia="Times New Roman" w:hAnsi="Arial" w:cs="Arial"/>
          <w:sz w:val="20"/>
          <w:szCs w:val="20"/>
          <w:lang w:val="it-IT"/>
        </w:rPr>
        <w:t>Toutes les propositions sont fausses.</w:t>
      </w:r>
    </w:p>
    <w:p w14:paraId="54CBF4B5" w14:textId="77777777" w:rsidR="006F1211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1EC27568" w14:textId="74635ED7" w:rsidR="006F1211" w:rsidRPr="00C54EEB" w:rsidRDefault="006F1211" w:rsidP="006F121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9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C54EEB">
        <w:rPr>
          <w:rFonts w:ascii="Arial" w:eastAsia="Times New Roman" w:hAnsi="Arial" w:cs="Arial"/>
          <w:b/>
          <w:bCs/>
          <w:sz w:val="20"/>
          <w:szCs w:val="20"/>
        </w:rPr>
        <w:t xml:space="preserve">A propos du </w:t>
      </w:r>
      <w:r w:rsidR="00E0667E">
        <w:rPr>
          <w:rFonts w:ascii="Arial" w:eastAsia="Times New Roman" w:hAnsi="Arial" w:cs="Arial"/>
          <w:b/>
          <w:bCs/>
          <w:sz w:val="20"/>
          <w:szCs w:val="20"/>
        </w:rPr>
        <w:t>cycle de l’urée</w:t>
      </w:r>
      <w:r w:rsidR="00C54EEB">
        <w:rPr>
          <w:rFonts w:ascii="Arial" w:eastAsia="Times New Roman" w:hAnsi="Arial" w:cs="Arial"/>
          <w:b/>
          <w:bCs/>
          <w:sz w:val="20"/>
          <w:szCs w:val="20"/>
        </w:rPr>
        <w:t>, donnez la ou les proposition(s) exacte(s) :</w:t>
      </w:r>
    </w:p>
    <w:p w14:paraId="251ECB9C" w14:textId="525FE5BA" w:rsidR="006F1211" w:rsidRPr="005A39C5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E0667E">
        <w:rPr>
          <w:rFonts w:ascii="Arial" w:eastAsia="Times New Roman" w:hAnsi="Arial" w:cs="Arial"/>
          <w:sz w:val="20"/>
          <w:szCs w:val="20"/>
          <w:lang w:val="it-IT"/>
        </w:rPr>
        <w:t xml:space="preserve">Les 2 premières étapes </w:t>
      </w:r>
      <w:r w:rsidR="00A706CB">
        <w:rPr>
          <w:rFonts w:ascii="Arial" w:eastAsia="Times New Roman" w:hAnsi="Arial" w:cs="Arial"/>
          <w:sz w:val="20"/>
          <w:szCs w:val="20"/>
          <w:lang w:val="it-IT"/>
        </w:rPr>
        <w:t xml:space="preserve">du cycle de l’urée </w:t>
      </w:r>
      <w:r w:rsidR="00E0667E">
        <w:rPr>
          <w:rFonts w:ascii="Arial" w:eastAsia="Times New Roman" w:hAnsi="Arial" w:cs="Arial"/>
          <w:sz w:val="20"/>
          <w:szCs w:val="20"/>
          <w:lang w:val="it-IT"/>
        </w:rPr>
        <w:t>sont mitochondriales puis via l’antiport ornithine/citrulline, le reste de la voie se déroule dans le cytoplasme.</w:t>
      </w:r>
    </w:p>
    <w:p w14:paraId="2975D552" w14:textId="1712E807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2A250A">
        <w:rPr>
          <w:rFonts w:ascii="Arial" w:eastAsia="Times New Roman" w:hAnsi="Arial" w:cs="Arial"/>
          <w:sz w:val="20"/>
          <w:szCs w:val="20"/>
          <w:lang w:val="it-IT"/>
        </w:rPr>
        <w:t xml:space="preserve">L’ornithine, libéré lors de la dernière étape, va retourner dans la mitochondrie: ceci permet d’assurer le fonctionnement de l’antiport et de faire sortir une citrulline </w:t>
      </w:r>
      <w:r w:rsidR="00493176">
        <w:rPr>
          <w:rFonts w:ascii="Arial" w:eastAsia="Times New Roman" w:hAnsi="Arial" w:cs="Arial"/>
          <w:sz w:val="20"/>
          <w:szCs w:val="20"/>
          <w:lang w:val="it-IT"/>
        </w:rPr>
        <w:t xml:space="preserve">qui </w:t>
      </w:r>
      <w:r w:rsidR="002A250A">
        <w:rPr>
          <w:rFonts w:ascii="Arial" w:eastAsia="Times New Roman" w:hAnsi="Arial" w:cs="Arial"/>
          <w:sz w:val="20"/>
          <w:szCs w:val="20"/>
          <w:lang w:val="it-IT"/>
        </w:rPr>
        <w:t>entamer</w:t>
      </w:r>
      <w:r w:rsidR="00493176">
        <w:rPr>
          <w:rFonts w:ascii="Arial" w:eastAsia="Times New Roman" w:hAnsi="Arial" w:cs="Arial"/>
          <w:sz w:val="20"/>
          <w:szCs w:val="20"/>
          <w:lang w:val="it-IT"/>
        </w:rPr>
        <w:t>a</w:t>
      </w:r>
      <w:r w:rsidR="002A250A">
        <w:rPr>
          <w:rFonts w:ascii="Arial" w:eastAsia="Times New Roman" w:hAnsi="Arial" w:cs="Arial"/>
          <w:sz w:val="20"/>
          <w:szCs w:val="20"/>
          <w:lang w:val="it-IT"/>
        </w:rPr>
        <w:t xml:space="preserve"> une nouvelle phase cytoplasmique du cycle de l’urée.</w:t>
      </w:r>
    </w:p>
    <w:p w14:paraId="288586BA" w14:textId="5C4095AD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2A250A">
        <w:rPr>
          <w:rFonts w:ascii="Arial" w:eastAsia="Times New Roman" w:hAnsi="Arial" w:cs="Arial"/>
          <w:sz w:val="20"/>
          <w:szCs w:val="20"/>
          <w:lang w:val="it-IT"/>
        </w:rPr>
        <w:t>L’urée provient de l’hydrolyse du groupement guanidinium de l’Argininosuccinate.</w:t>
      </w:r>
    </w:p>
    <w:p w14:paraId="258E628A" w14:textId="4EDD124F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493176">
        <w:rPr>
          <w:rFonts w:ascii="Arial" w:eastAsia="Times New Roman" w:hAnsi="Arial" w:cs="Arial"/>
          <w:sz w:val="20"/>
          <w:szCs w:val="20"/>
          <w:lang w:val="it-IT"/>
        </w:rPr>
        <w:t>La première étape de la phase mitochondriale et la première étape de la phase cytoplasmique sont consommatrices d’ATP.</w:t>
      </w:r>
    </w:p>
    <w:p w14:paraId="62672139" w14:textId="77777777" w:rsidR="006F1211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>
        <w:rPr>
          <w:rFonts w:ascii="Arial" w:eastAsia="Times New Roman" w:hAnsi="Arial" w:cs="Arial"/>
          <w:sz w:val="20"/>
          <w:szCs w:val="20"/>
          <w:lang w:val="it-IT"/>
        </w:rPr>
        <w:t>Toutes les propositions sont fausses.</w:t>
      </w:r>
    </w:p>
    <w:p w14:paraId="2972606D" w14:textId="77777777" w:rsidR="006F1211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23E9EB79" w14:textId="668ED290" w:rsidR="006F1211" w:rsidRPr="00C54EEB" w:rsidRDefault="006F1211" w:rsidP="006F121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10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C54EEB">
        <w:rPr>
          <w:rFonts w:ascii="Arial" w:eastAsia="Times New Roman" w:hAnsi="Arial" w:cs="Arial"/>
          <w:b/>
          <w:bCs/>
          <w:sz w:val="20"/>
          <w:szCs w:val="20"/>
        </w:rPr>
        <w:t>A propos du catabolisme des AA, donnez la ou les proposition(s) exacte(s) :</w:t>
      </w:r>
    </w:p>
    <w:p w14:paraId="5FFB4B6F" w14:textId="559113B4" w:rsidR="006F1211" w:rsidRPr="005A39C5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493176">
        <w:rPr>
          <w:rFonts w:ascii="Arial" w:eastAsia="Times New Roman" w:hAnsi="Arial" w:cs="Arial"/>
          <w:sz w:val="20"/>
          <w:szCs w:val="20"/>
          <w:lang w:val="it-IT"/>
        </w:rPr>
        <w:t>La Glutamine arrivant dans la mitochondrie est prise en charge par la Glutaminase: cette enzyme réalise une désamidification de la glutamine.</w:t>
      </w:r>
    </w:p>
    <w:p w14:paraId="4689D04B" w14:textId="54D51467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493176">
        <w:rPr>
          <w:rFonts w:ascii="Arial" w:eastAsia="Times New Roman" w:hAnsi="Arial" w:cs="Arial"/>
          <w:sz w:val="20"/>
          <w:szCs w:val="20"/>
          <w:lang w:val="it-IT"/>
        </w:rPr>
        <w:t xml:space="preserve">Le cycle de l’urée entre en interaction directe avec le Cycle du citrate. </w:t>
      </w:r>
    </w:p>
    <w:p w14:paraId="3008A776" w14:textId="271F9BE9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0D6010">
        <w:rPr>
          <w:rFonts w:ascii="Arial" w:eastAsia="Times New Roman" w:hAnsi="Arial" w:cs="Arial"/>
          <w:sz w:val="20"/>
          <w:szCs w:val="20"/>
          <w:lang w:val="it-IT"/>
        </w:rPr>
        <w:t>Dans la molécule d’urée, un atome d’azote provient de l’Ammoniac NH3 et l’autre provient de l’Aspartate interveant dans la première réaction de la phase cytoplasmique du Cylce de l’urée.</w:t>
      </w:r>
    </w:p>
    <w:p w14:paraId="570D2804" w14:textId="05B57093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BC3B54">
        <w:rPr>
          <w:rFonts w:ascii="Arial" w:eastAsia="Times New Roman" w:hAnsi="Arial" w:cs="Arial"/>
          <w:sz w:val="20"/>
          <w:szCs w:val="20"/>
          <w:lang w:val="it-IT"/>
        </w:rPr>
        <w:t>L’Aspartate utilisé dans le cycle de l’urée provient de l’alanine musculaire cytoplasmique qui entre dans la mitochondrie via la navette malate/aspartate.</w:t>
      </w:r>
      <w:bookmarkStart w:id="0" w:name="_GoBack"/>
      <w:bookmarkEnd w:id="0"/>
    </w:p>
    <w:p w14:paraId="2EC50C9A" w14:textId="77777777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>
        <w:rPr>
          <w:rFonts w:ascii="Arial" w:eastAsia="Times New Roman" w:hAnsi="Arial" w:cs="Arial"/>
          <w:sz w:val="20"/>
          <w:szCs w:val="20"/>
          <w:lang w:val="it-IT"/>
        </w:rPr>
        <w:t>Toutes les propositions sont fausses.</w:t>
      </w:r>
    </w:p>
    <w:p w14:paraId="2F77B75F" w14:textId="77777777" w:rsidR="006F1211" w:rsidRPr="00902516" w:rsidRDefault="006F1211" w:rsidP="006F12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5D55A8CE" w14:textId="77777777" w:rsidR="00902516" w:rsidRPr="00902516" w:rsidRDefault="00902516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43172818" w14:textId="77777777" w:rsidR="002D5589" w:rsidRPr="00902516" w:rsidRDefault="002D5589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0C67B7D3" w14:textId="25DC8B81" w:rsidR="00404444" w:rsidRPr="00902516" w:rsidRDefault="00404444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  <w:lang w:val="it-IT"/>
        </w:rPr>
      </w:pPr>
    </w:p>
    <w:sectPr w:rsidR="00404444" w:rsidRPr="00902516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1B91A1" w14:textId="77777777" w:rsidR="006E751A" w:rsidRDefault="006E751A" w:rsidP="00AE49CB">
      <w:pPr>
        <w:spacing w:after="0" w:line="240" w:lineRule="auto"/>
      </w:pPr>
      <w:r>
        <w:separator/>
      </w:r>
    </w:p>
  </w:endnote>
  <w:endnote w:type="continuationSeparator" w:id="0">
    <w:p w14:paraId="50D1D923" w14:textId="77777777" w:rsidR="006E751A" w:rsidRDefault="006E751A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D2D16" w14:textId="7256DD44" w:rsidR="00DE474B" w:rsidRDefault="007A2542" w:rsidP="00834825">
    <w:pPr>
      <w:pStyle w:val="Pieddepage"/>
      <w:pBdr>
        <w:top w:val="single" w:sz="4" w:space="1" w:color="auto"/>
      </w:pBdr>
    </w:pPr>
    <w:r w:rsidRPr="003A31FA">
      <w:rPr>
        <w:b/>
        <w:color w:val="404040"/>
        <w:highlight w:val="yellow"/>
      </w:rPr>
      <w:t>JJ.MM.AA</w:t>
    </w:r>
    <w:r w:rsidR="00DE474B" w:rsidRPr="003A31FA">
      <w:rPr>
        <w:b/>
        <w:color w:val="404040"/>
      </w:rPr>
      <w:t xml:space="preserve"> </w:t>
    </w:r>
    <w:r w:rsidR="00DE474B" w:rsidRPr="003A31FA">
      <w:rPr>
        <w:b/>
        <w:color w:val="404040"/>
      </w:rPr>
      <w:tab/>
      <w:t xml:space="preserve">                  Le tutorat est gratuit. Toute reproduction ou vente est interdite. </w:t>
    </w:r>
    <w:r w:rsidR="00DE474B" w:rsidRPr="003A31FA">
      <w:rPr>
        <w:b/>
        <w:color w:val="404040"/>
      </w:rPr>
      <w:tab/>
    </w:r>
    <w:r w:rsidR="00DE474B" w:rsidRPr="003A31FA">
      <w:rPr>
        <w:b/>
        <w:color w:val="404040"/>
      </w:rPr>
      <w:tab/>
    </w:r>
    <w:r w:rsidR="00DE474B" w:rsidRPr="003A31FA">
      <w:rPr>
        <w:color w:val="404040"/>
      </w:rPr>
      <w:t xml:space="preserve">Page </w:t>
    </w:r>
    <w:r w:rsidR="00DE474B" w:rsidRPr="003A31FA">
      <w:rPr>
        <w:b/>
        <w:color w:val="404040"/>
      </w:rPr>
      <w:fldChar w:fldCharType="begin"/>
    </w:r>
    <w:r w:rsidR="00DE474B" w:rsidRPr="003A31FA">
      <w:rPr>
        <w:b/>
        <w:color w:val="404040"/>
      </w:rPr>
      <w:instrText>PAGE</w:instrText>
    </w:r>
    <w:r w:rsidR="00DE474B" w:rsidRPr="003A31FA">
      <w:rPr>
        <w:b/>
        <w:color w:val="404040"/>
      </w:rPr>
      <w:fldChar w:fldCharType="separate"/>
    </w:r>
    <w:r w:rsidR="00BC3B54">
      <w:rPr>
        <w:b/>
        <w:noProof/>
        <w:color w:val="404040"/>
      </w:rPr>
      <w:t>2</w:t>
    </w:r>
    <w:r w:rsidR="00DE474B" w:rsidRPr="003A31FA">
      <w:rPr>
        <w:b/>
        <w:color w:val="404040"/>
      </w:rPr>
      <w:fldChar w:fldCharType="end"/>
    </w:r>
    <w:r w:rsidR="00DE474B" w:rsidRPr="003A31FA">
      <w:rPr>
        <w:color w:val="404040"/>
      </w:rPr>
      <w:t xml:space="preserve"> sur </w:t>
    </w:r>
    <w:r w:rsidR="00DE474B" w:rsidRPr="003A31FA">
      <w:rPr>
        <w:b/>
        <w:color w:val="404040"/>
      </w:rPr>
      <w:fldChar w:fldCharType="begin"/>
    </w:r>
    <w:r w:rsidR="00DE474B" w:rsidRPr="003A31FA">
      <w:rPr>
        <w:b/>
        <w:color w:val="404040"/>
      </w:rPr>
      <w:instrText>NUMPAGES</w:instrText>
    </w:r>
    <w:r w:rsidR="00DE474B" w:rsidRPr="003A31FA">
      <w:rPr>
        <w:b/>
        <w:color w:val="404040"/>
      </w:rPr>
      <w:fldChar w:fldCharType="separate"/>
    </w:r>
    <w:r w:rsidR="00BC3B54">
      <w:rPr>
        <w:b/>
        <w:noProof/>
        <w:color w:val="404040"/>
      </w:rPr>
      <w:t>2</w:t>
    </w:r>
    <w:r w:rsidR="00DE474B" w:rsidRPr="003A31FA">
      <w:rPr>
        <w:b/>
        <w:color w:val="404040"/>
      </w:rPr>
      <w:fldChar w:fldCharType="end"/>
    </w:r>
  </w:p>
  <w:p w14:paraId="51676AE6" w14:textId="77777777"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1A692C" w14:textId="77777777" w:rsidR="006E751A" w:rsidRDefault="006E751A" w:rsidP="00AE49CB">
      <w:pPr>
        <w:spacing w:after="0" w:line="240" w:lineRule="auto"/>
      </w:pPr>
      <w:r>
        <w:separator/>
      </w:r>
    </w:p>
  </w:footnote>
  <w:footnote w:type="continuationSeparator" w:id="0">
    <w:p w14:paraId="36F06691" w14:textId="77777777" w:rsidR="006E751A" w:rsidRDefault="006E751A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7"/>
  </w:num>
  <w:num w:numId="5">
    <w:abstractNumId w:val="21"/>
  </w:num>
  <w:num w:numId="6">
    <w:abstractNumId w:val="6"/>
  </w:num>
  <w:num w:numId="7">
    <w:abstractNumId w:val="18"/>
  </w:num>
  <w:num w:numId="8">
    <w:abstractNumId w:val="13"/>
  </w:num>
  <w:num w:numId="9">
    <w:abstractNumId w:val="15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0"/>
  </w:num>
  <w:num w:numId="15">
    <w:abstractNumId w:val="5"/>
  </w:num>
  <w:num w:numId="16">
    <w:abstractNumId w:val="22"/>
  </w:num>
  <w:num w:numId="17">
    <w:abstractNumId w:val="2"/>
  </w:num>
  <w:num w:numId="18">
    <w:abstractNumId w:val="9"/>
  </w:num>
  <w:num w:numId="19">
    <w:abstractNumId w:val="14"/>
  </w:num>
  <w:num w:numId="20">
    <w:abstractNumId w:val="1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9B"/>
    <w:rsid w:val="00001CCF"/>
    <w:rsid w:val="000031DC"/>
    <w:rsid w:val="00007BA8"/>
    <w:rsid w:val="000167DF"/>
    <w:rsid w:val="00023FA5"/>
    <w:rsid w:val="00026299"/>
    <w:rsid w:val="00042080"/>
    <w:rsid w:val="0005754B"/>
    <w:rsid w:val="00072326"/>
    <w:rsid w:val="00072F98"/>
    <w:rsid w:val="00077C35"/>
    <w:rsid w:val="00082F99"/>
    <w:rsid w:val="000938F4"/>
    <w:rsid w:val="000A5653"/>
    <w:rsid w:val="000B10B2"/>
    <w:rsid w:val="000B4B7E"/>
    <w:rsid w:val="000B5E75"/>
    <w:rsid w:val="000B6DC2"/>
    <w:rsid w:val="000C2C2E"/>
    <w:rsid w:val="000C7463"/>
    <w:rsid w:val="000D2EC2"/>
    <w:rsid w:val="000D585B"/>
    <w:rsid w:val="000D6010"/>
    <w:rsid w:val="000E351D"/>
    <w:rsid w:val="000F63E3"/>
    <w:rsid w:val="00103900"/>
    <w:rsid w:val="00125ED7"/>
    <w:rsid w:val="00135077"/>
    <w:rsid w:val="001367C5"/>
    <w:rsid w:val="001413F9"/>
    <w:rsid w:val="00154B84"/>
    <w:rsid w:val="001616C3"/>
    <w:rsid w:val="001617B1"/>
    <w:rsid w:val="0016602B"/>
    <w:rsid w:val="0017505E"/>
    <w:rsid w:val="00181386"/>
    <w:rsid w:val="001A0592"/>
    <w:rsid w:val="001A0C88"/>
    <w:rsid w:val="001A312C"/>
    <w:rsid w:val="001B038E"/>
    <w:rsid w:val="001D00A1"/>
    <w:rsid w:val="001D2FD7"/>
    <w:rsid w:val="001F2362"/>
    <w:rsid w:val="001F408E"/>
    <w:rsid w:val="00200E62"/>
    <w:rsid w:val="0020312A"/>
    <w:rsid w:val="00223509"/>
    <w:rsid w:val="002235BE"/>
    <w:rsid w:val="002400A5"/>
    <w:rsid w:val="00247F4D"/>
    <w:rsid w:val="00256AA0"/>
    <w:rsid w:val="00280258"/>
    <w:rsid w:val="0028068A"/>
    <w:rsid w:val="00280B66"/>
    <w:rsid w:val="002936D7"/>
    <w:rsid w:val="00293ABF"/>
    <w:rsid w:val="002A250A"/>
    <w:rsid w:val="002B014C"/>
    <w:rsid w:val="002B1D75"/>
    <w:rsid w:val="002C4CCA"/>
    <w:rsid w:val="002C5F95"/>
    <w:rsid w:val="002D5589"/>
    <w:rsid w:val="002E168E"/>
    <w:rsid w:val="002E5791"/>
    <w:rsid w:val="002E5F93"/>
    <w:rsid w:val="002E7123"/>
    <w:rsid w:val="002E7774"/>
    <w:rsid w:val="002F7483"/>
    <w:rsid w:val="00302D31"/>
    <w:rsid w:val="00304362"/>
    <w:rsid w:val="003174B0"/>
    <w:rsid w:val="00331505"/>
    <w:rsid w:val="00332773"/>
    <w:rsid w:val="00333B1C"/>
    <w:rsid w:val="003403A9"/>
    <w:rsid w:val="00342A17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86CF1"/>
    <w:rsid w:val="003957C2"/>
    <w:rsid w:val="003A3135"/>
    <w:rsid w:val="003A31FA"/>
    <w:rsid w:val="003B075B"/>
    <w:rsid w:val="003B30C2"/>
    <w:rsid w:val="003B6308"/>
    <w:rsid w:val="003B75CB"/>
    <w:rsid w:val="003C11F5"/>
    <w:rsid w:val="003C2892"/>
    <w:rsid w:val="003C7CF6"/>
    <w:rsid w:val="003D1F11"/>
    <w:rsid w:val="003E0292"/>
    <w:rsid w:val="003E49AA"/>
    <w:rsid w:val="003E5827"/>
    <w:rsid w:val="0040066F"/>
    <w:rsid w:val="00404444"/>
    <w:rsid w:val="004046B6"/>
    <w:rsid w:val="004211E0"/>
    <w:rsid w:val="00422308"/>
    <w:rsid w:val="00433C7C"/>
    <w:rsid w:val="0043740B"/>
    <w:rsid w:val="00446055"/>
    <w:rsid w:val="0045099E"/>
    <w:rsid w:val="0045333C"/>
    <w:rsid w:val="0045516D"/>
    <w:rsid w:val="00455DDF"/>
    <w:rsid w:val="0047193F"/>
    <w:rsid w:val="00475361"/>
    <w:rsid w:val="00477E5B"/>
    <w:rsid w:val="00483481"/>
    <w:rsid w:val="00493176"/>
    <w:rsid w:val="00497258"/>
    <w:rsid w:val="004A42BB"/>
    <w:rsid w:val="004B3847"/>
    <w:rsid w:val="004B465D"/>
    <w:rsid w:val="004D1883"/>
    <w:rsid w:val="0050312F"/>
    <w:rsid w:val="00506C18"/>
    <w:rsid w:val="00513670"/>
    <w:rsid w:val="00516FEE"/>
    <w:rsid w:val="0051715F"/>
    <w:rsid w:val="00517DE7"/>
    <w:rsid w:val="005223D0"/>
    <w:rsid w:val="00524FD1"/>
    <w:rsid w:val="00527A2A"/>
    <w:rsid w:val="00531BA4"/>
    <w:rsid w:val="005322CE"/>
    <w:rsid w:val="00533ABC"/>
    <w:rsid w:val="00545DCF"/>
    <w:rsid w:val="0055059B"/>
    <w:rsid w:val="00551481"/>
    <w:rsid w:val="0056096E"/>
    <w:rsid w:val="0056468E"/>
    <w:rsid w:val="00570275"/>
    <w:rsid w:val="005757A4"/>
    <w:rsid w:val="0057607E"/>
    <w:rsid w:val="00581F88"/>
    <w:rsid w:val="0059334C"/>
    <w:rsid w:val="0059608C"/>
    <w:rsid w:val="005A39C5"/>
    <w:rsid w:val="005A5BD9"/>
    <w:rsid w:val="005A69BF"/>
    <w:rsid w:val="005B0E32"/>
    <w:rsid w:val="005B5FA0"/>
    <w:rsid w:val="005C6211"/>
    <w:rsid w:val="005D278E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5814"/>
    <w:rsid w:val="00657729"/>
    <w:rsid w:val="00660144"/>
    <w:rsid w:val="00665143"/>
    <w:rsid w:val="00671BA1"/>
    <w:rsid w:val="00672093"/>
    <w:rsid w:val="00673808"/>
    <w:rsid w:val="00674DCC"/>
    <w:rsid w:val="0067625D"/>
    <w:rsid w:val="00676960"/>
    <w:rsid w:val="006857D2"/>
    <w:rsid w:val="006928A8"/>
    <w:rsid w:val="00694C32"/>
    <w:rsid w:val="006A0A52"/>
    <w:rsid w:val="006A0AAC"/>
    <w:rsid w:val="006A3366"/>
    <w:rsid w:val="006A718C"/>
    <w:rsid w:val="006B355B"/>
    <w:rsid w:val="006B4EB4"/>
    <w:rsid w:val="006C0251"/>
    <w:rsid w:val="006C17FF"/>
    <w:rsid w:val="006D4E9B"/>
    <w:rsid w:val="006D79C2"/>
    <w:rsid w:val="006E0544"/>
    <w:rsid w:val="006E751A"/>
    <w:rsid w:val="006F1211"/>
    <w:rsid w:val="006F2BF6"/>
    <w:rsid w:val="007018AD"/>
    <w:rsid w:val="007036BC"/>
    <w:rsid w:val="007055F3"/>
    <w:rsid w:val="00705A7F"/>
    <w:rsid w:val="007204B5"/>
    <w:rsid w:val="00730AE8"/>
    <w:rsid w:val="0075034D"/>
    <w:rsid w:val="00752E97"/>
    <w:rsid w:val="00771290"/>
    <w:rsid w:val="007748BF"/>
    <w:rsid w:val="0078308C"/>
    <w:rsid w:val="00785915"/>
    <w:rsid w:val="00787344"/>
    <w:rsid w:val="00792B49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8007D7"/>
    <w:rsid w:val="00805127"/>
    <w:rsid w:val="00805EF2"/>
    <w:rsid w:val="0081699E"/>
    <w:rsid w:val="008242FB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7083B"/>
    <w:rsid w:val="00871218"/>
    <w:rsid w:val="008757E4"/>
    <w:rsid w:val="00882817"/>
    <w:rsid w:val="0088594B"/>
    <w:rsid w:val="00890BCE"/>
    <w:rsid w:val="008A2B89"/>
    <w:rsid w:val="008B5D2A"/>
    <w:rsid w:val="008C65A8"/>
    <w:rsid w:val="008C7F8C"/>
    <w:rsid w:val="008D049A"/>
    <w:rsid w:val="008D2264"/>
    <w:rsid w:val="008D6206"/>
    <w:rsid w:val="008D70D3"/>
    <w:rsid w:val="008E3F33"/>
    <w:rsid w:val="008F5A71"/>
    <w:rsid w:val="00902516"/>
    <w:rsid w:val="0090296B"/>
    <w:rsid w:val="00914B1C"/>
    <w:rsid w:val="00922302"/>
    <w:rsid w:val="00924468"/>
    <w:rsid w:val="00936670"/>
    <w:rsid w:val="009502B9"/>
    <w:rsid w:val="0095648D"/>
    <w:rsid w:val="00956500"/>
    <w:rsid w:val="00961674"/>
    <w:rsid w:val="00964E05"/>
    <w:rsid w:val="009671C7"/>
    <w:rsid w:val="00970B22"/>
    <w:rsid w:val="009715CF"/>
    <w:rsid w:val="00977641"/>
    <w:rsid w:val="009852D6"/>
    <w:rsid w:val="0099261B"/>
    <w:rsid w:val="009A42DA"/>
    <w:rsid w:val="009A612B"/>
    <w:rsid w:val="009A6788"/>
    <w:rsid w:val="009B2527"/>
    <w:rsid w:val="009C3031"/>
    <w:rsid w:val="009C5FCF"/>
    <w:rsid w:val="009D19A8"/>
    <w:rsid w:val="009D4AF3"/>
    <w:rsid w:val="009E2378"/>
    <w:rsid w:val="009F0170"/>
    <w:rsid w:val="009F37EE"/>
    <w:rsid w:val="009F42F4"/>
    <w:rsid w:val="009F56C8"/>
    <w:rsid w:val="00A05125"/>
    <w:rsid w:val="00A14ECF"/>
    <w:rsid w:val="00A1558B"/>
    <w:rsid w:val="00A16EC6"/>
    <w:rsid w:val="00A340D2"/>
    <w:rsid w:val="00A4037C"/>
    <w:rsid w:val="00A44E7C"/>
    <w:rsid w:val="00A44F71"/>
    <w:rsid w:val="00A4774D"/>
    <w:rsid w:val="00A51181"/>
    <w:rsid w:val="00A57C8A"/>
    <w:rsid w:val="00A603DB"/>
    <w:rsid w:val="00A65190"/>
    <w:rsid w:val="00A706CB"/>
    <w:rsid w:val="00A8714C"/>
    <w:rsid w:val="00A90883"/>
    <w:rsid w:val="00A9223B"/>
    <w:rsid w:val="00A93814"/>
    <w:rsid w:val="00AA5B9A"/>
    <w:rsid w:val="00AA7CDC"/>
    <w:rsid w:val="00AB51B7"/>
    <w:rsid w:val="00AC35D1"/>
    <w:rsid w:val="00AC7C30"/>
    <w:rsid w:val="00AD00A5"/>
    <w:rsid w:val="00AD3C2B"/>
    <w:rsid w:val="00AD6A8D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11650"/>
    <w:rsid w:val="00B23DDC"/>
    <w:rsid w:val="00B2554C"/>
    <w:rsid w:val="00B32606"/>
    <w:rsid w:val="00B45323"/>
    <w:rsid w:val="00B5017C"/>
    <w:rsid w:val="00B53AA2"/>
    <w:rsid w:val="00B62DD7"/>
    <w:rsid w:val="00B725C8"/>
    <w:rsid w:val="00B736AB"/>
    <w:rsid w:val="00B82C03"/>
    <w:rsid w:val="00B96229"/>
    <w:rsid w:val="00BA20E2"/>
    <w:rsid w:val="00BA2273"/>
    <w:rsid w:val="00BB0E74"/>
    <w:rsid w:val="00BC276E"/>
    <w:rsid w:val="00BC3B54"/>
    <w:rsid w:val="00BC7DE9"/>
    <w:rsid w:val="00BE7703"/>
    <w:rsid w:val="00C00CCD"/>
    <w:rsid w:val="00C16E12"/>
    <w:rsid w:val="00C26CED"/>
    <w:rsid w:val="00C343E2"/>
    <w:rsid w:val="00C36D9A"/>
    <w:rsid w:val="00C460B9"/>
    <w:rsid w:val="00C536FB"/>
    <w:rsid w:val="00C54EEB"/>
    <w:rsid w:val="00C563F7"/>
    <w:rsid w:val="00C82491"/>
    <w:rsid w:val="00C829CB"/>
    <w:rsid w:val="00C87FE1"/>
    <w:rsid w:val="00C9197D"/>
    <w:rsid w:val="00C970FC"/>
    <w:rsid w:val="00C97B6A"/>
    <w:rsid w:val="00CA24B7"/>
    <w:rsid w:val="00CB3032"/>
    <w:rsid w:val="00CC2102"/>
    <w:rsid w:val="00CC2C7C"/>
    <w:rsid w:val="00CC4175"/>
    <w:rsid w:val="00CD3D7D"/>
    <w:rsid w:val="00CD7EAB"/>
    <w:rsid w:val="00CE146D"/>
    <w:rsid w:val="00CE49B4"/>
    <w:rsid w:val="00CF180F"/>
    <w:rsid w:val="00CF2B9B"/>
    <w:rsid w:val="00CF4734"/>
    <w:rsid w:val="00CF545D"/>
    <w:rsid w:val="00CF5804"/>
    <w:rsid w:val="00CF6C7D"/>
    <w:rsid w:val="00D03348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619BE"/>
    <w:rsid w:val="00D63FED"/>
    <w:rsid w:val="00D67CFE"/>
    <w:rsid w:val="00D7199F"/>
    <w:rsid w:val="00D72271"/>
    <w:rsid w:val="00D765C2"/>
    <w:rsid w:val="00D92922"/>
    <w:rsid w:val="00DB0E49"/>
    <w:rsid w:val="00DB748E"/>
    <w:rsid w:val="00DB76E8"/>
    <w:rsid w:val="00DC0A1B"/>
    <w:rsid w:val="00DC3B34"/>
    <w:rsid w:val="00DD6625"/>
    <w:rsid w:val="00DE474B"/>
    <w:rsid w:val="00DE53B9"/>
    <w:rsid w:val="00DE6272"/>
    <w:rsid w:val="00DF16B3"/>
    <w:rsid w:val="00DF19EF"/>
    <w:rsid w:val="00DF4354"/>
    <w:rsid w:val="00E0130C"/>
    <w:rsid w:val="00E03B7E"/>
    <w:rsid w:val="00E05117"/>
    <w:rsid w:val="00E0667E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825D5"/>
    <w:rsid w:val="00E96F9B"/>
    <w:rsid w:val="00E972F6"/>
    <w:rsid w:val="00EA02BE"/>
    <w:rsid w:val="00EA2029"/>
    <w:rsid w:val="00EA4A0E"/>
    <w:rsid w:val="00EC03E1"/>
    <w:rsid w:val="00EC0B5D"/>
    <w:rsid w:val="00EC3A32"/>
    <w:rsid w:val="00ED2166"/>
    <w:rsid w:val="00ED727F"/>
    <w:rsid w:val="00EE3F08"/>
    <w:rsid w:val="00EF73F3"/>
    <w:rsid w:val="00F00468"/>
    <w:rsid w:val="00F022CC"/>
    <w:rsid w:val="00F03835"/>
    <w:rsid w:val="00F043DC"/>
    <w:rsid w:val="00F11A32"/>
    <w:rsid w:val="00F12F6B"/>
    <w:rsid w:val="00F13A6B"/>
    <w:rsid w:val="00F161F9"/>
    <w:rsid w:val="00F238A2"/>
    <w:rsid w:val="00F24B68"/>
    <w:rsid w:val="00F30011"/>
    <w:rsid w:val="00F32485"/>
    <w:rsid w:val="00F32592"/>
    <w:rsid w:val="00F41357"/>
    <w:rsid w:val="00F43A84"/>
    <w:rsid w:val="00F43CDC"/>
    <w:rsid w:val="00F44B94"/>
    <w:rsid w:val="00F60301"/>
    <w:rsid w:val="00F6381A"/>
    <w:rsid w:val="00F70EE0"/>
    <w:rsid w:val="00F73E17"/>
    <w:rsid w:val="00F7660E"/>
    <w:rsid w:val="00F77632"/>
    <w:rsid w:val="00F85F92"/>
    <w:rsid w:val="00FA229F"/>
    <w:rsid w:val="00FB38B8"/>
    <w:rsid w:val="00FB6D9A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6C01A1"/>
  <w15:docId w15:val="{6B8FE8DA-7F5E-496A-BFE9-A9E9234D7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82F99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styleId="Sansinterligne">
    <w:name w:val="No Spacing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styleId="Pardeliste">
    <w:name w:val="List Paragraph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6F7514-81C3-5445-94BE-EE9487384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912</Words>
  <Characters>5020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FILENI Caroline</cp:lastModifiedBy>
  <cp:revision>32</cp:revision>
  <cp:lastPrinted>2016-09-24T21:30:00Z</cp:lastPrinted>
  <dcterms:created xsi:type="dcterms:W3CDTF">2017-11-17T19:38:00Z</dcterms:created>
  <dcterms:modified xsi:type="dcterms:W3CDTF">2017-11-17T21:23:00Z</dcterms:modified>
</cp:coreProperties>
</file>