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E4" w:rsidRDefault="00523298" w:rsidP="00523298">
      <w:pPr>
        <w:pStyle w:val="Titre1"/>
      </w:pPr>
      <w:r>
        <w:t>Insuffisance rénale</w:t>
      </w:r>
    </w:p>
    <w:p w:rsidR="00130B1E" w:rsidRDefault="00523298" w:rsidP="00523298">
      <w:pPr>
        <w:pStyle w:val="Titre2"/>
      </w:pPr>
      <w:r>
        <w:t>Définir une insuffisance rénale</w:t>
      </w:r>
    </w:p>
    <w:p w:rsidR="00523298" w:rsidRDefault="00523298" w:rsidP="00523298">
      <w:pPr>
        <w:pStyle w:val="Titre3"/>
        <w:spacing w:line="360" w:lineRule="auto"/>
      </w:pPr>
      <w:r>
        <w:t>Créatininémie</w:t>
      </w:r>
    </w:p>
    <w:p w:rsidR="00523298" w:rsidRDefault="00523298" w:rsidP="00523298">
      <w:r>
        <w:t xml:space="preserve">La créatine est le produit du </w:t>
      </w:r>
      <w:r w:rsidRPr="00523298">
        <w:rPr>
          <w:b/>
        </w:rPr>
        <w:t>métabolisme musculaire</w:t>
      </w:r>
      <w:r>
        <w:t xml:space="preserve">, plus la </w:t>
      </w:r>
      <w:r w:rsidRPr="00523298">
        <w:rPr>
          <w:b/>
        </w:rPr>
        <w:t>masse musculaire</w:t>
      </w:r>
      <w:r>
        <w:t xml:space="preserve"> est importante plus le taux de créatine augmente. !! Ne dépend pas de la force musculaire. </w:t>
      </w:r>
    </w:p>
    <w:p w:rsidR="00523298" w:rsidRDefault="00523298" w:rsidP="00523298">
      <w:r>
        <w:t xml:space="preserve">Elle dépend de la </w:t>
      </w:r>
      <w:r w:rsidRPr="00523298">
        <w:rPr>
          <w:b/>
        </w:rPr>
        <w:t>fonction rénale</w:t>
      </w:r>
      <w:r>
        <w:t xml:space="preserve"> (élimination de la créatine) :</w:t>
      </w:r>
    </w:p>
    <w:p w:rsidR="00523298" w:rsidRDefault="00523298" w:rsidP="00523298">
      <w:pPr>
        <w:pStyle w:val="Paragraphedeliste"/>
        <w:numPr>
          <w:ilvl w:val="0"/>
          <w:numId w:val="3"/>
        </w:numPr>
      </w:pPr>
      <w:r>
        <w:t xml:space="preserve">Normale </w:t>
      </w:r>
      <w:r>
        <w:rPr>
          <w:rFonts w:ascii="Arial" w:hAnsi="Arial" w:cs="Arial"/>
        </w:rPr>
        <w:t>→</w:t>
      </w:r>
      <w:r>
        <w:t xml:space="preserve"> niveau créatine bas</w:t>
      </w:r>
    </w:p>
    <w:p w:rsidR="00523298" w:rsidRDefault="00523298" w:rsidP="00523298">
      <w:pPr>
        <w:pStyle w:val="Paragraphedeliste"/>
        <w:numPr>
          <w:ilvl w:val="0"/>
          <w:numId w:val="3"/>
        </w:numPr>
      </w:pPr>
      <w:r>
        <w:t>IR chronique</w:t>
      </w:r>
      <w:r>
        <w:rPr>
          <w:rFonts w:ascii="Arial" w:hAnsi="Arial" w:cs="Arial"/>
        </w:rPr>
        <w:t>→</w:t>
      </w:r>
      <w:r>
        <w:t xml:space="preserve"> niveau créatine augmenté avec un équilibre</w:t>
      </w:r>
    </w:p>
    <w:p w:rsidR="00523298" w:rsidRDefault="00523298" w:rsidP="00523298">
      <w:pPr>
        <w:pStyle w:val="Paragraphedeliste"/>
        <w:numPr>
          <w:ilvl w:val="0"/>
          <w:numId w:val="3"/>
        </w:numPr>
      </w:pPr>
      <w:r>
        <w:t xml:space="preserve">IR aigue </w:t>
      </w:r>
      <w:r>
        <w:rPr>
          <w:rFonts w:ascii="Arial" w:hAnsi="Arial" w:cs="Arial"/>
        </w:rPr>
        <w:t>→</w:t>
      </w:r>
      <w:r>
        <w:t xml:space="preserve"> le rein est complètement bloqué </w:t>
      </w:r>
      <w:r>
        <w:rPr>
          <w:rFonts w:ascii="Arial" w:hAnsi="Arial" w:cs="Arial"/>
        </w:rPr>
        <w:t>→</w:t>
      </w:r>
      <w:r>
        <w:t xml:space="preserve"> créatine augmente jusqu’au décès ou la dialyse. </w:t>
      </w:r>
    </w:p>
    <w:p w:rsidR="00523298" w:rsidRDefault="00523298" w:rsidP="00523298">
      <w:pPr>
        <w:pStyle w:val="Titre3"/>
        <w:spacing w:line="360" w:lineRule="auto"/>
      </w:pPr>
      <w:r>
        <w:t>Urée sanguine</w:t>
      </w:r>
    </w:p>
    <w:p w:rsidR="00523298" w:rsidRDefault="00523298" w:rsidP="00523298">
      <w:r>
        <w:t xml:space="preserve">L’urée est le produit du </w:t>
      </w:r>
      <w:r w:rsidRPr="00523298">
        <w:rPr>
          <w:b/>
        </w:rPr>
        <w:t>métabolisme des protéines</w:t>
      </w:r>
      <w:r>
        <w:t xml:space="preserve">. </w:t>
      </w:r>
    </w:p>
    <w:p w:rsidR="00523298" w:rsidRDefault="00523298" w:rsidP="00523298">
      <w:r w:rsidRPr="00523298">
        <w:rPr>
          <w:b/>
        </w:rPr>
        <w:t>Variations</w:t>
      </w:r>
      <w:r>
        <w:t> :</w:t>
      </w:r>
    </w:p>
    <w:p w:rsidR="00523298" w:rsidRDefault="00523298" w:rsidP="00523298">
      <w:pPr>
        <w:pStyle w:val="Paragraphedeliste"/>
        <w:numPr>
          <w:ilvl w:val="0"/>
          <w:numId w:val="4"/>
        </w:numPr>
        <w:rPr>
          <w:rFonts w:cs="Times New Roman"/>
        </w:rPr>
      </w:pPr>
      <w:r>
        <w:t xml:space="preserve">Fonction rénale </w:t>
      </w:r>
      <w:r>
        <w:rPr>
          <w:rFonts w:ascii="Arial" w:hAnsi="Arial" w:cs="Arial"/>
        </w:rPr>
        <w:t>→</w:t>
      </w:r>
      <w:r w:rsidRPr="00523298">
        <w:rPr>
          <w:rFonts w:cs="Times New Roman"/>
        </w:rPr>
        <w:t>le rein a une fonction d’élimination de l’urée donc si elle augmente → IR</w:t>
      </w:r>
    </w:p>
    <w:p w:rsidR="00523298" w:rsidRDefault="00523298" w:rsidP="00523298">
      <w:pPr>
        <w:pStyle w:val="Paragraphedeliste"/>
        <w:numPr>
          <w:ilvl w:val="0"/>
          <w:numId w:val="4"/>
        </w:numPr>
        <w:rPr>
          <w:rFonts w:cs="Times New Roman"/>
        </w:rPr>
      </w:pPr>
      <w:r>
        <w:rPr>
          <w:rFonts w:cs="Times New Roman"/>
        </w:rPr>
        <w:t>Augmentation de la production d’urée :</w:t>
      </w:r>
    </w:p>
    <w:p w:rsidR="00523298" w:rsidRDefault="00523298" w:rsidP="00523298">
      <w:pPr>
        <w:pStyle w:val="Paragraphedeliste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>Alimentation plus riche en protéines</w:t>
      </w:r>
    </w:p>
    <w:p w:rsidR="00523298" w:rsidRDefault="00523298" w:rsidP="00523298">
      <w:pPr>
        <w:pStyle w:val="Paragraphedeliste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 xml:space="preserve">Catabolisme protéique </w:t>
      </w:r>
      <w:r>
        <w:rPr>
          <w:rFonts w:ascii="Arial" w:hAnsi="Arial" w:cs="Arial"/>
        </w:rPr>
        <w:t>→</w:t>
      </w:r>
      <w:r>
        <w:rPr>
          <w:rFonts w:cs="Times New Roman"/>
        </w:rPr>
        <w:t xml:space="preserve"> ++ en cas d’infections graves</w:t>
      </w:r>
    </w:p>
    <w:p w:rsidR="00523298" w:rsidRDefault="00523298" w:rsidP="00523298">
      <w:pPr>
        <w:pStyle w:val="Paragraphedeliste"/>
        <w:numPr>
          <w:ilvl w:val="0"/>
          <w:numId w:val="5"/>
        </w:numPr>
        <w:rPr>
          <w:rFonts w:cs="Times New Roman"/>
        </w:rPr>
      </w:pPr>
      <w:r>
        <w:rPr>
          <w:rFonts w:cs="Times New Roman"/>
        </w:rPr>
        <w:t>Hémorragies digestives hautes  (GR sont des protéines)</w:t>
      </w:r>
    </w:p>
    <w:p w:rsidR="00523298" w:rsidRDefault="00523298" w:rsidP="00523298">
      <w:pPr>
        <w:pStyle w:val="Paragraphedeliste"/>
        <w:numPr>
          <w:ilvl w:val="0"/>
          <w:numId w:val="7"/>
        </w:numPr>
        <w:rPr>
          <w:rFonts w:cs="Times New Roman"/>
        </w:rPr>
      </w:pPr>
      <w:r>
        <w:rPr>
          <w:rFonts w:cs="Times New Roman"/>
        </w:rPr>
        <w:t xml:space="preserve">Absence de métabolisme des protéines en urée </w:t>
      </w:r>
      <w:r>
        <w:rPr>
          <w:rFonts w:ascii="Arial" w:hAnsi="Arial" w:cs="Arial"/>
        </w:rPr>
        <w:t>→</w:t>
      </w:r>
      <w:r>
        <w:rPr>
          <w:rFonts w:cs="Times New Roman"/>
        </w:rPr>
        <w:t xml:space="preserve"> insuffisance hépatocellulaire</w:t>
      </w:r>
    </w:p>
    <w:p w:rsidR="00523298" w:rsidRDefault="00523298" w:rsidP="00523298">
      <w:pPr>
        <w:rPr>
          <w:rFonts w:cs="Times New Roman"/>
        </w:rPr>
      </w:pPr>
      <w:r>
        <w:rPr>
          <w:rFonts w:cs="Times New Roman"/>
        </w:rPr>
        <w:t xml:space="preserve">Pour mesurer l’importance de l’IR on ne mesure pas l’urée car elle varie dans </w:t>
      </w:r>
      <w:proofErr w:type="gramStart"/>
      <w:r>
        <w:rPr>
          <w:rFonts w:cs="Times New Roman"/>
        </w:rPr>
        <w:t>d’autre</w:t>
      </w:r>
      <w:proofErr w:type="gramEnd"/>
      <w:r>
        <w:rPr>
          <w:rFonts w:cs="Times New Roman"/>
        </w:rPr>
        <w:t xml:space="preserve"> conditions également.</w:t>
      </w:r>
    </w:p>
    <w:p w:rsidR="00523298" w:rsidRDefault="00523298" w:rsidP="00523298">
      <w:pPr>
        <w:pStyle w:val="Titre3"/>
        <w:spacing w:line="360" w:lineRule="auto"/>
      </w:pPr>
      <w:r>
        <w:t>Débit de filtration glomérulaire (DFG)</w:t>
      </w:r>
    </w:p>
    <w:p w:rsidR="00523298" w:rsidRDefault="00523298" w:rsidP="00523298">
      <w:r>
        <w:t xml:space="preserve">C’est le </w:t>
      </w:r>
      <w:r w:rsidRPr="00523298">
        <w:rPr>
          <w:b/>
        </w:rPr>
        <w:t>débit d’urine primitive</w:t>
      </w:r>
      <w:r>
        <w:t xml:space="preserve">, il reflète le fonctionnement du rein </w:t>
      </w:r>
      <w:r>
        <w:rPr>
          <w:rFonts w:ascii="Arial" w:hAnsi="Arial" w:cs="Arial"/>
        </w:rPr>
        <w:t>→</w:t>
      </w:r>
      <w:r>
        <w:t xml:space="preserve"> urine filtrée par les glomérules. </w:t>
      </w:r>
    </w:p>
    <w:p w:rsidR="00891E16" w:rsidRDefault="00891E16" w:rsidP="00523298">
      <w:r>
        <w:t xml:space="preserve">La masse fonctionnelle dépend donc de la masse de glomérules fonctionnels. </w:t>
      </w:r>
    </w:p>
    <w:p w:rsidR="00891E16" w:rsidRDefault="00891E16" w:rsidP="00523298">
      <w:r w:rsidRPr="00891E16">
        <w:rPr>
          <w:b/>
        </w:rPr>
        <w:t xml:space="preserve">DFG normal = 144L/jour </w:t>
      </w:r>
      <w:r w:rsidRPr="00891E16">
        <w:rPr>
          <w:rFonts w:ascii="Arial" w:hAnsi="Arial" w:cs="Arial"/>
          <w:b/>
        </w:rPr>
        <w:t>→</w:t>
      </w:r>
      <w:r w:rsidRPr="00891E16">
        <w:rPr>
          <w:b/>
        </w:rPr>
        <w:t xml:space="preserve"> 100ml/min</w:t>
      </w:r>
      <w:r>
        <w:t xml:space="preserve">  </w:t>
      </w:r>
      <w:r>
        <w:rPr>
          <w:rFonts w:ascii="Arial" w:hAnsi="Arial" w:cs="Arial"/>
        </w:rPr>
        <w:t>→</w:t>
      </w:r>
      <w:r>
        <w:t xml:space="preserve"> rein à 100%. </w:t>
      </w:r>
    </w:p>
    <w:p w:rsidR="00E77B52" w:rsidRDefault="00E77B52" w:rsidP="00523298"/>
    <w:p w:rsidR="00E77B52" w:rsidRDefault="004939A2" w:rsidP="00523298">
      <w:r>
        <w:rPr>
          <w:noProof/>
          <w:lang w:eastAsia="fr-FR"/>
        </w:rPr>
        <w:pict>
          <v:shapetype id="_x0000_t87" coordsize="21600,21600" o:spt="87" adj="1800,10800" path="m21600,qx10800@0l10800@2qy0@11,10800@3l10800@1qy21600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21600,0;0,10800;21600,21600" textboxrect="13963,@4,21600,@5"/>
            <v:handles>
              <v:h position="center,#0" yrange="0,@8"/>
              <v:h position="topLeft,#1" yrange="@9,@10"/>
            </v:handles>
          </v:shapetype>
          <v:shape id="_x0000_s1041" type="#_x0000_t87" style="position:absolute;left:0;text-align:left;margin-left:236.95pt;margin-top:54.8pt;width:7.15pt;height:24.1pt;z-index:251660288"/>
        </w:pict>
      </w:r>
      <w:r>
        <w:rPr>
          <w:noProof/>
          <w:lang w:eastAsia="fr-FR"/>
        </w:rPr>
        <w:pict>
          <v:shape id="_x0000_s1040" type="#_x0000_t87" style="position:absolute;left:0;text-align:left;margin-left:236.95pt;margin-top:4.55pt;width:7.15pt;height:33.6pt;z-index:251659264"/>
        </w:pict>
      </w:r>
      <w:r>
        <w:rPr>
          <w:noProof/>
          <w:lang w:eastAsia="fr-F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left:0;text-align:left;margin-left:236.95pt;margin-top:0;width:285.45pt;height:206.3pt;z-index:251658240" stroked="f">
            <v:textbox>
              <w:txbxContent>
                <w:p w:rsidR="008755A1" w:rsidRDefault="008755A1">
                  <w:r>
                    <w:t>P = la concentration de créatine dans l’urine primitive = concentration de créatine dans le plasma car elle diffuse librement</w:t>
                  </w:r>
                </w:p>
                <w:p w:rsidR="008755A1" w:rsidRDefault="008755A1">
                  <w:pPr>
                    <w:rPr>
                      <w:b/>
                    </w:rPr>
                  </w:pPr>
                  <w:r>
                    <w:t xml:space="preserve">P*DFG= quantité de créatine filtrée </w:t>
                  </w:r>
                  <w:r>
                    <w:rPr>
                      <w:rFonts w:ascii="Arial" w:hAnsi="Arial" w:cs="Arial"/>
                    </w:rPr>
                    <w:t>→</w:t>
                  </w:r>
                  <w:proofErr w:type="spellStart"/>
                  <w:r>
                    <w:t>mmol</w:t>
                  </w:r>
                  <w:proofErr w:type="spellEnd"/>
                  <w:r>
                    <w:t xml:space="preserve">/L*L/24h = </w:t>
                  </w:r>
                  <w:proofErr w:type="spellStart"/>
                  <w:r w:rsidRPr="00E77B52">
                    <w:rPr>
                      <w:b/>
                    </w:rPr>
                    <w:t>mmol</w:t>
                  </w:r>
                  <w:proofErr w:type="spellEnd"/>
                  <w:r w:rsidRPr="00E77B52">
                    <w:rPr>
                      <w:b/>
                    </w:rPr>
                    <w:t>/24h</w:t>
                  </w:r>
                </w:p>
                <w:p w:rsidR="008755A1" w:rsidRDefault="008755A1">
                  <w:pPr>
                    <w:rPr>
                      <w:b/>
                    </w:rPr>
                  </w:pPr>
                </w:p>
                <w:p w:rsidR="008755A1" w:rsidRDefault="008755A1">
                  <w:r w:rsidRPr="00E77B52">
                    <w:t>U = concentration de créatine urinaire</w:t>
                  </w:r>
                </w:p>
                <w:p w:rsidR="008755A1" w:rsidRDefault="008755A1">
                  <w:r>
                    <w:t xml:space="preserve">V = débit urinaire </w:t>
                  </w:r>
                  <w:r>
                    <w:rPr>
                      <w:rFonts w:ascii="Arial" w:hAnsi="Arial" w:cs="Arial"/>
                    </w:rPr>
                    <w:t>→</w:t>
                  </w:r>
                  <w:r>
                    <w:t xml:space="preserve"> diurèse</w:t>
                  </w:r>
                </w:p>
                <w:p w:rsidR="008755A1" w:rsidRDefault="008755A1"/>
                <w:p w:rsidR="008755A1" w:rsidRDefault="008755A1">
                  <w:r>
                    <w:t>La créatine n’est quasiment pas sécrétée ou réabsorbée au niveau des tubes collecteurs (elle est uniquement éliminée au niveau du rein par filtration glomérulaire</w:t>
                  </w:r>
                  <w:proofErr w:type="gramStart"/>
                  <w:r>
                    <w:t>)</w:t>
                  </w:r>
                  <w:r>
                    <w:rPr>
                      <w:rFonts w:ascii="Arial" w:hAnsi="Arial" w:cs="Arial"/>
                    </w:rPr>
                    <w:t>→</w:t>
                  </w:r>
                  <w:proofErr w:type="gramEnd"/>
                  <w:r>
                    <w:t xml:space="preserve"> P*DFG = U*V. </w:t>
                  </w:r>
                </w:p>
                <w:p w:rsidR="008755A1" w:rsidRDefault="008755A1"/>
                <w:p w:rsidR="008755A1" w:rsidRDefault="008755A1">
                  <w:r>
                    <w:t xml:space="preserve">Donc la clairance = élimination de la créatinine </w:t>
                  </w:r>
                </w:p>
                <w:p w:rsidR="008755A1" w:rsidRPr="00E77B52" w:rsidRDefault="008755A1">
                  <w:r>
                    <w:rPr>
                      <w:rFonts w:ascii="Arial" w:hAnsi="Arial" w:cs="Arial"/>
                    </w:rPr>
                    <w:t>→</w:t>
                  </w:r>
                  <w:r>
                    <w:t xml:space="preserve"> </w:t>
                  </w:r>
                  <w:r w:rsidRPr="00E77B52">
                    <w:rPr>
                      <w:b/>
                    </w:rPr>
                    <w:t>DFG=Clairance =UV/P</w:t>
                  </w:r>
                </w:p>
                <w:p w:rsidR="008755A1" w:rsidRDefault="008755A1"/>
              </w:txbxContent>
            </v:textbox>
          </v:shape>
        </w:pict>
      </w:r>
      <w:r>
        <w:pict>
          <v:group id="_x0000_s1027" editas="canvas" style="width:229.4pt;height:220.2pt;mso-position-horizontal-relative:char;mso-position-vertical-relative:line" coordorigin="2361,8204" coordsize="3156,303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6" type="#_x0000_t75" style="position:absolute;left:2361;top:8204;width:3156;height:3030" o:preferrelative="f">
              <v:fill o:detectmouseclick="t"/>
              <v:path o:extrusionok="t" o:connecttype="none"/>
              <o:lock v:ext="edit" text="t"/>
            </v:shape>
            <v:oval id="_x0000_s1028" style="position:absolute;left:2850;top:8624;width:612;height:666" strokecolor="#630" strokeweight="2.25pt"/>
            <v:oval id="_x0000_s1029" style="position:absolute;left:3640;top:10064;width:576;height:633" filled="f" strokecolor="yellow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32" type="#_x0000_t32" style="position:absolute;left:2465;top:8728;width:656;height:1" o:connectortype="straight" strokecolor="red">
              <v:stroke endarrow="open"/>
            </v:shape>
            <v:shape id="_x0000_s1033" type="#_x0000_t32" style="position:absolute;left:2465;top:9153;width:656;height:0" o:connectortype="straight" strokecolor="red">
              <v:stroke startarrow="open"/>
            </v:shape>
            <v:shape id="_x0000_s1034" style="position:absolute;left:3133;top:8728;width:213;height:465" coordsize="310,676" path="m17,hdc73,6,129,9,184,17v17,3,40,2,50,16c255,62,268,134,268,134v-6,39,-1,81,-17,117c222,316,89,271,67,268v6,-34,,-71,17,-101c103,135,189,160,234,167v76,114,48,135,34,302c146,451,136,474,100,368v75,-25,143,-26,201,34c296,452,297,503,285,552,254,676,74,636,,636e" filled="f" strokecolor="red">
              <v:path arrowok="t"/>
            </v:shape>
            <v:shape id="_x0000_s1035" type="#_x0000_t32" style="position:absolute;left:3927;top:10712;width:1;height:331;flip:x" o:connectortype="straight" strokecolor="yellow" strokeweight="2.25pt">
              <v:stroke endarrow="block"/>
            </v:shape>
            <v:shapetype id="_x0000_t19" coordsize="21600,21600" o:spt="19" adj="-5898240,,,21600,21600" path="wr-21600,,21600,43200,,,21600,21600nfewr-21600,,21600,43200,,,21600,21600l,21600nsxe" filled="f">
              <v:formulas>
                <v:f eqn="val #2"/>
                <v:f eqn="val #3"/>
                <v:f eqn="val #4"/>
              </v:formulas>
              <v:path arrowok="t" o:extrusionok="f" gradientshapeok="t" o:connecttype="custom" o:connectlocs="0,0;21600,21600;0,21600"/>
              <v:handles>
                <v:h position="@2,#0" polar="@0,@1"/>
                <v:h position="@2,#1" polar="@0,@1"/>
              </v:handles>
            </v:shapetype>
            <v:shape id="_x0000_s1036" type="#_x0000_t19" style="position:absolute;left:3195;top:9193;width:806;height:868" coordsize="21600,21205" adj="-5178975,,,21205" path="wr-21600,-395,21600,42805,4112,,21600,21205nfewr-21600,-395,21600,42805,4112,,21600,21205l,21205nsxe" strokecolor="#630">
              <v:path o:connectlocs="4112,0;21600,21205;0,21205"/>
            </v:shape>
            <v:shape id="_x0000_s1037" type="#_x0000_t202" style="position:absolute;left:3755;top:8439;width:1485;height:519" stroked="f">
              <v:textbox>
                <w:txbxContent>
                  <w:p w:rsidR="008755A1" w:rsidRDefault="008755A1">
                    <w:r>
                      <w:t>Glomérule </w:t>
                    </w:r>
                    <w:proofErr w:type="gramStart"/>
                    <w:r>
                      <w:t>:  P</w:t>
                    </w:r>
                    <w:proofErr w:type="gramEnd"/>
                    <w:r>
                      <w:t>*DFG</w:t>
                    </w:r>
                  </w:p>
                </w:txbxContent>
              </v:textbox>
            </v:shape>
            <v:shape id="_x0000_s1038" type="#_x0000_t202" style="position:absolute;left:4365;top:10386;width:1152;height:530" stroked="f">
              <v:textbox>
                <w:txbxContent>
                  <w:p w:rsidR="008755A1" w:rsidRDefault="008755A1">
                    <w:r>
                      <w:t>Vessie : U*V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:rsidR="00523298" w:rsidRDefault="009D2E32" w:rsidP="00523298">
      <w:r>
        <w:t>2 formules permettent à partir de la créatine sanguine d’évaluer le DFG</w:t>
      </w:r>
      <w:r w:rsidR="006C7F01">
        <w:rPr>
          <w:rFonts w:ascii="Arial" w:hAnsi="Arial" w:cs="Arial"/>
        </w:rPr>
        <w:t>→</w:t>
      </w:r>
      <w:r w:rsidR="006C7F01">
        <w:t xml:space="preserve"> évaluation de la masse musculaire :</w:t>
      </w:r>
    </w:p>
    <w:p w:rsidR="006C7F01" w:rsidRDefault="006C7F01" w:rsidP="006C7F01">
      <w:pPr>
        <w:pStyle w:val="Paragraphedeliste"/>
        <w:numPr>
          <w:ilvl w:val="0"/>
          <w:numId w:val="7"/>
        </w:numPr>
      </w:pPr>
      <w:proofErr w:type="spellStart"/>
      <w:r>
        <w:t>Cockroft</w:t>
      </w:r>
      <w:proofErr w:type="spellEnd"/>
      <w:r>
        <w:t> : prend en compte l’âge, le sexe, le poids mais est toujours faux pour les extrêmes et les femmes</w:t>
      </w:r>
    </w:p>
    <w:p w:rsidR="006C7F01" w:rsidRDefault="006C7F01" w:rsidP="006C7F01">
      <w:pPr>
        <w:pStyle w:val="Paragraphedeliste"/>
        <w:numPr>
          <w:ilvl w:val="0"/>
          <w:numId w:val="7"/>
        </w:numPr>
      </w:pPr>
      <w:r w:rsidRPr="006C7F01">
        <w:rPr>
          <w:b/>
        </w:rPr>
        <w:t>MDRD</w:t>
      </w:r>
      <w:r w:rsidRPr="006C7F01">
        <w:t> </w:t>
      </w:r>
      <w:proofErr w:type="gramStart"/>
      <w:r w:rsidRPr="006C7F01">
        <w:t>:  modification</w:t>
      </w:r>
      <w:proofErr w:type="gramEnd"/>
      <w:r w:rsidRPr="006C7F01">
        <w:t xml:space="preserve"> of </w:t>
      </w:r>
      <w:proofErr w:type="spellStart"/>
      <w:r w:rsidRPr="006C7F01">
        <w:t>diet</w:t>
      </w:r>
      <w:proofErr w:type="spellEnd"/>
      <w:r w:rsidRPr="006C7F01">
        <w:t xml:space="preserve"> on </w:t>
      </w:r>
      <w:proofErr w:type="spellStart"/>
      <w:r w:rsidRPr="006C7F01">
        <w:t>renal</w:t>
      </w:r>
      <w:proofErr w:type="spellEnd"/>
      <w:r w:rsidRPr="006C7F01">
        <w:t xml:space="preserve"> </w:t>
      </w:r>
      <w:proofErr w:type="spellStart"/>
      <w:r w:rsidRPr="006C7F01">
        <w:t>disease</w:t>
      </w:r>
      <w:proofErr w:type="spellEnd"/>
      <w:r w:rsidRPr="006C7F01">
        <w:t xml:space="preserve"> </w:t>
      </w:r>
      <w:r w:rsidRPr="006C7F01">
        <w:rPr>
          <w:rFonts w:ascii="Arial" w:hAnsi="Arial" w:cs="Arial"/>
        </w:rPr>
        <w:t>→</w:t>
      </w:r>
      <w:r w:rsidRPr="006C7F01">
        <w:t xml:space="preserve"> prend en compte l’âge, le</w:t>
      </w:r>
      <w:r>
        <w:t xml:space="preserve"> sexe, l’ethnie afro américaine. Elle ne prend pas en compte le poids mais la surface corporelle. Le résultat est donné en ml/min/1,73m</w:t>
      </w:r>
      <w:r w:rsidRPr="006C7F01">
        <w:rPr>
          <w:vertAlign w:val="superscript"/>
        </w:rPr>
        <w:t>2</w:t>
      </w:r>
      <w:r>
        <w:rPr>
          <w:vertAlign w:val="superscript"/>
        </w:rPr>
        <w:t xml:space="preserve">. </w:t>
      </w:r>
      <w:r>
        <w:t xml:space="preserve">Une personne avec un DFG de 100ml/min/1,73m² a un rein fonctionnel à 100%.  Cela ne correspond bien sur pas à la valeur réelle mais indique si cela est suffisant pour la personne. </w:t>
      </w:r>
    </w:p>
    <w:p w:rsidR="006C7F01" w:rsidRDefault="006C7F01" w:rsidP="00683C70">
      <w:pPr>
        <w:pStyle w:val="Titre3"/>
      </w:pPr>
      <w:r>
        <w:lastRenderedPageBreak/>
        <w:t>Interpréter le DFG</w:t>
      </w:r>
    </w:p>
    <w:p w:rsidR="00EC04B6" w:rsidRPr="00EC04B6" w:rsidRDefault="00EC04B6" w:rsidP="00EC04B6">
      <w:pPr>
        <w:pStyle w:val="Paragraphedeliste"/>
        <w:numPr>
          <w:ilvl w:val="0"/>
          <w:numId w:val="8"/>
        </w:numPr>
      </w:pPr>
      <w:r w:rsidRPr="00683C70">
        <w:rPr>
          <w:b/>
          <w:u w:val="single"/>
        </w:rPr>
        <w:t>Relation créatininémie /DFG</w:t>
      </w:r>
      <w:r>
        <w:t> :</w:t>
      </w:r>
    </w:p>
    <w:p w:rsidR="006C7F01" w:rsidRPr="006C7F01" w:rsidRDefault="006C7F01" w:rsidP="006C7F01"/>
    <w:p w:rsidR="00130B1E" w:rsidRDefault="004939A2" w:rsidP="00523298">
      <w:r>
        <w:rPr>
          <w:noProof/>
          <w:lang w:eastAsia="fr-FR"/>
        </w:rPr>
        <w:pict>
          <v:shape id="_x0000_s1051" type="#_x0000_t202" style="position:absolute;left:0;text-align:left;margin-left:240.3pt;margin-top:37.5pt;width:280.45pt;height:92.05pt;z-index:251669504" stroked="f">
            <v:textbox>
              <w:txbxContent>
                <w:p w:rsidR="008755A1" w:rsidRDefault="008755A1">
                  <w:r>
                    <w:t xml:space="preserve">En début d’IR une petite augmentation de la créatine peut correspondre à une perte importante de fonction. </w:t>
                  </w:r>
                </w:p>
                <w:p w:rsidR="008755A1" w:rsidRDefault="008755A1"/>
                <w:p w:rsidR="008755A1" w:rsidRDefault="008755A1">
                  <w:r>
                    <w:t xml:space="preserve"> Par contre en fin d’évolution d’insuffisance rénale, une petite baisse de fonction produit une augmentation importante de créatinine. 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50" type="#_x0000_t32" style="position:absolute;left:0;text-align:left;margin-left:168.3pt;margin-top:164.75pt;width:0;height:15.05pt;z-index:251668480" o:connectortype="straight" strokecolor="yellow"/>
        </w:pict>
      </w:r>
      <w:r>
        <w:rPr>
          <w:noProof/>
          <w:lang w:eastAsia="fr-FR"/>
        </w:rPr>
        <w:pict>
          <v:shape id="_x0000_s1049" type="#_x0000_t32" style="position:absolute;left:0;text-align:left;margin-left:36pt;margin-top:164.75pt;width:132.3pt;height:0;z-index:251667456" o:connectortype="straight" strokecolor="yellow"/>
        </w:pict>
      </w:r>
      <w:r>
        <w:rPr>
          <w:noProof/>
          <w:lang w:eastAsia="fr-FR"/>
        </w:rPr>
        <w:pict>
          <v:shape id="_x0000_s1048" type="#_x0000_t32" style="position:absolute;left:0;text-align:left;margin-left:113pt;margin-top:151.35pt;width:0;height:28.45pt;z-index:251666432" o:connectortype="straight" strokecolor="#00b050"/>
        </w:pict>
      </w:r>
      <w:r>
        <w:rPr>
          <w:noProof/>
          <w:lang w:eastAsia="fr-FR"/>
        </w:rPr>
        <w:pict>
          <v:shape id="_x0000_s1047" type="#_x0000_t32" style="position:absolute;left:0;text-align:left;margin-left:36pt;margin-top:151.35pt;width:77pt;height:0;z-index:251665408" o:connectortype="straight" strokecolor="#00b050"/>
        </w:pict>
      </w:r>
      <w:r>
        <w:rPr>
          <w:noProof/>
          <w:lang w:eastAsia="fr-FR"/>
        </w:rPr>
        <w:pict>
          <v:shape id="_x0000_s1046" type="#_x0000_t32" style="position:absolute;left:0;text-align:left;margin-left:82.9pt;margin-top:107.8pt;width:0;height:1in;z-index:251664384" o:connectortype="straight" strokecolor="#00b0f0"/>
        </w:pict>
      </w:r>
      <w:r>
        <w:rPr>
          <w:noProof/>
          <w:lang w:eastAsia="fr-FR"/>
        </w:rPr>
        <w:pict>
          <v:shape id="_x0000_s1045" type="#_x0000_t32" style="position:absolute;left:0;text-align:left;margin-left:36pt;margin-top:107.8pt;width:46.9pt;height:0;z-index:251663360" o:connectortype="straight" strokecolor="#00b0f0"/>
        </w:pict>
      </w:r>
      <w:r>
        <w:rPr>
          <w:noProof/>
          <w:lang w:eastAsia="fr-FR"/>
        </w:rPr>
        <w:pict>
          <v:shape id="_x0000_s1044" type="#_x0000_t32" style="position:absolute;left:0;text-align:left;margin-left:75.35pt;margin-top:37.5pt;width:0;height:142.3pt;z-index:251662336" o:connectortype="straight" strokecolor="red"/>
        </w:pict>
      </w:r>
      <w:r>
        <w:rPr>
          <w:noProof/>
          <w:lang w:eastAsia="fr-FR"/>
        </w:rPr>
        <w:pict>
          <v:shape id="_x0000_s1043" type="#_x0000_t32" style="position:absolute;left:0;text-align:left;margin-left:36pt;margin-top:37.5pt;width:39.35pt;height:0;z-index:251661312" o:connectortype="straight" strokecolor="red"/>
        </w:pict>
      </w:r>
      <w:r w:rsidR="00AE63C5">
        <w:rPr>
          <w:noProof/>
          <w:lang w:eastAsia="fr-FR"/>
        </w:rPr>
        <w:drawing>
          <wp:inline distT="0" distB="0" distL="0" distR="0">
            <wp:extent cx="4444365" cy="2604770"/>
            <wp:effectExtent l="19050" t="0" r="0" b="0"/>
            <wp:docPr id="9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3C70" w:rsidRDefault="00683C70" w:rsidP="00683C70">
      <w:pPr>
        <w:pStyle w:val="Paragraphedeliste"/>
        <w:numPr>
          <w:ilvl w:val="0"/>
          <w:numId w:val="8"/>
        </w:numPr>
      </w:pPr>
      <w:r w:rsidRPr="00683C70">
        <w:rPr>
          <w:b/>
          <w:u w:val="single"/>
        </w:rPr>
        <w:t>L’âge</w:t>
      </w:r>
      <w:r w:rsidRPr="00683C70">
        <w:rPr>
          <w:u w:val="single"/>
        </w:rPr>
        <w:t> </w:t>
      </w:r>
      <w:r>
        <w:t>: (après 40 ans on est vieux</w:t>
      </w:r>
      <w:r>
        <w:sym w:font="Wingdings" w:char="F04A"/>
      </w:r>
      <w:r>
        <w:t xml:space="preserve">) </w:t>
      </w:r>
      <w:r>
        <w:rPr>
          <w:rFonts w:ascii="Arial" w:hAnsi="Arial" w:cs="Arial"/>
        </w:rPr>
        <w:t>→</w:t>
      </w:r>
      <w:r>
        <w:t xml:space="preserve"> perte de 1% de fonction rénale/an après 40 ans</w:t>
      </w:r>
    </w:p>
    <w:p w:rsidR="00683C70" w:rsidRDefault="00683C70" w:rsidP="00683C70">
      <w:pPr>
        <w:pStyle w:val="Paragraphedeliste"/>
      </w:pPr>
      <w:r w:rsidRPr="00683C70">
        <w:t>A 80 ans on est à 60% de fonction rénale (définition de l’IR)</w:t>
      </w:r>
      <w:r>
        <w:t xml:space="preserve">. </w:t>
      </w:r>
    </w:p>
    <w:p w:rsidR="00683C70" w:rsidRDefault="00683C70" w:rsidP="00683C70">
      <w:pPr>
        <w:pStyle w:val="Paragraphedeliste"/>
        <w:numPr>
          <w:ilvl w:val="0"/>
          <w:numId w:val="8"/>
        </w:numPr>
      </w:pPr>
      <w:r w:rsidRPr="00683C70">
        <w:rPr>
          <w:b/>
          <w:u w:val="single"/>
        </w:rPr>
        <w:t>5 stades de Maladie Rénale Chronique (MRC)</w:t>
      </w:r>
      <w:r>
        <w:t> :</w:t>
      </w:r>
    </w:p>
    <w:p w:rsidR="00683C70" w:rsidRDefault="00683C70" w:rsidP="00683C70">
      <w:pPr>
        <w:pStyle w:val="Paragraphedeliste"/>
        <w:numPr>
          <w:ilvl w:val="0"/>
          <w:numId w:val="9"/>
        </w:numPr>
      </w:pPr>
      <w:r>
        <w:t xml:space="preserve">1 </w:t>
      </w:r>
      <w:r>
        <w:rPr>
          <w:rFonts w:ascii="Arial" w:hAnsi="Arial" w:cs="Arial"/>
        </w:rPr>
        <w:t xml:space="preserve">→ </w:t>
      </w:r>
      <w:r>
        <w:t>&gt; 90% de fonction rénale mais protéinurie ou hématurie</w:t>
      </w:r>
    </w:p>
    <w:p w:rsidR="00683C70" w:rsidRDefault="00683C70" w:rsidP="00683C70">
      <w:pPr>
        <w:pStyle w:val="Paragraphedeliste"/>
        <w:numPr>
          <w:ilvl w:val="0"/>
          <w:numId w:val="9"/>
        </w:numPr>
      </w:pPr>
      <w:r>
        <w:t xml:space="preserve">2 </w:t>
      </w:r>
      <w:r>
        <w:rPr>
          <w:rFonts w:ascii="Arial" w:hAnsi="Arial" w:cs="Arial"/>
        </w:rPr>
        <w:t>→</w:t>
      </w:r>
      <w:r>
        <w:t xml:space="preserve"> entre 90 et 60% de fonction rénale avec un peu de protéinurie ou hématurie</w:t>
      </w:r>
    </w:p>
    <w:p w:rsidR="00683C70" w:rsidRDefault="00683C70" w:rsidP="00683C70">
      <w:pPr>
        <w:pStyle w:val="Paragraphedeliste"/>
        <w:numPr>
          <w:ilvl w:val="0"/>
          <w:numId w:val="9"/>
        </w:numPr>
      </w:pPr>
      <w:r>
        <w:t xml:space="preserve">3 </w:t>
      </w:r>
      <w:r>
        <w:rPr>
          <w:rFonts w:ascii="Arial" w:hAnsi="Arial" w:cs="Arial"/>
        </w:rPr>
        <w:t>→</w:t>
      </w:r>
      <w:r>
        <w:t xml:space="preserve"> Insuffisance rénale = entre 60 et 30% de fonction rénale </w:t>
      </w:r>
      <w:r>
        <w:rPr>
          <w:rFonts w:ascii="Arial" w:hAnsi="Arial" w:cs="Arial"/>
        </w:rPr>
        <w:t>→</w:t>
      </w:r>
      <w:r>
        <w:t xml:space="preserve"> augmentation de la créatine et un peu de l’urée</w:t>
      </w:r>
    </w:p>
    <w:p w:rsidR="00683C70" w:rsidRDefault="00683C70" w:rsidP="00683C70">
      <w:pPr>
        <w:pStyle w:val="Paragraphedeliste"/>
        <w:numPr>
          <w:ilvl w:val="0"/>
          <w:numId w:val="9"/>
        </w:numPr>
      </w:pPr>
      <w:r>
        <w:t xml:space="preserve">4 </w:t>
      </w:r>
      <w:r>
        <w:rPr>
          <w:rFonts w:ascii="Arial" w:hAnsi="Arial" w:cs="Arial"/>
        </w:rPr>
        <w:t>→</w:t>
      </w:r>
      <w:r>
        <w:t xml:space="preserve"> entre 30 et 15% de fonction </w:t>
      </w:r>
      <w:r>
        <w:rPr>
          <w:rFonts w:ascii="Arial" w:hAnsi="Arial" w:cs="Arial"/>
        </w:rPr>
        <w:t>→</w:t>
      </w:r>
      <w:r>
        <w:t xml:space="preserve"> désordres biologiques et désordres cliniques plus tardivement</w:t>
      </w:r>
    </w:p>
    <w:p w:rsidR="00683C70" w:rsidRDefault="00683C70" w:rsidP="00683C70">
      <w:pPr>
        <w:pStyle w:val="Paragraphedeliste"/>
        <w:numPr>
          <w:ilvl w:val="0"/>
          <w:numId w:val="9"/>
        </w:numPr>
      </w:pPr>
      <w:r>
        <w:t xml:space="preserve">5 </w:t>
      </w:r>
      <w:r>
        <w:rPr>
          <w:rFonts w:ascii="Arial" w:hAnsi="Arial" w:cs="Arial"/>
        </w:rPr>
        <w:t>→</w:t>
      </w:r>
      <w:r>
        <w:t xml:space="preserve"> moins de 15% de fonction </w:t>
      </w:r>
      <w:r>
        <w:rPr>
          <w:rFonts w:ascii="Arial" w:hAnsi="Arial" w:cs="Arial"/>
        </w:rPr>
        <w:t>→</w:t>
      </w:r>
      <w:r>
        <w:t xml:space="preserve"> préparation à la dialyse ou à la greffe</w:t>
      </w:r>
    </w:p>
    <w:p w:rsidR="00683C70" w:rsidRDefault="00683C70" w:rsidP="00683C70"/>
    <w:p w:rsidR="00683C70" w:rsidRDefault="00683C70" w:rsidP="00683C70">
      <w:pPr>
        <w:pStyle w:val="Titre2"/>
      </w:pPr>
      <w:r>
        <w:t>Typer l’insuffisance rénale</w:t>
      </w:r>
    </w:p>
    <w:p w:rsidR="00683C70" w:rsidRDefault="00683C70" w:rsidP="00683C70">
      <w:pPr>
        <w:pStyle w:val="Titre4"/>
        <w:spacing w:line="360" w:lineRule="auto"/>
      </w:pPr>
      <w:r>
        <w:t>IR fonctionnelle</w:t>
      </w:r>
    </w:p>
    <w:p w:rsidR="00683C70" w:rsidRDefault="00683C70" w:rsidP="00683C70">
      <w:r>
        <w:t xml:space="preserve">Le dépistage  se fait sur la créatine uniquement mais après on réalise aussi un dosage de l’urée. </w:t>
      </w:r>
    </w:p>
    <w:p w:rsidR="00080632" w:rsidRDefault="00080632" w:rsidP="00683C70">
      <w:r>
        <w:t>IRF = toutes les situations avec une diminution du débit sanguin rénal :</w:t>
      </w:r>
    </w:p>
    <w:p w:rsidR="00080632" w:rsidRDefault="00080632" w:rsidP="00080632">
      <w:pPr>
        <w:pStyle w:val="Paragraphedeliste"/>
        <w:numPr>
          <w:ilvl w:val="0"/>
          <w:numId w:val="11"/>
        </w:numPr>
      </w:pPr>
      <w:r>
        <w:t xml:space="preserve">Déshydratation extra cellulaire / état de choc / surdosage diurétique </w:t>
      </w:r>
      <w:r>
        <w:rPr>
          <w:rFonts w:ascii="Arial" w:hAnsi="Arial" w:cs="Arial"/>
        </w:rPr>
        <w:t>→</w:t>
      </w:r>
      <w:r>
        <w:t xml:space="preserve"> chute TA</w:t>
      </w:r>
    </w:p>
    <w:p w:rsidR="00080632" w:rsidRDefault="00080632" w:rsidP="00080632">
      <w:pPr>
        <w:pStyle w:val="Paragraphedeliste"/>
        <w:numPr>
          <w:ilvl w:val="0"/>
          <w:numId w:val="11"/>
        </w:numPr>
        <w:rPr>
          <w:u w:val="single"/>
        </w:rPr>
      </w:pPr>
      <w:r w:rsidRPr="00080632">
        <w:rPr>
          <w:u w:val="single"/>
        </w:rPr>
        <w:t>Hypo volémie efficace</w:t>
      </w:r>
      <w:r>
        <w:rPr>
          <w:u w:val="single"/>
        </w:rPr>
        <w:t xml:space="preserve"> </w:t>
      </w:r>
      <w:r w:rsidRPr="00080632">
        <w:t>avec œdème :</w:t>
      </w:r>
    </w:p>
    <w:p w:rsidR="00080632" w:rsidRPr="00262B27" w:rsidRDefault="00080632" w:rsidP="00080632">
      <w:pPr>
        <w:pStyle w:val="Paragraphedeliste"/>
        <w:numPr>
          <w:ilvl w:val="0"/>
          <w:numId w:val="12"/>
        </w:numPr>
        <w:rPr>
          <w:u w:val="single"/>
        </w:rPr>
      </w:pPr>
      <w:r>
        <w:t>Insuffisance cardiaque</w:t>
      </w:r>
      <w:r w:rsidR="00262B27">
        <w:t xml:space="preserve"> </w:t>
      </w:r>
      <w:r w:rsidR="00262B27">
        <w:rPr>
          <w:rFonts w:ascii="Arial" w:hAnsi="Arial" w:cs="Arial"/>
        </w:rPr>
        <w:t>→</w:t>
      </w:r>
      <w:r w:rsidR="00262B27">
        <w:t xml:space="preserve"> diminution du débit dans tous les organes</w:t>
      </w:r>
    </w:p>
    <w:p w:rsidR="00262B27" w:rsidRPr="00262B27" w:rsidRDefault="00262B27" w:rsidP="00080632">
      <w:pPr>
        <w:pStyle w:val="Paragraphedeliste"/>
        <w:numPr>
          <w:ilvl w:val="0"/>
          <w:numId w:val="12"/>
        </w:numPr>
        <w:rPr>
          <w:u w:val="single"/>
        </w:rPr>
      </w:pPr>
      <w:r>
        <w:t xml:space="preserve">Cirrhose en décompensation </w:t>
      </w:r>
      <w:proofErr w:type="spellStart"/>
      <w:r>
        <w:t>oedémato</w:t>
      </w:r>
      <w:proofErr w:type="spellEnd"/>
      <w:r>
        <w:t xml:space="preserve">-acétique </w:t>
      </w:r>
      <w:r>
        <w:rPr>
          <w:rFonts w:ascii="Arial" w:hAnsi="Arial" w:cs="Arial"/>
        </w:rPr>
        <w:t>→</w:t>
      </w:r>
      <w:r>
        <w:t xml:space="preserve"> le foie bloque le sang dans le territoire splanchnique </w:t>
      </w:r>
      <w:r>
        <w:rPr>
          <w:rFonts w:ascii="Arial" w:hAnsi="Arial" w:cs="Arial"/>
        </w:rPr>
        <w:t>→</w:t>
      </w:r>
      <w:r>
        <w:t xml:space="preserve"> ascite et hypotension </w:t>
      </w:r>
      <w:r>
        <w:rPr>
          <w:rFonts w:ascii="Arial" w:hAnsi="Arial" w:cs="Arial"/>
        </w:rPr>
        <w:t>→</w:t>
      </w:r>
      <w:r>
        <w:t xml:space="preserve"> diminution du débit rénal</w:t>
      </w:r>
    </w:p>
    <w:p w:rsidR="00262B27" w:rsidRPr="00262B27" w:rsidRDefault="00262B27" w:rsidP="00080632">
      <w:pPr>
        <w:pStyle w:val="Paragraphedeliste"/>
        <w:numPr>
          <w:ilvl w:val="0"/>
          <w:numId w:val="12"/>
        </w:numPr>
        <w:rPr>
          <w:u w:val="single"/>
        </w:rPr>
      </w:pPr>
      <w:proofErr w:type="spellStart"/>
      <w:r>
        <w:t>Hypoalbuminémie</w:t>
      </w:r>
      <w:proofErr w:type="spellEnd"/>
      <w:r>
        <w:t xml:space="preserve"> </w:t>
      </w:r>
      <w:r>
        <w:rPr>
          <w:rFonts w:ascii="Arial" w:hAnsi="Arial" w:cs="Arial"/>
        </w:rPr>
        <w:t>→</w:t>
      </w:r>
      <w:r>
        <w:t xml:space="preserve"> l’albumine est responsable de la pression oncotique </w:t>
      </w:r>
      <w:r>
        <w:rPr>
          <w:rFonts w:ascii="Arial" w:hAnsi="Arial" w:cs="Arial"/>
        </w:rPr>
        <w:t>→</w:t>
      </w:r>
      <w:r>
        <w:t xml:space="preserve"> retient l’eau dans le sang et les vaisseaux </w:t>
      </w:r>
      <w:r>
        <w:rPr>
          <w:rFonts w:ascii="Arial" w:hAnsi="Arial" w:cs="Arial"/>
        </w:rPr>
        <w:t>→</w:t>
      </w:r>
      <w:r>
        <w:t xml:space="preserve"> œdème et diminution du débit</w:t>
      </w:r>
    </w:p>
    <w:p w:rsidR="00262B27" w:rsidRDefault="00262B27" w:rsidP="00262B27">
      <w:pPr>
        <w:rPr>
          <w:u w:val="single"/>
        </w:rPr>
      </w:pPr>
    </w:p>
    <w:p w:rsidR="00262B27" w:rsidRDefault="00262B27" w:rsidP="00262B27">
      <w:r>
        <w:t>Le rein va réabsorber fortement les sels</w:t>
      </w:r>
      <w:r>
        <w:rPr>
          <w:rFonts w:ascii="Arial" w:hAnsi="Arial" w:cs="Arial"/>
        </w:rPr>
        <w:t>→</w:t>
      </w:r>
      <w:r>
        <w:t xml:space="preserve"> </w:t>
      </w:r>
      <w:r w:rsidRPr="00262B27">
        <w:rPr>
          <w:b/>
        </w:rPr>
        <w:t>rétention de Na+</w:t>
      </w:r>
      <w:r>
        <w:t xml:space="preserve"> et d’eau </w:t>
      </w:r>
      <w:r>
        <w:rPr>
          <w:rFonts w:ascii="Arial" w:hAnsi="Arial" w:cs="Arial"/>
        </w:rPr>
        <w:t>→</w:t>
      </w:r>
      <w:r>
        <w:t xml:space="preserve"> </w:t>
      </w:r>
      <w:r w:rsidRPr="00262B27">
        <w:rPr>
          <w:b/>
        </w:rPr>
        <w:t>urine plus concentrée</w:t>
      </w:r>
      <w:r>
        <w:t xml:space="preserve"> associée à une </w:t>
      </w:r>
      <w:r w:rsidRPr="00262B27">
        <w:rPr>
          <w:b/>
        </w:rPr>
        <w:t xml:space="preserve">augmentation de l’urée </w:t>
      </w:r>
      <w:r>
        <w:t xml:space="preserve">plus importante que celle de la créatine. </w:t>
      </w:r>
    </w:p>
    <w:p w:rsidR="00262B27" w:rsidRDefault="00262B27" w:rsidP="00262B27">
      <w:r>
        <w:t xml:space="preserve">Le rein fonctionne mais il y a moins d’apport donc il y a une accumulation de déchets (créatine et urée). </w:t>
      </w:r>
    </w:p>
    <w:p w:rsidR="00262B27" w:rsidRDefault="00262B27" w:rsidP="00262B27"/>
    <w:p w:rsidR="00262B27" w:rsidRDefault="00262B27" w:rsidP="00262B27">
      <w:r w:rsidRPr="00262B27">
        <w:rPr>
          <w:u w:val="single"/>
        </w:rPr>
        <w:t>Ex </w:t>
      </w:r>
      <w:proofErr w:type="gramStart"/>
      <w:r>
        <w:t>:  si</w:t>
      </w:r>
      <w:proofErr w:type="gramEnd"/>
      <w:r>
        <w:t xml:space="preserve"> la créatine = 160 </w:t>
      </w:r>
      <w:proofErr w:type="spellStart"/>
      <w:r>
        <w:t>umol</w:t>
      </w:r>
      <w:proofErr w:type="spellEnd"/>
      <w:r>
        <w:t xml:space="preserve">/L </w:t>
      </w:r>
      <w:r>
        <w:rPr>
          <w:rFonts w:ascii="Arial" w:hAnsi="Arial" w:cs="Arial"/>
        </w:rPr>
        <w:t>→</w:t>
      </w:r>
      <w:r>
        <w:t xml:space="preserve"> urée = 8mmol (</w:t>
      </w:r>
      <w:r w:rsidRPr="00262B27">
        <w:rPr>
          <w:b/>
        </w:rPr>
        <w:t>la moitié des dizaines de la créatine</w:t>
      </w:r>
      <w:r>
        <w:t>)</w:t>
      </w:r>
    </w:p>
    <w:p w:rsidR="00262B27" w:rsidRDefault="00262B27" w:rsidP="00262B27">
      <w:r>
        <w:t xml:space="preserve">        Si la créatine est toujours égal  à 160umol/L mais que l’urée &gt; 16 </w:t>
      </w:r>
      <w:proofErr w:type="spellStart"/>
      <w:r>
        <w:t>mmol</w:t>
      </w:r>
      <w:proofErr w:type="spellEnd"/>
      <w:r>
        <w:t xml:space="preserve"> alors le rapport clairance de l’urée sur la clairance de la créatine (</w:t>
      </w:r>
      <w:r w:rsidRPr="00262B27">
        <w:rPr>
          <w:b/>
        </w:rPr>
        <w:t>U/C) est supérieur à 100</w:t>
      </w:r>
      <w:r>
        <w:t xml:space="preserve"> donc trop élevé </w:t>
      </w:r>
      <w:r>
        <w:rPr>
          <w:rFonts w:ascii="Arial" w:hAnsi="Arial" w:cs="Arial"/>
        </w:rPr>
        <w:t>→</w:t>
      </w:r>
      <w:r>
        <w:t xml:space="preserve"> !! </w:t>
      </w:r>
      <w:proofErr w:type="gramStart"/>
      <w:r>
        <w:t>à</w:t>
      </w:r>
      <w:proofErr w:type="gramEnd"/>
      <w:r>
        <w:t xml:space="preserve"> l’origine de l’urée. </w:t>
      </w:r>
    </w:p>
    <w:p w:rsidR="00262B27" w:rsidRDefault="00262B27" w:rsidP="00262B27"/>
    <w:p w:rsidR="00262B27" w:rsidRPr="00660CB5" w:rsidRDefault="00262B27" w:rsidP="00262B27">
      <w:pPr>
        <w:rPr>
          <w:b/>
        </w:rPr>
      </w:pPr>
      <w:r w:rsidRPr="00660CB5">
        <w:rPr>
          <w:b/>
        </w:rPr>
        <w:t>Excrétion f</w:t>
      </w:r>
      <w:r w:rsidR="00660CB5" w:rsidRPr="00660CB5">
        <w:rPr>
          <w:b/>
        </w:rPr>
        <w:t>ra</w:t>
      </w:r>
      <w:r w:rsidRPr="00660CB5">
        <w:rPr>
          <w:b/>
        </w:rPr>
        <w:t>ctionnelle de l’urée = EF</w:t>
      </w:r>
    </w:p>
    <w:p w:rsidR="00262B27" w:rsidRDefault="00262B27" w:rsidP="00262B27">
      <w:r>
        <w:t>EF = ((UV</w:t>
      </w:r>
      <w:r w:rsidRPr="00262B27">
        <w:rPr>
          <w:b/>
        </w:rPr>
        <w:t>/</w:t>
      </w:r>
      <w:r>
        <w:t>P urée)</w:t>
      </w:r>
      <w:proofErr w:type="gramStart"/>
      <w:r w:rsidRPr="00262B27">
        <w:rPr>
          <w:b/>
        </w:rPr>
        <w:t>/(</w:t>
      </w:r>
      <w:proofErr w:type="gramEnd"/>
      <w:r>
        <w:t>UV</w:t>
      </w:r>
      <w:r w:rsidRPr="00262B27">
        <w:rPr>
          <w:b/>
        </w:rPr>
        <w:t>/</w:t>
      </w:r>
      <w:r>
        <w:t>P créatine)</w:t>
      </w:r>
      <w:r w:rsidR="00660CB5">
        <w:t xml:space="preserve"> </w:t>
      </w:r>
      <w:r w:rsidR="00660CB5">
        <w:rPr>
          <w:rFonts w:ascii="Arial" w:hAnsi="Arial" w:cs="Arial"/>
        </w:rPr>
        <w:t>→</w:t>
      </w:r>
      <w:r w:rsidR="00660CB5">
        <w:t xml:space="preserve"> le volume urinaire V peut être simplifié </w:t>
      </w:r>
      <w:r w:rsidR="00660CB5">
        <w:rPr>
          <w:rFonts w:ascii="Arial" w:hAnsi="Arial" w:cs="Arial"/>
        </w:rPr>
        <w:t>→</w:t>
      </w:r>
      <w:r w:rsidR="00660CB5">
        <w:t xml:space="preserve"> calcul sur un échantillon, indépendamment du volume urinaire. </w:t>
      </w:r>
    </w:p>
    <w:p w:rsidR="00660CB5" w:rsidRDefault="00660CB5" w:rsidP="00262B27">
      <w:r w:rsidRPr="00660CB5">
        <w:rPr>
          <w:b/>
        </w:rPr>
        <w:t>EF&lt;35%</w:t>
      </w:r>
      <w:r>
        <w:t xml:space="preserve"> </w:t>
      </w:r>
      <w:r>
        <w:rPr>
          <w:rFonts w:ascii="Arial" w:hAnsi="Arial" w:cs="Arial"/>
        </w:rPr>
        <w:t>→</w:t>
      </w:r>
      <w:r>
        <w:t xml:space="preserve"> urée réabsorbée =IRF. </w:t>
      </w:r>
    </w:p>
    <w:p w:rsidR="008755A1" w:rsidRDefault="008755A1" w:rsidP="00262B27"/>
    <w:p w:rsidR="0086321B" w:rsidRDefault="0086321B" w:rsidP="0086321B">
      <w:pPr>
        <w:pStyle w:val="Titre4"/>
        <w:numPr>
          <w:ilvl w:val="0"/>
          <w:numId w:val="0"/>
        </w:numPr>
        <w:spacing w:line="360" w:lineRule="auto"/>
        <w:ind w:left="1068"/>
      </w:pPr>
    </w:p>
    <w:p w:rsidR="00660CB5" w:rsidRDefault="00660CB5" w:rsidP="008755A1">
      <w:pPr>
        <w:pStyle w:val="Titre4"/>
        <w:spacing w:line="360" w:lineRule="auto"/>
      </w:pPr>
      <w:r>
        <w:t xml:space="preserve">Protéinurie </w:t>
      </w:r>
    </w:p>
    <w:p w:rsidR="008755A1" w:rsidRDefault="008755A1" w:rsidP="008755A1">
      <w:pPr>
        <w:pStyle w:val="Paragraphedeliste"/>
        <w:numPr>
          <w:ilvl w:val="0"/>
          <w:numId w:val="13"/>
        </w:numPr>
      </w:pPr>
      <w:r>
        <w:t xml:space="preserve">Normale </w:t>
      </w:r>
      <w:r>
        <w:rPr>
          <w:rFonts w:ascii="Arial" w:hAnsi="Arial" w:cs="Arial"/>
        </w:rPr>
        <w:t>→</w:t>
      </w:r>
      <w:r>
        <w:t xml:space="preserve"> </w:t>
      </w:r>
      <w:r w:rsidRPr="008755A1">
        <w:rPr>
          <w:b/>
        </w:rPr>
        <w:t>&lt;150 mg /jour dont &lt;30 mg d’albuminurie</w:t>
      </w:r>
    </w:p>
    <w:p w:rsidR="008755A1" w:rsidRDefault="008755A1" w:rsidP="008755A1">
      <w:pPr>
        <w:pStyle w:val="Paragraphedeliste"/>
        <w:numPr>
          <w:ilvl w:val="0"/>
          <w:numId w:val="13"/>
        </w:numPr>
      </w:pPr>
      <w:r>
        <w:t xml:space="preserve">Orthostatique </w:t>
      </w:r>
      <w:r>
        <w:rPr>
          <w:rFonts w:ascii="Arial" w:hAnsi="Arial" w:cs="Arial"/>
        </w:rPr>
        <w:t>→</w:t>
      </w:r>
      <w:r>
        <w:t xml:space="preserve"> apparait qu’en position debout, disparait à la puberté (immaturité rénale), disparait si couché plus de 2h</w:t>
      </w:r>
    </w:p>
    <w:p w:rsidR="008755A1" w:rsidRDefault="008755A1" w:rsidP="008755A1">
      <w:pPr>
        <w:pStyle w:val="Paragraphedeliste"/>
        <w:numPr>
          <w:ilvl w:val="0"/>
          <w:numId w:val="13"/>
        </w:numPr>
      </w:pPr>
      <w:r>
        <w:t xml:space="preserve">D’effort  (normale) </w:t>
      </w:r>
      <w:r>
        <w:rPr>
          <w:rFonts w:ascii="Arial" w:hAnsi="Arial" w:cs="Arial"/>
        </w:rPr>
        <w:t>→</w:t>
      </w:r>
      <w:r>
        <w:t xml:space="preserve"> surcharge de travail rénal </w:t>
      </w:r>
    </w:p>
    <w:p w:rsidR="008755A1" w:rsidRDefault="008755A1" w:rsidP="008755A1">
      <w:pPr>
        <w:pStyle w:val="Paragraphedeliste"/>
        <w:numPr>
          <w:ilvl w:val="0"/>
          <w:numId w:val="13"/>
        </w:numPr>
      </w:pPr>
      <w:r>
        <w:t>Pathologiques :</w:t>
      </w:r>
    </w:p>
    <w:p w:rsidR="008755A1" w:rsidRPr="008755A1" w:rsidRDefault="008755A1" w:rsidP="008755A1">
      <w:pPr>
        <w:pStyle w:val="Paragraphedeliste"/>
        <w:numPr>
          <w:ilvl w:val="0"/>
          <w:numId w:val="14"/>
        </w:numPr>
      </w:pPr>
      <w:r w:rsidRPr="008755A1">
        <w:rPr>
          <w:b/>
        </w:rPr>
        <w:t>Glomérulaire </w:t>
      </w:r>
      <w:r>
        <w:t>: normalement retient l’albumine et ce qui est plus gros</w:t>
      </w:r>
      <w:r>
        <w:rPr>
          <w:rFonts w:ascii="Arial" w:hAnsi="Arial" w:cs="Arial"/>
        </w:rPr>
        <w:t xml:space="preserve">, </w:t>
      </w:r>
      <w:r>
        <w:rPr>
          <w:rFonts w:cs="Times New Roman"/>
        </w:rPr>
        <w:t xml:space="preserve">s’il existe des trous </w:t>
      </w:r>
      <w:r>
        <w:rPr>
          <w:rFonts w:ascii="Arial" w:hAnsi="Arial" w:cs="Arial"/>
        </w:rPr>
        <w:t>→</w:t>
      </w:r>
      <w:r>
        <w:rPr>
          <w:rFonts w:cs="Times New Roman"/>
        </w:rPr>
        <w:t xml:space="preserve"> micro albuminémie (30-300mg), si les trous sont plus gros </w:t>
      </w:r>
      <w:r>
        <w:rPr>
          <w:rFonts w:ascii="Arial" w:hAnsi="Arial" w:cs="Arial"/>
        </w:rPr>
        <w:t>→</w:t>
      </w:r>
      <w:r>
        <w:rPr>
          <w:rFonts w:cs="Times New Roman"/>
        </w:rPr>
        <w:t xml:space="preserve"> les γ globulines peuvent passer. </w:t>
      </w:r>
    </w:p>
    <w:p w:rsidR="008755A1" w:rsidRDefault="008755A1" w:rsidP="008755A1">
      <w:pPr>
        <w:pStyle w:val="Paragraphedeliste"/>
        <w:ind w:left="1440"/>
        <w:rPr>
          <w:rFonts w:cs="Times New Roman"/>
        </w:rPr>
      </w:pPr>
      <w:r>
        <w:rPr>
          <w:rFonts w:cs="Times New Roman"/>
        </w:rPr>
        <w:t xml:space="preserve">Ce n’est pas la quantité de protéines qui est importante mais la nature des protéines. </w:t>
      </w:r>
    </w:p>
    <w:p w:rsidR="008755A1" w:rsidRDefault="008755A1" w:rsidP="008755A1">
      <w:pPr>
        <w:pStyle w:val="Paragraphedeliste"/>
        <w:numPr>
          <w:ilvl w:val="0"/>
          <w:numId w:val="14"/>
        </w:numPr>
      </w:pPr>
      <w:r w:rsidRPr="008755A1">
        <w:rPr>
          <w:b/>
        </w:rPr>
        <w:t>Tubulaire</w:t>
      </w:r>
      <w:r>
        <w:t xml:space="preserve"> : normalement réabsorbe les petites protéines. En cas de pathologies laisse passer aussi les </w:t>
      </w:r>
      <w:r>
        <w:rPr>
          <w:rFonts w:cs="Times New Roman"/>
        </w:rPr>
        <w:t>α</w:t>
      </w:r>
      <w:r>
        <w:t xml:space="preserve"> et </w:t>
      </w:r>
      <w:r>
        <w:rPr>
          <w:rFonts w:cs="Times New Roman"/>
        </w:rPr>
        <w:t>β</w:t>
      </w:r>
      <w:r>
        <w:t xml:space="preserve"> globulines. </w:t>
      </w:r>
    </w:p>
    <w:p w:rsidR="008755A1" w:rsidRDefault="008755A1" w:rsidP="008755A1">
      <w:pPr>
        <w:pStyle w:val="Paragraphedeliste"/>
        <w:numPr>
          <w:ilvl w:val="0"/>
          <w:numId w:val="14"/>
        </w:numPr>
      </w:pPr>
      <w:r>
        <w:rPr>
          <w:b/>
        </w:rPr>
        <w:t>Syndrome néphrotique </w:t>
      </w:r>
      <w:r w:rsidRPr="008755A1">
        <w:t>:</w:t>
      </w:r>
      <w:r>
        <w:t xml:space="preserve"> protéinurie glomérulaire &gt;3g/jour et </w:t>
      </w:r>
      <w:proofErr w:type="spellStart"/>
      <w:r>
        <w:t>hypoalbuminémie</w:t>
      </w:r>
      <w:proofErr w:type="spellEnd"/>
      <w:r>
        <w:t xml:space="preserve"> &lt;30g/L</w:t>
      </w:r>
    </w:p>
    <w:p w:rsidR="008755A1" w:rsidRDefault="008755A1" w:rsidP="008755A1">
      <w:pPr>
        <w:pStyle w:val="Paragraphedeliste"/>
        <w:numPr>
          <w:ilvl w:val="0"/>
          <w:numId w:val="14"/>
        </w:numPr>
      </w:pPr>
      <w:proofErr w:type="spellStart"/>
      <w:r>
        <w:rPr>
          <w:b/>
        </w:rPr>
        <w:t>Myoglobinurie</w:t>
      </w:r>
      <w:proofErr w:type="spellEnd"/>
      <w:r>
        <w:rPr>
          <w:b/>
        </w:rPr>
        <w:t> </w:t>
      </w:r>
      <w:r w:rsidRPr="008755A1">
        <w:t>:</w:t>
      </w:r>
      <w:r>
        <w:t xml:space="preserve"> en cas de rhabdomyolyse </w:t>
      </w:r>
      <w:r>
        <w:rPr>
          <w:rFonts w:ascii="Arial" w:hAnsi="Arial" w:cs="Arial"/>
        </w:rPr>
        <w:t>→</w:t>
      </w:r>
      <w:r>
        <w:t xml:space="preserve"> myoglobine des urines</w:t>
      </w:r>
    </w:p>
    <w:p w:rsidR="008755A1" w:rsidRDefault="008755A1" w:rsidP="008755A1">
      <w:pPr>
        <w:pStyle w:val="Paragraphedeliste"/>
        <w:numPr>
          <w:ilvl w:val="0"/>
          <w:numId w:val="14"/>
        </w:numPr>
      </w:pPr>
      <w:r>
        <w:rPr>
          <w:b/>
        </w:rPr>
        <w:t>Hémoglobinurie </w:t>
      </w:r>
      <w:r w:rsidRPr="008755A1">
        <w:t>:</w:t>
      </w:r>
      <w:r>
        <w:t xml:space="preserve"> en cas d’hémolyse intra vasculaire</w:t>
      </w:r>
    </w:p>
    <w:p w:rsidR="008755A1" w:rsidRDefault="008755A1" w:rsidP="008755A1">
      <w:pPr>
        <w:pStyle w:val="Paragraphedeliste"/>
        <w:numPr>
          <w:ilvl w:val="0"/>
          <w:numId w:val="14"/>
        </w:numPr>
      </w:pPr>
      <w:r>
        <w:rPr>
          <w:b/>
        </w:rPr>
        <w:t>Chaine légère </w:t>
      </w:r>
      <w:r>
        <w:t xml:space="preserve">: protéine monoclonale anormale </w:t>
      </w:r>
    </w:p>
    <w:p w:rsidR="008755A1" w:rsidRDefault="008755A1" w:rsidP="008755A1">
      <w:pPr>
        <w:pStyle w:val="Titre4"/>
        <w:spacing w:line="360" w:lineRule="auto"/>
      </w:pPr>
      <w:r>
        <w:t>Examen cytologique urinaire</w:t>
      </w:r>
    </w:p>
    <w:p w:rsidR="008755A1" w:rsidRDefault="008755A1" w:rsidP="008755A1">
      <w:pPr>
        <w:pStyle w:val="Paragraphedeliste"/>
        <w:numPr>
          <w:ilvl w:val="0"/>
          <w:numId w:val="8"/>
        </w:numPr>
      </w:pPr>
      <w:r w:rsidRPr="008755A1">
        <w:rPr>
          <w:b/>
          <w:color w:val="7030A0"/>
          <w:u w:val="single"/>
        </w:rPr>
        <w:t xml:space="preserve">Hématurie </w:t>
      </w:r>
      <w:r>
        <w:rPr>
          <w:b/>
          <w:color w:val="7030A0"/>
          <w:u w:val="single"/>
        </w:rPr>
        <w:t xml:space="preserve"> </w:t>
      </w:r>
      <w:r w:rsidRPr="008755A1">
        <w:t>normale</w:t>
      </w:r>
      <w:r>
        <w:t xml:space="preserve"> &lt; 10 éléments par mm3 (&lt;10 000/ml)</w:t>
      </w:r>
    </w:p>
    <w:p w:rsidR="00EF6E7D" w:rsidRDefault="00EF6E7D" w:rsidP="00EF6E7D">
      <w:pPr>
        <w:pStyle w:val="Paragraphedeliste"/>
      </w:pPr>
      <w:r w:rsidRPr="00EF6E7D">
        <w:t>Hématurie pathologique</w:t>
      </w:r>
      <w:r>
        <w:t xml:space="preserve"> : </w:t>
      </w:r>
    </w:p>
    <w:p w:rsidR="00EF6E7D" w:rsidRDefault="00EF6E7D" w:rsidP="00EF6E7D">
      <w:pPr>
        <w:pStyle w:val="Paragraphedeliste"/>
        <w:numPr>
          <w:ilvl w:val="0"/>
          <w:numId w:val="15"/>
        </w:numPr>
      </w:pPr>
      <w:r w:rsidRPr="001F4682">
        <w:rPr>
          <w:b/>
        </w:rPr>
        <w:t>Urologique</w:t>
      </w:r>
      <w:r>
        <w:t> :</w:t>
      </w:r>
    </w:p>
    <w:p w:rsidR="00EF6E7D" w:rsidRDefault="001F4682" w:rsidP="00EF6E7D">
      <w:pPr>
        <w:pStyle w:val="Paragraphedeliste"/>
        <w:numPr>
          <w:ilvl w:val="0"/>
          <w:numId w:val="16"/>
        </w:numPr>
      </w:pPr>
      <w:r>
        <w:t>Plaie des voies urinaires</w:t>
      </w:r>
    </w:p>
    <w:p w:rsidR="001F4682" w:rsidRDefault="001F4682" w:rsidP="001F4682">
      <w:pPr>
        <w:pStyle w:val="Paragraphedeliste"/>
        <w:numPr>
          <w:ilvl w:val="0"/>
          <w:numId w:val="16"/>
        </w:numPr>
      </w:pPr>
      <w:r>
        <w:t xml:space="preserve">Caillots (tous les éléments présents </w:t>
      </w:r>
      <w:r>
        <w:rPr>
          <w:rFonts w:ascii="Arial" w:hAnsi="Arial" w:cs="Arial"/>
        </w:rPr>
        <w:t>→</w:t>
      </w:r>
      <w:r>
        <w:t xml:space="preserve"> plaquettes +)</w:t>
      </w:r>
    </w:p>
    <w:p w:rsidR="001F4682" w:rsidRDefault="001F4682" w:rsidP="001F4682">
      <w:pPr>
        <w:pStyle w:val="Paragraphedeliste"/>
        <w:numPr>
          <w:ilvl w:val="0"/>
          <w:numId w:val="16"/>
        </w:numPr>
      </w:pPr>
      <w:r>
        <w:t xml:space="preserve">Saignes différemment selon la localisation </w:t>
      </w:r>
      <w:r>
        <w:rPr>
          <w:rFonts w:ascii="Arial" w:hAnsi="Arial" w:cs="Arial"/>
        </w:rPr>
        <w:t>→</w:t>
      </w:r>
      <w:r>
        <w:t xml:space="preserve"> cancer prostate = hématurie initiale, cancer vessie = hématurie terminale</w:t>
      </w:r>
    </w:p>
    <w:p w:rsidR="00A737A7" w:rsidRDefault="001F4682" w:rsidP="001F4682">
      <w:pPr>
        <w:pStyle w:val="Paragraphedeliste"/>
        <w:numPr>
          <w:ilvl w:val="0"/>
          <w:numId w:val="15"/>
        </w:numPr>
      </w:pPr>
      <w:r w:rsidRPr="001F4682">
        <w:rPr>
          <w:b/>
        </w:rPr>
        <w:t>Néphrologique</w:t>
      </w:r>
      <w:r>
        <w:t> :</w:t>
      </w:r>
      <w:r w:rsidR="00A737A7">
        <w:t xml:space="preserve"> </w:t>
      </w:r>
    </w:p>
    <w:p w:rsidR="001F4682" w:rsidRDefault="00A737A7" w:rsidP="00A737A7">
      <w:pPr>
        <w:pStyle w:val="Paragraphedeliste"/>
        <w:numPr>
          <w:ilvl w:val="0"/>
          <w:numId w:val="17"/>
        </w:numPr>
      </w:pPr>
      <w:r>
        <w:t xml:space="preserve">Glomérulonéphrite </w:t>
      </w:r>
      <w:r>
        <w:rPr>
          <w:rFonts w:ascii="Arial" w:hAnsi="Arial" w:cs="Arial"/>
        </w:rPr>
        <w:t>→</w:t>
      </w:r>
      <w:r>
        <w:t xml:space="preserve"> saignements des glomérules </w:t>
      </w:r>
      <w:r>
        <w:rPr>
          <w:rFonts w:ascii="Arial" w:hAnsi="Arial" w:cs="Arial"/>
        </w:rPr>
        <w:t>→</w:t>
      </w:r>
      <w:r>
        <w:t xml:space="preserve"> passage uniquement de GR donc pas de caillots. </w:t>
      </w:r>
    </w:p>
    <w:p w:rsidR="00A737A7" w:rsidRDefault="00A737A7" w:rsidP="00A737A7">
      <w:pPr>
        <w:ind w:left="709"/>
      </w:pPr>
      <w:r>
        <w:t xml:space="preserve">              Hématurie microscopique : globules rouges déformés, cylindres hématiques </w:t>
      </w:r>
    </w:p>
    <w:p w:rsidR="00A737A7" w:rsidRDefault="00A737A7" w:rsidP="00A737A7">
      <w:pPr>
        <w:pStyle w:val="Paragraphedeliste"/>
        <w:numPr>
          <w:ilvl w:val="0"/>
          <w:numId w:val="17"/>
        </w:numPr>
      </w:pPr>
      <w:r>
        <w:t xml:space="preserve">Néphrite interstitielles allergiques </w:t>
      </w:r>
    </w:p>
    <w:p w:rsidR="00A737A7" w:rsidRDefault="00A737A7" w:rsidP="00A737A7"/>
    <w:p w:rsidR="00A737A7" w:rsidRDefault="00A737A7" w:rsidP="00A737A7">
      <w:pPr>
        <w:pStyle w:val="Paragraphedeliste"/>
        <w:numPr>
          <w:ilvl w:val="0"/>
          <w:numId w:val="8"/>
        </w:numPr>
      </w:pPr>
      <w:r w:rsidRPr="00A737A7">
        <w:rPr>
          <w:b/>
          <w:color w:val="7030A0"/>
          <w:u w:val="single"/>
        </w:rPr>
        <w:t>Leucocyturie</w:t>
      </w:r>
      <w:r w:rsidRPr="00A737A7">
        <w:rPr>
          <w:color w:val="7030A0"/>
        </w:rPr>
        <w:t xml:space="preserve"> </w:t>
      </w:r>
      <w:r>
        <w:t>normale &lt;10 globules blancs par mm3</w:t>
      </w:r>
    </w:p>
    <w:p w:rsidR="00A737A7" w:rsidRDefault="00A737A7" w:rsidP="00A737A7">
      <w:pPr>
        <w:ind w:left="709"/>
      </w:pPr>
      <w:r>
        <w:t xml:space="preserve">Leucocyturie pathologique : </w:t>
      </w:r>
    </w:p>
    <w:p w:rsidR="00A737A7" w:rsidRDefault="00A737A7" w:rsidP="00A737A7">
      <w:pPr>
        <w:pStyle w:val="Paragraphedeliste"/>
        <w:numPr>
          <w:ilvl w:val="0"/>
          <w:numId w:val="15"/>
        </w:numPr>
      </w:pPr>
      <w:r>
        <w:t xml:space="preserve">Infection urinaire </w:t>
      </w:r>
      <w:r>
        <w:rPr>
          <w:rFonts w:ascii="Arial" w:hAnsi="Arial" w:cs="Arial"/>
        </w:rPr>
        <w:t>→</w:t>
      </w:r>
      <w:r>
        <w:t xml:space="preserve"> ECBU</w:t>
      </w:r>
    </w:p>
    <w:p w:rsidR="00A737A7" w:rsidRPr="00EF6E7D" w:rsidRDefault="00A737A7" w:rsidP="00A737A7">
      <w:pPr>
        <w:pStyle w:val="Paragraphedeliste"/>
        <w:numPr>
          <w:ilvl w:val="0"/>
          <w:numId w:val="15"/>
        </w:numPr>
      </w:pPr>
      <w:r>
        <w:t xml:space="preserve">Inflammation des tubes </w:t>
      </w:r>
    </w:p>
    <w:p w:rsidR="008755A1" w:rsidRDefault="008755A1" w:rsidP="00921FDC">
      <w:pPr>
        <w:pStyle w:val="Titre2"/>
      </w:pPr>
      <w:r>
        <w:t xml:space="preserve"> </w:t>
      </w:r>
      <w:r w:rsidR="00921FDC">
        <w:t>Conséquences de l’insuffisance rénale</w:t>
      </w:r>
    </w:p>
    <w:p w:rsidR="00921FDC" w:rsidRDefault="004939A2" w:rsidP="00D53143">
      <w:pPr>
        <w:pStyle w:val="Titre4"/>
        <w:numPr>
          <w:ilvl w:val="0"/>
          <w:numId w:val="18"/>
        </w:numPr>
        <w:spacing w:line="360" w:lineRule="auto"/>
      </w:pPr>
      <w:r>
        <w:rPr>
          <w:noProof/>
          <w:lang w:eastAsia="fr-FR"/>
        </w:rPr>
        <w:pict>
          <v:shape id="_x0000_s1058" type="#_x0000_t202" style="position:absolute;left:0;text-align:left;margin-left:269.6pt;margin-top:21.1pt;width:266.2pt;height:159.05pt;z-index:251674624" stroked="f">
            <v:textbox>
              <w:txbxContent>
                <w:p w:rsidR="00D11E3C" w:rsidRDefault="00E079D8">
                  <w:r>
                    <w:t>S’il</w:t>
                  </w:r>
                  <w:r w:rsidR="00D11E3C">
                    <w:t xml:space="preserve"> y a une perte </w:t>
                  </w:r>
                  <w:r>
                    <w:t xml:space="preserve">de Na+ et d’eau extracellulaire </w:t>
                  </w:r>
                  <w:r>
                    <w:rPr>
                      <w:rFonts w:ascii="Arial" w:hAnsi="Arial" w:cs="Arial"/>
                    </w:rPr>
                    <w:t>→</w:t>
                  </w:r>
                  <w:r>
                    <w:t xml:space="preserve"> hypotension dans les vaisseaux et pli cutané. </w:t>
                  </w:r>
                </w:p>
                <w:p w:rsidR="00E079D8" w:rsidRDefault="00E079D8">
                  <w:r>
                    <w:t xml:space="preserve">En réalité il y a perte de Na+ et d’eau + de l’eau </w:t>
                  </w:r>
                  <w:r w:rsidR="00C84B5A">
                    <w:rPr>
                      <w:rFonts w:ascii="Arial" w:hAnsi="Arial" w:cs="Arial"/>
                    </w:rPr>
                    <w:t>→</w:t>
                  </w:r>
                  <w:r w:rsidR="00C84B5A">
                    <w:t xml:space="preserve"> natrémie plus concentré </w:t>
                  </w:r>
                  <w:r w:rsidR="00C84B5A">
                    <w:rPr>
                      <w:rFonts w:ascii="Arial" w:hAnsi="Arial" w:cs="Arial"/>
                    </w:rPr>
                    <w:t>→</w:t>
                  </w:r>
                  <w:r w:rsidR="00C84B5A">
                    <w:t xml:space="preserve"> échange capillaire libre </w:t>
                  </w:r>
                  <w:r w:rsidR="00C84B5A">
                    <w:rPr>
                      <w:rFonts w:ascii="Arial" w:hAnsi="Arial" w:cs="Arial"/>
                    </w:rPr>
                    <w:t>→</w:t>
                  </w:r>
                  <w:r w:rsidR="003A163D">
                    <w:t xml:space="preserve"> augmentation de la concen</w:t>
                  </w:r>
                  <w:r w:rsidR="00C84B5A">
                    <w:t xml:space="preserve">tration en Na+ dans l’espace extracellulaire </w:t>
                  </w:r>
                  <w:r w:rsidR="00C84B5A">
                    <w:rPr>
                      <w:rFonts w:ascii="Arial" w:hAnsi="Arial" w:cs="Arial"/>
                    </w:rPr>
                    <w:t>→</w:t>
                  </w:r>
                  <w:r w:rsidR="00C84B5A">
                    <w:t xml:space="preserve"> sortie d’eau des cellules </w:t>
                  </w:r>
                  <w:r w:rsidR="00C84B5A">
                    <w:rPr>
                      <w:rFonts w:ascii="Arial" w:hAnsi="Arial" w:cs="Arial"/>
                    </w:rPr>
                    <w:t>→</w:t>
                  </w:r>
                  <w:r w:rsidR="00C84B5A">
                    <w:t xml:space="preserve"> déshydratation intracellulaire. </w:t>
                  </w:r>
                </w:p>
                <w:p w:rsidR="00C84B5A" w:rsidRDefault="00C84B5A"/>
                <w:p w:rsidR="00C84B5A" w:rsidRDefault="00C84B5A">
                  <w:r>
                    <w:t xml:space="preserve">Surtout chez les gens n’ayant pas accès à l’eau (vieux et bébés). </w:t>
                  </w:r>
                </w:p>
                <w:p w:rsidR="00C84B5A" w:rsidRDefault="003A163D">
                  <w:r>
                    <w:t>!! L</w:t>
                  </w:r>
                  <w:r w:rsidR="00C84B5A">
                    <w:t xml:space="preserve">a natrémie nous donne par la quantité de sodium dans le corps mais son rapport avec l’eau. </w:t>
                  </w:r>
                </w:p>
                <w:p w:rsidR="003A163D" w:rsidRDefault="003A163D"/>
              </w:txbxContent>
            </v:textbox>
          </v:shape>
        </w:pict>
      </w:r>
      <w:r w:rsidR="00921FDC">
        <w:t xml:space="preserve">Na+ et eau </w:t>
      </w:r>
      <w:r w:rsidR="00921FDC" w:rsidRPr="00921FDC">
        <w:rPr>
          <w:rFonts w:ascii="Arial" w:hAnsi="Arial" w:cs="Arial"/>
          <w:sz w:val="22"/>
        </w:rPr>
        <w:t>→</w:t>
      </w:r>
      <w:r w:rsidR="00921FDC" w:rsidRPr="00921FDC">
        <w:rPr>
          <w:sz w:val="22"/>
        </w:rPr>
        <w:t xml:space="preserve"> </w:t>
      </w:r>
      <w:r w:rsidR="00921FDC">
        <w:t xml:space="preserve">troubles de l’hydratation </w:t>
      </w:r>
    </w:p>
    <w:p w:rsidR="00921FDC" w:rsidRDefault="004939A2" w:rsidP="00921FDC">
      <w:r>
        <w:rPr>
          <w:noProof/>
          <w:lang w:eastAsia="fr-FR"/>
        </w:rPr>
        <w:pict>
          <v:shapetype id="_x0000_t88" coordsize="21600,21600" o:spt="88" adj="1800,10800" path="m,qx10800@0l10800@2qy21600@11,10800@3l10800@1qy,21600e" filled="f">
            <v:formulas>
              <v:f eqn="val #0"/>
              <v:f eqn="sum 21600 0 #0"/>
              <v:f eqn="sum #1 0 #0"/>
              <v:f eqn="sum #1 #0 0"/>
              <v:f eqn="prod #0 9598 32768"/>
              <v:f eqn="sum 21600 0 @4"/>
              <v:f eqn="sum 21600 0 #1"/>
              <v:f eqn="min #1 @6"/>
              <v:f eqn="prod @7 1 2"/>
              <v:f eqn="prod #0 2 1"/>
              <v:f eqn="sum 21600 0 @9"/>
              <v:f eqn="val #1"/>
            </v:formulas>
            <v:path arrowok="t" o:connecttype="custom" o:connectlocs="0,0;21600,@11;0,21600" textboxrect="0,@4,7637,@5"/>
            <v:handles>
              <v:h position="center,#0" yrange="0,@8"/>
              <v:h position="bottomRight,#1" yrange="@9,@10"/>
            </v:handles>
          </v:shapetype>
          <v:shape id="_x0000_s1056" type="#_x0000_t88" style="position:absolute;left:0;text-align:left;margin-left:201.75pt;margin-top:74.15pt;width:7.15pt;height:28.45pt;z-index:251673600"/>
        </w:pict>
      </w:r>
      <w:r>
        <w:rPr>
          <w:noProof/>
          <w:lang w:eastAsia="fr-FR"/>
        </w:rPr>
        <w:pict>
          <v:shape id="_x0000_s1055" type="#_x0000_t202" style="position:absolute;left:0;text-align:left;margin-left:201.75pt;margin-top:74.15pt;width:78.7pt;height:28.45pt;z-index:251672576" stroked="f">
            <v:textbox>
              <w:txbxContent>
                <w:p w:rsidR="00D11E3C" w:rsidRDefault="00D11E3C">
                  <w:r>
                    <w:t>Extra cellulaire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53" type="#_x0000_t202" style="position:absolute;left:0;text-align:left;margin-left:12.55pt;margin-top:23.95pt;width:31.8pt;height:15.1pt;z-index:251670528" stroked="f">
            <v:textbox>
              <w:txbxContent>
                <w:p w:rsidR="00D11E3C" w:rsidRDefault="00D11E3C">
                  <w:r>
                    <w:t>1/3</w:t>
                  </w:r>
                </w:p>
              </w:txbxContent>
            </v:textbox>
          </v:shape>
        </w:pict>
      </w:r>
      <w:r>
        <w:rPr>
          <w:noProof/>
          <w:lang w:eastAsia="fr-FR"/>
        </w:rPr>
        <w:pict>
          <v:shape id="_x0000_s1054" type="#_x0000_t87" style="position:absolute;left:0;text-align:left;margin-left:28pt;margin-top:27.8pt;width:20.9pt;height:43.35pt;rotation:3147609fd;z-index:251671552"/>
        </w:pict>
      </w:r>
      <w:r w:rsidR="00D53143">
        <w:t xml:space="preserve"> </w:t>
      </w:r>
      <w:r w:rsidR="00D11E3C" w:rsidRPr="00D11E3C">
        <w:rPr>
          <w:noProof/>
          <w:lang w:eastAsia="fr-FR"/>
        </w:rPr>
        <w:drawing>
          <wp:inline distT="0" distB="0" distL="0" distR="0">
            <wp:extent cx="2734782" cy="2062717"/>
            <wp:effectExtent l="19050" t="0" r="8418" b="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86321B" w:rsidRDefault="0086321B" w:rsidP="00921FDC"/>
    <w:p w:rsidR="0086321B" w:rsidRDefault="0086321B" w:rsidP="00921FDC"/>
    <w:p w:rsidR="0086321B" w:rsidRDefault="0086321B" w:rsidP="0086321B">
      <w:pPr>
        <w:pStyle w:val="Titre4"/>
        <w:numPr>
          <w:ilvl w:val="0"/>
          <w:numId w:val="0"/>
        </w:numPr>
        <w:spacing w:line="360" w:lineRule="auto"/>
        <w:ind w:left="1068"/>
      </w:pPr>
    </w:p>
    <w:p w:rsidR="003A163D" w:rsidRDefault="003A163D" w:rsidP="003A163D">
      <w:pPr>
        <w:pStyle w:val="Titre4"/>
        <w:spacing w:line="360" w:lineRule="auto"/>
      </w:pPr>
      <w:r>
        <w:t xml:space="preserve">Hyperkaliémie </w:t>
      </w:r>
    </w:p>
    <w:p w:rsidR="003A163D" w:rsidRDefault="003A163D" w:rsidP="003A163D">
      <w:pPr>
        <w:tabs>
          <w:tab w:val="left" w:pos="6413"/>
        </w:tabs>
      </w:pPr>
      <w:r>
        <w:t>L’insuffisance rénale provoque une accumulation de K+, ce qui est mortel.</w:t>
      </w:r>
      <w:r>
        <w:tab/>
      </w:r>
    </w:p>
    <w:p w:rsidR="003A163D" w:rsidRDefault="003A163D" w:rsidP="003A163D">
      <w:r>
        <w:t xml:space="preserve">L’hyperkaliémie est favorisée par certains médicaments bloquant le SRAA </w:t>
      </w:r>
      <w:r>
        <w:rPr>
          <w:rFonts w:ascii="Arial" w:hAnsi="Arial" w:cs="Arial"/>
        </w:rPr>
        <w:t>→</w:t>
      </w:r>
      <w:r>
        <w:t xml:space="preserve"> </w:t>
      </w:r>
      <w:r w:rsidR="0086321B">
        <w:t>diurétique anti aldostérone, ARA2, IEC, anti rénine (AINS)…</w:t>
      </w:r>
    </w:p>
    <w:p w:rsidR="0086321B" w:rsidRDefault="0086321B" w:rsidP="003A163D">
      <w:r>
        <w:t xml:space="preserve">L’aldostérone est responsable d’un échange d’eau et de Na+ contre une excrétion de K+ donc si on bloque le SRAA il va y avoir augmentation de la kaliémie er diminution de la natrémie. </w:t>
      </w:r>
    </w:p>
    <w:p w:rsidR="0086321B" w:rsidRDefault="0086321B" w:rsidP="00CE4013">
      <w:pPr>
        <w:pStyle w:val="Titre4"/>
        <w:spacing w:line="360" w:lineRule="auto"/>
      </w:pPr>
      <w:r>
        <w:t xml:space="preserve">Hypocalcémie / hyperphosphorémie </w:t>
      </w:r>
    </w:p>
    <w:p w:rsidR="00CE4013" w:rsidRDefault="00CE4013" w:rsidP="00CE4013">
      <w:r>
        <w:t xml:space="preserve">La vitamine D est fabriquée dans la peau sous forme de précurseur CCF par les UVB et la chaleur. Puis le CCF est 25 hydroxylé par le foie et 1 hydroxylé par le rein (1,25 OH Vit D = </w:t>
      </w:r>
      <w:proofErr w:type="spellStart"/>
      <w:r>
        <w:t>calcitriol</w:t>
      </w:r>
      <w:proofErr w:type="spellEnd"/>
      <w:r>
        <w:t xml:space="preserve">= vitamine D active). </w:t>
      </w:r>
    </w:p>
    <w:p w:rsidR="00CE4013" w:rsidRDefault="00CE4013" w:rsidP="00CE4013">
      <w:r>
        <w:t xml:space="preserve">On peut doser uniquement la 25 OH Vit D qui est le reflet de la Vit D native et le 1,25 OH Vit D qui est le reflet du fonctionnement du rein. </w:t>
      </w:r>
    </w:p>
    <w:p w:rsidR="00CE4013" w:rsidRDefault="00CE4013" w:rsidP="00CE4013"/>
    <w:p w:rsidR="00CE4013" w:rsidRDefault="00CE4013" w:rsidP="00CE4013">
      <w:r>
        <w:t xml:space="preserve">La vitamine D augmente l’absorption intestinale de calcium et favorise l’ossification. </w:t>
      </w:r>
    </w:p>
    <w:p w:rsidR="00CE4013" w:rsidRDefault="00CE4013" w:rsidP="00CE4013"/>
    <w:p w:rsidR="00CE4013" w:rsidRPr="00CE4013" w:rsidRDefault="00CE4013" w:rsidP="00CE4013">
      <w:r>
        <w:t xml:space="preserve">En cas d’insuffisance rénale, on assiste à une hypocalcémie et une hyperphosphorémie car le phosphore va être moins éliminé. Associée on retrouve une hyper parathyroïdie. En réponse à l’hypocalcémie, l’hyper phosphorémie et la diminution de vitamine D active, les parathyroïdes sécrètent de la PTH qui va augmenter l’élimination de phosphore et détruire l’os pour augmenter la calcémie.  </w:t>
      </w:r>
    </w:p>
    <w:sectPr w:rsidR="00CE4013" w:rsidRPr="00CE4013" w:rsidSect="00130B1E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433" w:rsidRDefault="00061433" w:rsidP="00523298">
      <w:r>
        <w:separator/>
      </w:r>
    </w:p>
  </w:endnote>
  <w:endnote w:type="continuationSeparator" w:id="0">
    <w:p w:rsidR="00061433" w:rsidRDefault="00061433" w:rsidP="005232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561983"/>
      <w:docPartObj>
        <w:docPartGallery w:val="Page Numbers (Bottom of Page)"/>
        <w:docPartUnique/>
      </w:docPartObj>
    </w:sdtPr>
    <w:sdtContent>
      <w:p w:rsidR="008755A1" w:rsidRDefault="004939A2">
        <w:pPr>
          <w:pStyle w:val="Pieddepage"/>
          <w:jc w:val="right"/>
        </w:pPr>
        <w:fldSimple w:instr=" PAGE   \* MERGEFORMAT ">
          <w:r w:rsidR="00CE4013">
            <w:rPr>
              <w:noProof/>
            </w:rPr>
            <w:t>4</w:t>
          </w:r>
        </w:fldSimple>
      </w:p>
    </w:sdtContent>
  </w:sdt>
  <w:p w:rsidR="008755A1" w:rsidRDefault="008755A1" w:rsidP="00523298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433" w:rsidRDefault="00061433" w:rsidP="00523298">
      <w:r>
        <w:separator/>
      </w:r>
    </w:p>
  </w:footnote>
  <w:footnote w:type="continuationSeparator" w:id="0">
    <w:p w:rsidR="00061433" w:rsidRDefault="00061433" w:rsidP="005232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55A1" w:rsidRDefault="008755A1" w:rsidP="00523298">
    <w:pPr>
      <w:pStyle w:val="En-tte"/>
    </w:pPr>
    <w:r>
      <w:t>Physio clinique                                                                                                                                                                       2010/2011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04F1D"/>
    <w:multiLevelType w:val="hybridMultilevel"/>
    <w:tmpl w:val="B1DCF21C"/>
    <w:lvl w:ilvl="0" w:tplc="2870D05C">
      <w:start w:val="3"/>
      <w:numFmt w:val="bullet"/>
      <w:lvlText w:val="-"/>
      <w:lvlJc w:val="righ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C0B71"/>
    <w:multiLevelType w:val="hybridMultilevel"/>
    <w:tmpl w:val="8E2EF8A6"/>
    <w:lvl w:ilvl="0" w:tplc="04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D23C03"/>
    <w:multiLevelType w:val="hybridMultilevel"/>
    <w:tmpl w:val="13F4B44E"/>
    <w:lvl w:ilvl="0" w:tplc="DA7C87AA">
      <w:start w:val="1"/>
      <w:numFmt w:val="lowerLetter"/>
      <w:pStyle w:val="Titre3"/>
      <w:lvlText w:val="%1."/>
      <w:lvlJc w:val="left"/>
      <w:pPr>
        <w:ind w:left="1776" w:hanging="360"/>
      </w:pPr>
    </w:lvl>
    <w:lvl w:ilvl="1" w:tplc="040C0019">
      <w:start w:val="1"/>
      <w:numFmt w:val="lowerLetter"/>
      <w:lvlText w:val="%2."/>
      <w:lvlJc w:val="left"/>
      <w:pPr>
        <w:ind w:left="2496" w:hanging="360"/>
      </w:pPr>
    </w:lvl>
    <w:lvl w:ilvl="2" w:tplc="040C001B" w:tentative="1">
      <w:start w:val="1"/>
      <w:numFmt w:val="lowerRoman"/>
      <w:lvlText w:val="%3."/>
      <w:lvlJc w:val="right"/>
      <w:pPr>
        <w:ind w:left="3216" w:hanging="180"/>
      </w:pPr>
    </w:lvl>
    <w:lvl w:ilvl="3" w:tplc="040C000F" w:tentative="1">
      <w:start w:val="1"/>
      <w:numFmt w:val="decimal"/>
      <w:lvlText w:val="%4."/>
      <w:lvlJc w:val="left"/>
      <w:pPr>
        <w:ind w:left="3936" w:hanging="360"/>
      </w:pPr>
    </w:lvl>
    <w:lvl w:ilvl="4" w:tplc="040C0019" w:tentative="1">
      <w:start w:val="1"/>
      <w:numFmt w:val="lowerLetter"/>
      <w:lvlText w:val="%5."/>
      <w:lvlJc w:val="left"/>
      <w:pPr>
        <w:ind w:left="4656" w:hanging="360"/>
      </w:pPr>
    </w:lvl>
    <w:lvl w:ilvl="5" w:tplc="040C001B" w:tentative="1">
      <w:start w:val="1"/>
      <w:numFmt w:val="lowerRoman"/>
      <w:lvlText w:val="%6."/>
      <w:lvlJc w:val="right"/>
      <w:pPr>
        <w:ind w:left="5376" w:hanging="180"/>
      </w:pPr>
    </w:lvl>
    <w:lvl w:ilvl="6" w:tplc="040C000F" w:tentative="1">
      <w:start w:val="1"/>
      <w:numFmt w:val="decimal"/>
      <w:lvlText w:val="%7."/>
      <w:lvlJc w:val="left"/>
      <w:pPr>
        <w:ind w:left="6096" w:hanging="360"/>
      </w:pPr>
    </w:lvl>
    <w:lvl w:ilvl="7" w:tplc="040C0019" w:tentative="1">
      <w:start w:val="1"/>
      <w:numFmt w:val="lowerLetter"/>
      <w:lvlText w:val="%8."/>
      <w:lvlJc w:val="left"/>
      <w:pPr>
        <w:ind w:left="6816" w:hanging="360"/>
      </w:pPr>
    </w:lvl>
    <w:lvl w:ilvl="8" w:tplc="040C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1A654A14"/>
    <w:multiLevelType w:val="hybridMultilevel"/>
    <w:tmpl w:val="F238D052"/>
    <w:lvl w:ilvl="0" w:tplc="63648E6A">
      <w:numFmt w:val="bullet"/>
      <w:lvlText w:val="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B635263"/>
    <w:multiLevelType w:val="hybridMultilevel"/>
    <w:tmpl w:val="E1481ACA"/>
    <w:lvl w:ilvl="0" w:tplc="63648E6A">
      <w:numFmt w:val="bullet"/>
      <w:lvlText w:val="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2BF10A03"/>
    <w:multiLevelType w:val="hybridMultilevel"/>
    <w:tmpl w:val="8BAA7ED2"/>
    <w:lvl w:ilvl="0" w:tplc="63648E6A">
      <w:numFmt w:val="bullet"/>
      <w:lvlText w:val="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E3138AE"/>
    <w:multiLevelType w:val="hybridMultilevel"/>
    <w:tmpl w:val="6D3E460C"/>
    <w:lvl w:ilvl="0" w:tplc="63648E6A">
      <w:numFmt w:val="bullet"/>
      <w:lvlText w:val=""/>
      <w:lvlJc w:val="left"/>
      <w:pPr>
        <w:ind w:left="144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32E8342B"/>
    <w:multiLevelType w:val="hybridMultilevel"/>
    <w:tmpl w:val="11E01B54"/>
    <w:lvl w:ilvl="0" w:tplc="2870D05C">
      <w:start w:val="3"/>
      <w:numFmt w:val="bullet"/>
      <w:lvlText w:val="-"/>
      <w:lvlJc w:val="righ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B2044E"/>
    <w:multiLevelType w:val="hybridMultilevel"/>
    <w:tmpl w:val="9E8868DA"/>
    <w:lvl w:ilvl="0" w:tplc="2870D05C">
      <w:start w:val="3"/>
      <w:numFmt w:val="bullet"/>
      <w:lvlText w:val="-"/>
      <w:lvlJc w:val="righ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5AD4376"/>
    <w:multiLevelType w:val="hybridMultilevel"/>
    <w:tmpl w:val="93FEDDCC"/>
    <w:lvl w:ilvl="0" w:tplc="63648E6A">
      <w:numFmt w:val="bullet"/>
      <w:lvlText w:val=""/>
      <w:lvlJc w:val="left"/>
      <w:pPr>
        <w:ind w:left="2160" w:hanging="360"/>
      </w:pPr>
      <w:rPr>
        <w:rFonts w:ascii="Symbol" w:eastAsiaTheme="minorHAnsi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0">
    <w:nsid w:val="46E215C6"/>
    <w:multiLevelType w:val="hybridMultilevel"/>
    <w:tmpl w:val="20581D20"/>
    <w:lvl w:ilvl="0" w:tplc="2870D05C">
      <w:start w:val="3"/>
      <w:numFmt w:val="bullet"/>
      <w:lvlText w:val="-"/>
      <w:lvlJc w:val="righ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9A62B14"/>
    <w:multiLevelType w:val="hybridMultilevel"/>
    <w:tmpl w:val="C644C976"/>
    <w:lvl w:ilvl="0" w:tplc="2870D05C">
      <w:start w:val="3"/>
      <w:numFmt w:val="bullet"/>
      <w:lvlText w:val="-"/>
      <w:lvlJc w:val="righ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C4E2317"/>
    <w:multiLevelType w:val="hybridMultilevel"/>
    <w:tmpl w:val="1BCA6990"/>
    <w:lvl w:ilvl="0" w:tplc="2870D05C">
      <w:start w:val="3"/>
      <w:numFmt w:val="bullet"/>
      <w:lvlText w:val="-"/>
      <w:lvlJc w:val="righ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9DC7DB5"/>
    <w:multiLevelType w:val="hybridMultilevel"/>
    <w:tmpl w:val="CA940506"/>
    <w:lvl w:ilvl="0" w:tplc="2870D05C">
      <w:start w:val="3"/>
      <w:numFmt w:val="bullet"/>
      <w:lvlText w:val="-"/>
      <w:lvlJc w:val="righ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6AAA4D82"/>
    <w:multiLevelType w:val="hybridMultilevel"/>
    <w:tmpl w:val="7CAA0938"/>
    <w:lvl w:ilvl="0" w:tplc="EDEE4DF2">
      <w:start w:val="1"/>
      <w:numFmt w:val="decimal"/>
      <w:pStyle w:val="Titre4"/>
      <w:lvlText w:val="%1."/>
      <w:lvlJc w:val="left"/>
      <w:pPr>
        <w:ind w:left="1068" w:hanging="360"/>
      </w:pPr>
    </w:lvl>
    <w:lvl w:ilvl="1" w:tplc="040C0019" w:tentative="1">
      <w:start w:val="1"/>
      <w:numFmt w:val="lowerLetter"/>
      <w:lvlText w:val="%2."/>
      <w:lvlJc w:val="left"/>
      <w:pPr>
        <w:ind w:left="1788" w:hanging="360"/>
      </w:pPr>
    </w:lvl>
    <w:lvl w:ilvl="2" w:tplc="040C001B" w:tentative="1">
      <w:start w:val="1"/>
      <w:numFmt w:val="lowerRoman"/>
      <w:lvlText w:val="%3."/>
      <w:lvlJc w:val="right"/>
      <w:pPr>
        <w:ind w:left="2508" w:hanging="180"/>
      </w:pPr>
    </w:lvl>
    <w:lvl w:ilvl="3" w:tplc="040C000F" w:tentative="1">
      <w:start w:val="1"/>
      <w:numFmt w:val="decimal"/>
      <w:lvlText w:val="%4."/>
      <w:lvlJc w:val="left"/>
      <w:pPr>
        <w:ind w:left="3228" w:hanging="360"/>
      </w:pPr>
    </w:lvl>
    <w:lvl w:ilvl="4" w:tplc="040C0019" w:tentative="1">
      <w:start w:val="1"/>
      <w:numFmt w:val="lowerLetter"/>
      <w:lvlText w:val="%5."/>
      <w:lvlJc w:val="left"/>
      <w:pPr>
        <w:ind w:left="3948" w:hanging="360"/>
      </w:pPr>
    </w:lvl>
    <w:lvl w:ilvl="5" w:tplc="040C001B" w:tentative="1">
      <w:start w:val="1"/>
      <w:numFmt w:val="lowerRoman"/>
      <w:lvlText w:val="%6."/>
      <w:lvlJc w:val="right"/>
      <w:pPr>
        <w:ind w:left="4668" w:hanging="180"/>
      </w:pPr>
    </w:lvl>
    <w:lvl w:ilvl="6" w:tplc="040C000F" w:tentative="1">
      <w:start w:val="1"/>
      <w:numFmt w:val="decimal"/>
      <w:lvlText w:val="%7."/>
      <w:lvlJc w:val="left"/>
      <w:pPr>
        <w:ind w:left="5388" w:hanging="360"/>
      </w:pPr>
    </w:lvl>
    <w:lvl w:ilvl="7" w:tplc="040C0019" w:tentative="1">
      <w:start w:val="1"/>
      <w:numFmt w:val="lowerLetter"/>
      <w:lvlText w:val="%8."/>
      <w:lvlJc w:val="left"/>
      <w:pPr>
        <w:ind w:left="6108" w:hanging="360"/>
      </w:pPr>
    </w:lvl>
    <w:lvl w:ilvl="8" w:tplc="040C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41011C"/>
    <w:multiLevelType w:val="hybridMultilevel"/>
    <w:tmpl w:val="9BBABAD4"/>
    <w:lvl w:ilvl="0" w:tplc="55D08482">
      <w:start w:val="1"/>
      <w:numFmt w:val="upperLetter"/>
      <w:pStyle w:val="Titre2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DA318CA"/>
    <w:multiLevelType w:val="hybridMultilevel"/>
    <w:tmpl w:val="1FD0AF02"/>
    <w:lvl w:ilvl="0" w:tplc="2870D05C">
      <w:start w:val="3"/>
      <w:numFmt w:val="bullet"/>
      <w:lvlText w:val="-"/>
      <w:lvlJc w:val="righ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"/>
  </w:num>
  <w:num w:numId="3">
    <w:abstractNumId w:val="11"/>
  </w:num>
  <w:num w:numId="4">
    <w:abstractNumId w:val="0"/>
  </w:num>
  <w:num w:numId="5">
    <w:abstractNumId w:val="5"/>
  </w:num>
  <w:num w:numId="6">
    <w:abstractNumId w:val="8"/>
  </w:num>
  <w:num w:numId="7">
    <w:abstractNumId w:val="12"/>
  </w:num>
  <w:num w:numId="8">
    <w:abstractNumId w:val="1"/>
  </w:num>
  <w:num w:numId="9">
    <w:abstractNumId w:val="13"/>
  </w:num>
  <w:num w:numId="10">
    <w:abstractNumId w:val="14"/>
  </w:num>
  <w:num w:numId="11">
    <w:abstractNumId w:val="7"/>
  </w:num>
  <w:num w:numId="12">
    <w:abstractNumId w:val="6"/>
  </w:num>
  <w:num w:numId="13">
    <w:abstractNumId w:val="10"/>
  </w:num>
  <w:num w:numId="14">
    <w:abstractNumId w:val="3"/>
  </w:num>
  <w:num w:numId="15">
    <w:abstractNumId w:val="16"/>
  </w:num>
  <w:num w:numId="16">
    <w:abstractNumId w:val="4"/>
  </w:num>
  <w:num w:numId="17">
    <w:abstractNumId w:val="9"/>
  </w:num>
  <w:num w:numId="18">
    <w:abstractNumId w:val="1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0B1E"/>
    <w:rsid w:val="00011793"/>
    <w:rsid w:val="00017A3B"/>
    <w:rsid w:val="00061433"/>
    <w:rsid w:val="00080632"/>
    <w:rsid w:val="0010130B"/>
    <w:rsid w:val="00130B1E"/>
    <w:rsid w:val="001818A8"/>
    <w:rsid w:val="001C1CE4"/>
    <w:rsid w:val="001F4682"/>
    <w:rsid w:val="00262B27"/>
    <w:rsid w:val="00275FBF"/>
    <w:rsid w:val="002F5666"/>
    <w:rsid w:val="003A163D"/>
    <w:rsid w:val="00444CB8"/>
    <w:rsid w:val="004939A2"/>
    <w:rsid w:val="00523298"/>
    <w:rsid w:val="0058034F"/>
    <w:rsid w:val="005A4009"/>
    <w:rsid w:val="0061759F"/>
    <w:rsid w:val="00660CB5"/>
    <w:rsid w:val="00683C70"/>
    <w:rsid w:val="006C7F01"/>
    <w:rsid w:val="00741CBF"/>
    <w:rsid w:val="007D4E9F"/>
    <w:rsid w:val="007F57EA"/>
    <w:rsid w:val="00814DC2"/>
    <w:rsid w:val="0086321B"/>
    <w:rsid w:val="008755A1"/>
    <w:rsid w:val="00891E16"/>
    <w:rsid w:val="008E2C51"/>
    <w:rsid w:val="00921FDC"/>
    <w:rsid w:val="00954C14"/>
    <w:rsid w:val="009D2E32"/>
    <w:rsid w:val="00A66FBB"/>
    <w:rsid w:val="00A737A7"/>
    <w:rsid w:val="00AE1084"/>
    <w:rsid w:val="00AE63C5"/>
    <w:rsid w:val="00C83459"/>
    <w:rsid w:val="00C84B5A"/>
    <w:rsid w:val="00C87B46"/>
    <w:rsid w:val="00CE4013"/>
    <w:rsid w:val="00D11E3C"/>
    <w:rsid w:val="00D53143"/>
    <w:rsid w:val="00D67CB0"/>
    <w:rsid w:val="00DD76F7"/>
    <w:rsid w:val="00E079D8"/>
    <w:rsid w:val="00E17E7B"/>
    <w:rsid w:val="00E77B52"/>
    <w:rsid w:val="00E82B25"/>
    <w:rsid w:val="00EB4309"/>
    <w:rsid w:val="00EC04B6"/>
    <w:rsid w:val="00EF6E7D"/>
    <w:rsid w:val="00F924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ru v:ext="edit" colors="#630"/>
      <o:colormenu v:ext="edit" fillcolor="none" strokecolor="none"/>
    </o:shapedefaults>
    <o:shapelayout v:ext="edit">
      <o:idmap v:ext="edit" data="1"/>
      <o:rules v:ext="edit">
        <o:r id="V:Rule4" type="arc" idref="#_x0000_s1036"/>
        <o:r id="V:Rule13" type="connector" idref="#_x0000_s1033"/>
        <o:r id="V:Rule14" type="connector" idref="#_x0000_s1035">
          <o:proxy start="" idref="#_x0000_s1029" connectloc="4"/>
        </o:r>
        <o:r id="V:Rule15" type="connector" idref="#_x0000_s1048"/>
        <o:r id="V:Rule16" type="connector" idref="#_x0000_s1032"/>
        <o:r id="V:Rule17" type="connector" idref="#_x0000_s1049"/>
        <o:r id="V:Rule18" type="connector" idref="#_x0000_s1044"/>
        <o:r id="V:Rule19" type="connector" idref="#_x0000_s1045"/>
        <o:r id="V:Rule20" type="connector" idref="#_x0000_s1050"/>
        <o:r id="V:Rule21" type="connector" idref="#_x0000_s1047"/>
        <o:r id="V:Rule22" type="connector" idref="#_x0000_s1043"/>
        <o:r id="V:Rule23" type="connector" idref="#_x0000_s104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line="276" w:lineRule="auto"/>
        <w:ind w:left="1752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3298"/>
    <w:pPr>
      <w:ind w:left="0" w:firstLine="0"/>
      <w:jc w:val="both"/>
    </w:pPr>
    <w:rPr>
      <w:rFonts w:ascii="Times New Roman" w:hAnsi="Times New Roman"/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130B1E"/>
    <w:pPr>
      <w:keepNext/>
      <w:keepLines/>
      <w:spacing w:before="480"/>
      <w:jc w:val="center"/>
      <w:outlineLvl w:val="0"/>
    </w:pPr>
    <w:rPr>
      <w:rFonts w:eastAsiaTheme="majorEastAsia" w:cstheme="majorBidi"/>
      <w:b/>
      <w:bCs/>
      <w:color w:val="365F91" w:themeColor="accent1" w:themeShade="BF"/>
      <w:sz w:val="32"/>
      <w:szCs w:val="28"/>
      <w:u w:val="single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30B1E"/>
    <w:pPr>
      <w:keepNext/>
      <w:keepLines/>
      <w:numPr>
        <w:numId w:val="1"/>
      </w:numPr>
      <w:spacing w:before="200"/>
      <w:outlineLvl w:val="1"/>
    </w:pPr>
    <w:rPr>
      <w:rFonts w:eastAsiaTheme="majorEastAsia" w:cstheme="majorBidi"/>
      <w:b/>
      <w:bCs/>
      <w:color w:val="4F81BD" w:themeColor="accent1"/>
      <w:sz w:val="24"/>
      <w:szCs w:val="26"/>
      <w:u w:val="single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523298"/>
    <w:pPr>
      <w:keepNext/>
      <w:keepLines/>
      <w:numPr>
        <w:numId w:val="2"/>
      </w:numPr>
      <w:spacing w:before="200"/>
      <w:outlineLvl w:val="2"/>
    </w:pPr>
    <w:rPr>
      <w:rFonts w:eastAsiaTheme="majorEastAsia" w:cstheme="majorBidi"/>
      <w:b/>
      <w:bCs/>
      <w:color w:val="002060"/>
      <w:u w:val="single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683C70"/>
    <w:pPr>
      <w:keepNext/>
      <w:keepLines/>
      <w:numPr>
        <w:numId w:val="10"/>
      </w:numPr>
      <w:spacing w:before="200"/>
      <w:outlineLvl w:val="3"/>
    </w:pPr>
    <w:rPr>
      <w:rFonts w:eastAsiaTheme="majorEastAsia" w:cstheme="majorBidi"/>
      <w:b/>
      <w:bCs/>
      <w:iCs/>
      <w:color w:val="0070C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30B1E"/>
    <w:rPr>
      <w:rFonts w:ascii="Times New Roman" w:eastAsiaTheme="majorEastAsia" w:hAnsi="Times New Roman" w:cstheme="majorBidi"/>
      <w:b/>
      <w:bCs/>
      <w:color w:val="365F91" w:themeColor="accent1" w:themeShade="BF"/>
      <w:sz w:val="32"/>
      <w:szCs w:val="28"/>
      <w:u w:val="single"/>
    </w:rPr>
  </w:style>
  <w:style w:type="paragraph" w:styleId="En-tte">
    <w:name w:val="header"/>
    <w:basedOn w:val="Normal"/>
    <w:link w:val="En-tteCar"/>
    <w:uiPriority w:val="99"/>
    <w:unhideWhenUsed/>
    <w:rsid w:val="00130B1E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130B1E"/>
    <w:rPr>
      <w:rFonts w:ascii="Times New Roman" w:hAnsi="Times New Roman"/>
      <w:sz w:val="20"/>
    </w:rPr>
  </w:style>
  <w:style w:type="paragraph" w:styleId="Pieddepage">
    <w:name w:val="footer"/>
    <w:basedOn w:val="Normal"/>
    <w:link w:val="PieddepageCar"/>
    <w:uiPriority w:val="99"/>
    <w:unhideWhenUsed/>
    <w:rsid w:val="00130B1E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130B1E"/>
    <w:rPr>
      <w:rFonts w:ascii="Times New Roman" w:hAnsi="Times New Roman"/>
      <w:sz w:val="20"/>
    </w:rPr>
  </w:style>
  <w:style w:type="character" w:customStyle="1" w:styleId="Titre2Car">
    <w:name w:val="Titre 2 Car"/>
    <w:basedOn w:val="Policepardfaut"/>
    <w:link w:val="Titre2"/>
    <w:uiPriority w:val="9"/>
    <w:rsid w:val="00130B1E"/>
    <w:rPr>
      <w:rFonts w:ascii="Times New Roman" w:eastAsiaTheme="majorEastAsia" w:hAnsi="Times New Roman" w:cstheme="majorBidi"/>
      <w:b/>
      <w:bCs/>
      <w:color w:val="4F81BD" w:themeColor="accent1"/>
      <w:sz w:val="24"/>
      <w:szCs w:val="26"/>
      <w:u w:val="single"/>
    </w:rPr>
  </w:style>
  <w:style w:type="character" w:customStyle="1" w:styleId="Titre3Car">
    <w:name w:val="Titre 3 Car"/>
    <w:basedOn w:val="Policepardfaut"/>
    <w:link w:val="Titre3"/>
    <w:uiPriority w:val="9"/>
    <w:rsid w:val="00523298"/>
    <w:rPr>
      <w:rFonts w:ascii="Times New Roman" w:eastAsiaTheme="majorEastAsia" w:hAnsi="Times New Roman" w:cstheme="majorBidi"/>
      <w:b/>
      <w:bCs/>
      <w:color w:val="002060"/>
      <w:sz w:val="20"/>
      <w:u w:val="single"/>
    </w:rPr>
  </w:style>
  <w:style w:type="paragraph" w:styleId="Paragraphedeliste">
    <w:name w:val="List Paragraph"/>
    <w:basedOn w:val="Normal"/>
    <w:uiPriority w:val="34"/>
    <w:qFormat/>
    <w:rsid w:val="00523298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E63C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E63C5"/>
    <w:rPr>
      <w:rFonts w:ascii="Tahoma" w:hAnsi="Tahoma" w:cs="Tahoma"/>
      <w:sz w:val="16"/>
      <w:szCs w:val="16"/>
    </w:rPr>
  </w:style>
  <w:style w:type="character" w:customStyle="1" w:styleId="Titre4Car">
    <w:name w:val="Titre 4 Car"/>
    <w:basedOn w:val="Policepardfaut"/>
    <w:link w:val="Titre4"/>
    <w:uiPriority w:val="9"/>
    <w:rsid w:val="00683C70"/>
    <w:rPr>
      <w:rFonts w:ascii="Times New Roman" w:eastAsiaTheme="majorEastAsia" w:hAnsi="Times New Roman" w:cstheme="majorBidi"/>
      <w:b/>
      <w:bCs/>
      <w:iCs/>
      <w:color w:val="0070C0"/>
      <w:sz w:val="2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oleObject" Target="Classeur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fr-FR"/>
  <c:style val="7"/>
  <c:chart>
    <c:view3D>
      <c:rotX val="30"/>
      <c:perspective val="30"/>
    </c:view3D>
    <c:plotArea>
      <c:layout>
        <c:manualLayout>
          <c:layoutTarget val="inner"/>
          <c:xMode val="edge"/>
          <c:yMode val="edge"/>
          <c:x val="7.4302083310479647E-2"/>
          <c:y val="6.7726207715357964E-2"/>
          <c:w val="0.52969340883478133"/>
          <c:h val="0.86454758456928449"/>
        </c:manualLayout>
      </c:layout>
      <c:pie3DChart>
        <c:varyColors val="1"/>
        <c:ser>
          <c:idx val="0"/>
          <c:order val="0"/>
          <c:dPt>
            <c:idx val="0"/>
            <c:explosion val="12"/>
            <c:spPr>
              <a:solidFill>
                <a:srgbClr val="00B050"/>
              </a:solidFill>
              <a:ln>
                <a:solidFill>
                  <a:srgbClr val="00B050"/>
                </a:solidFill>
              </a:ln>
            </c:spPr>
          </c:dPt>
          <c:cat>
            <c:strRef>
              <c:f>Feuil1!$A$2:$A$4</c:f>
              <c:strCache>
                <c:ptCount val="3"/>
                <c:pt idx="0">
                  <c:v>Intracellulaire</c:v>
                </c:pt>
                <c:pt idx="1">
                  <c:v>Intestitielle</c:v>
                </c:pt>
                <c:pt idx="2">
                  <c:v>Vaisseaux</c:v>
                </c:pt>
              </c:strCache>
            </c:strRef>
          </c:cat>
          <c:val>
            <c:numRef>
              <c:f>Feuil1!$B$2:$B$4</c:f>
              <c:numCache>
                <c:formatCode>General</c:formatCode>
                <c:ptCount val="3"/>
                <c:pt idx="0">
                  <c:v>0.66666666666666663</c:v>
                </c:pt>
                <c:pt idx="1">
                  <c:v>0.25</c:v>
                </c:pt>
                <c:pt idx="2">
                  <c:v>8.3333333333333343E-2</c:v>
                </c:pt>
              </c:numCache>
            </c:numRef>
          </c:val>
        </c:ser>
      </c:pie3DChart>
    </c:plotArea>
    <c:legend>
      <c:legendPos val="r"/>
    </c:legend>
    <c:plotVisOnly val="1"/>
  </c:chart>
  <c:spPr>
    <a:ln>
      <a:noFill/>
    </a:ln>
  </c:spPr>
  <c:externalData r:id="rId1"/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0.3585</cdr:x>
      <cdr:y>0.40722</cdr:y>
    </cdr:from>
    <cdr:to>
      <cdr:x>0.50624</cdr:x>
      <cdr:y>0.56701</cdr:y>
    </cdr:to>
    <cdr:sp macro="" textlink="">
      <cdr:nvSpPr>
        <cdr:cNvPr id="2" name="ZoneTexte 1"/>
        <cdr:cNvSpPr txBox="1"/>
      </cdr:nvSpPr>
      <cdr:spPr>
        <a:xfrm xmlns:a="http://schemas.openxmlformats.org/drawingml/2006/main">
          <a:off x="980410" y="839972"/>
          <a:ext cx="404037" cy="329610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fr-FR" sz="1100"/>
            <a:t>2/3</a:t>
          </a:r>
        </a:p>
      </cdr:txBody>
    </cdr:sp>
  </cdr:relSizeAnchor>
  <cdr:relSizeAnchor xmlns:cdr="http://schemas.openxmlformats.org/drawingml/2006/chartDrawing">
    <cdr:from>
      <cdr:x>0.12522</cdr:x>
      <cdr:y>0.37113</cdr:y>
    </cdr:from>
    <cdr:to>
      <cdr:x>0.27296</cdr:x>
      <cdr:y>0.48969</cdr:y>
    </cdr:to>
    <cdr:sp macro="" textlink="">
      <cdr:nvSpPr>
        <cdr:cNvPr id="3" name="ZoneTexte 2"/>
        <cdr:cNvSpPr txBox="1"/>
      </cdr:nvSpPr>
      <cdr:spPr>
        <a:xfrm xmlns:a="http://schemas.openxmlformats.org/drawingml/2006/main">
          <a:off x="342456" y="765545"/>
          <a:ext cx="404037" cy="244548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fr-FR" sz="1100"/>
            <a:t>3/4</a:t>
          </a:r>
        </a:p>
      </cdr:txBody>
    </cdr:sp>
  </cdr:relSizeAnchor>
  <cdr:relSizeAnchor xmlns:cdr="http://schemas.openxmlformats.org/drawingml/2006/chartDrawing">
    <cdr:from>
      <cdr:x>0.2302</cdr:x>
      <cdr:y>0.25773</cdr:y>
    </cdr:from>
    <cdr:to>
      <cdr:x>0.38182</cdr:x>
      <cdr:y>0.40206</cdr:y>
    </cdr:to>
    <cdr:sp macro="" textlink="">
      <cdr:nvSpPr>
        <cdr:cNvPr id="4" name="ZoneTexte 3"/>
        <cdr:cNvSpPr txBox="1"/>
      </cdr:nvSpPr>
      <cdr:spPr>
        <a:xfrm xmlns:a="http://schemas.openxmlformats.org/drawingml/2006/main">
          <a:off x="629535" y="531628"/>
          <a:ext cx="414669" cy="297712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square" rtlCol="0"/>
        <a:lstStyle xmlns:a="http://schemas.openxmlformats.org/drawingml/2006/main"/>
        <a:p xmlns:a="http://schemas.openxmlformats.org/drawingml/2006/main">
          <a:r>
            <a:rPr lang="fr-FR" sz="1100"/>
            <a:t>1/4</a:t>
          </a:r>
        </a:p>
      </cdr:txBody>
    </cdr:sp>
  </cdr:relSizeAnchor>
</c:userShape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4</Pages>
  <Words>1088</Words>
  <Characters>5989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Christelle</dc:creator>
  <cp:lastModifiedBy>Christelle</cp:lastModifiedBy>
  <cp:revision>19</cp:revision>
  <dcterms:created xsi:type="dcterms:W3CDTF">2011-04-22T17:31:00Z</dcterms:created>
  <dcterms:modified xsi:type="dcterms:W3CDTF">2011-04-23T12:22:00Z</dcterms:modified>
</cp:coreProperties>
</file>