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ADF" w:rsidRDefault="00D547F6" w:rsidP="00D547F6">
      <w:pPr>
        <w:spacing w:after="0"/>
        <w:jc w:val="center"/>
        <w:rPr>
          <w:b/>
        </w:rPr>
      </w:pPr>
      <w:r>
        <w:rPr>
          <w:b/>
        </w:rPr>
        <w:t>TCR</w:t>
      </w:r>
    </w:p>
    <w:p w:rsidR="00D547F6" w:rsidRDefault="00DF120C" w:rsidP="00D547F6">
      <w:pPr>
        <w:spacing w:after="0"/>
        <w:jc w:val="both"/>
      </w:pPr>
      <w:r>
        <w:rPr>
          <w:noProof/>
          <w:lang w:eastAsia="fr-FR"/>
        </w:rPr>
        <w:drawing>
          <wp:anchor distT="0" distB="0" distL="114300" distR="114300" simplePos="0" relativeHeight="251659264" behindDoc="0" locked="0" layoutInCell="1" allowOverlap="1" wp14:anchorId="3AC5DC0D" wp14:editId="5397B68A">
            <wp:simplePos x="0" y="0"/>
            <wp:positionH relativeFrom="column">
              <wp:posOffset>4481830</wp:posOffset>
            </wp:positionH>
            <wp:positionV relativeFrom="paragraph">
              <wp:posOffset>24765</wp:posOffset>
            </wp:positionV>
            <wp:extent cx="1504315" cy="980440"/>
            <wp:effectExtent l="0" t="0" r="635"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4315" cy="980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47F6" w:rsidRPr="00925D65" w:rsidRDefault="00D547F6" w:rsidP="00D547F6">
      <w:pPr>
        <w:pStyle w:val="Paragraphedeliste"/>
        <w:numPr>
          <w:ilvl w:val="0"/>
          <w:numId w:val="1"/>
        </w:numPr>
        <w:spacing w:after="0"/>
        <w:jc w:val="both"/>
        <w:rPr>
          <w:b/>
          <w:color w:val="0000FF"/>
        </w:rPr>
      </w:pPr>
      <w:r w:rsidRPr="00925D65">
        <w:rPr>
          <w:b/>
          <w:color w:val="0000FF"/>
        </w:rPr>
        <w:t>TCR et cellules T</w:t>
      </w:r>
    </w:p>
    <w:p w:rsidR="00D547F6" w:rsidRDefault="00D547F6" w:rsidP="00D547F6">
      <w:pPr>
        <w:spacing w:after="0"/>
        <w:jc w:val="both"/>
      </w:pPr>
    </w:p>
    <w:p w:rsidR="00DE2A5D" w:rsidRDefault="00DE2A5D" w:rsidP="00D547F6">
      <w:pPr>
        <w:spacing w:after="0"/>
        <w:jc w:val="both"/>
      </w:pPr>
      <w:r>
        <w:t>Les LT</w:t>
      </w:r>
      <w:r w:rsidR="000F53EA">
        <w:t xml:space="preserve"> ont des excroissances à leur surface =&gt; + grande surface de contact avec l’environnement.</w:t>
      </w:r>
    </w:p>
    <w:p w:rsidR="000F53EA" w:rsidRDefault="00DF120C" w:rsidP="00D547F6">
      <w:pPr>
        <w:spacing w:after="0"/>
        <w:jc w:val="both"/>
      </w:pPr>
      <w:r>
        <w:rPr>
          <w:noProof/>
          <w:lang w:eastAsia="fr-FR"/>
        </w:rPr>
        <w:drawing>
          <wp:anchor distT="0" distB="0" distL="114300" distR="114300" simplePos="0" relativeHeight="251658240" behindDoc="0" locked="0" layoutInCell="1" allowOverlap="1" wp14:anchorId="0A3ACAEB" wp14:editId="0C874668">
            <wp:simplePos x="0" y="0"/>
            <wp:positionH relativeFrom="column">
              <wp:posOffset>4483100</wp:posOffset>
            </wp:positionH>
            <wp:positionV relativeFrom="paragraph">
              <wp:posOffset>129540</wp:posOffset>
            </wp:positionV>
            <wp:extent cx="1500505" cy="1571625"/>
            <wp:effectExtent l="0" t="0" r="4445" b="9525"/>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0505" cy="1571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1468" w:rsidRDefault="00DF120C" w:rsidP="008D04B1">
      <w:pPr>
        <w:spacing w:after="0"/>
        <w:jc w:val="both"/>
      </w:pPr>
      <w:r>
        <w:rPr>
          <w:noProof/>
          <w:lang w:eastAsia="fr-FR"/>
        </w:rPr>
        <w:drawing>
          <wp:anchor distT="0" distB="0" distL="114300" distR="114300" simplePos="0" relativeHeight="251667456" behindDoc="0" locked="0" layoutInCell="1" allowOverlap="1" wp14:anchorId="2C6454E9" wp14:editId="201A34B4">
            <wp:simplePos x="0" y="0"/>
            <wp:positionH relativeFrom="column">
              <wp:posOffset>252730</wp:posOffset>
            </wp:positionH>
            <wp:positionV relativeFrom="paragraph">
              <wp:posOffset>848360</wp:posOffset>
            </wp:positionV>
            <wp:extent cx="3943350" cy="1082675"/>
            <wp:effectExtent l="19050" t="19050" r="19050" b="22225"/>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3350" cy="108267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D547F6">
        <w:t xml:space="preserve">TCR est le </w:t>
      </w:r>
      <w:proofErr w:type="spellStart"/>
      <w:r w:rsidR="00D547F6">
        <w:t>rcpt</w:t>
      </w:r>
      <w:proofErr w:type="spellEnd"/>
      <w:r w:rsidR="00D547F6">
        <w:t xml:space="preserve"> membranaire de l’Ag sur le LT</w:t>
      </w:r>
      <w:r w:rsidR="00AE7A8C">
        <w:t xml:space="preserve"> (</w:t>
      </w:r>
      <w:r w:rsidR="00D547F6">
        <w:t xml:space="preserve">n’existe pas </w:t>
      </w:r>
      <w:r w:rsidR="00AE7A8C">
        <w:t>sous</w:t>
      </w:r>
      <w:r w:rsidR="00D547F6">
        <w:t xml:space="preserve"> forme soluble</w:t>
      </w:r>
      <w:r w:rsidR="004B4B7F">
        <w:t xml:space="preserve"> comme les </w:t>
      </w:r>
      <w:proofErr w:type="spellStart"/>
      <w:r w:rsidR="004B4B7F">
        <w:t>Ig</w:t>
      </w:r>
      <w:proofErr w:type="spellEnd"/>
      <w:r w:rsidR="00AE7A8C">
        <w:t>)</w:t>
      </w:r>
      <w:r w:rsidR="008D04B1">
        <w:t xml:space="preserve">, il est spé de </w:t>
      </w:r>
      <w:proofErr w:type="spellStart"/>
      <w:r w:rsidR="008D04B1">
        <w:t>Ag+CMH</w:t>
      </w:r>
      <w:proofErr w:type="spellEnd"/>
      <w:r w:rsidR="008D04B1" w:rsidRPr="008D04B1">
        <w:t xml:space="preserve"> </w:t>
      </w:r>
      <w:r w:rsidR="008D04B1">
        <w:t>mais l’interaction avec l’Ag est de très faible affinité</w:t>
      </w:r>
      <w:r w:rsidR="00411468">
        <w:t xml:space="preserve"> : il doit y avoir tout un système de molécules d’adhérence et </w:t>
      </w:r>
      <w:proofErr w:type="spellStart"/>
      <w:r w:rsidR="00411468">
        <w:t>co</w:t>
      </w:r>
      <w:proofErr w:type="spellEnd"/>
      <w:r w:rsidR="00411468">
        <w:t>-réceptrices</w:t>
      </w:r>
      <w:r w:rsidR="008D04B1">
        <w:t xml:space="preserve"> </w:t>
      </w:r>
    </w:p>
    <w:p w:rsidR="008D04B1" w:rsidRDefault="00DF120C" w:rsidP="008D04B1">
      <w:pPr>
        <w:spacing w:after="0"/>
        <w:jc w:val="both"/>
      </w:pPr>
      <w:r>
        <w:rPr>
          <w:noProof/>
          <w:lang w:eastAsia="fr-FR"/>
        </w:rPr>
        <w:drawing>
          <wp:anchor distT="0" distB="0" distL="114300" distR="114300" simplePos="0" relativeHeight="251665408" behindDoc="0" locked="0" layoutInCell="1" allowOverlap="1" wp14:anchorId="27DCFD0D" wp14:editId="63E49CE9">
            <wp:simplePos x="0" y="0"/>
            <wp:positionH relativeFrom="column">
              <wp:posOffset>149860</wp:posOffset>
            </wp:positionH>
            <wp:positionV relativeFrom="paragraph">
              <wp:posOffset>833755</wp:posOffset>
            </wp:positionV>
            <wp:extent cx="1593850" cy="2562225"/>
            <wp:effectExtent l="0" t="0" r="6350" b="9525"/>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93850"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sidR="008D04B1">
        <w:t xml:space="preserve">Les gènes qui codent pour TCR sont différents de ceux des </w:t>
      </w:r>
      <w:proofErr w:type="spellStart"/>
      <w:r w:rsidR="008D04B1">
        <w:t>Ig</w:t>
      </w:r>
      <w:proofErr w:type="spellEnd"/>
      <w:r w:rsidR="008D04B1">
        <w:t>.</w:t>
      </w:r>
    </w:p>
    <w:p w:rsidR="000F53EA" w:rsidRDefault="00DE2A5D" w:rsidP="008D04B1">
      <w:pPr>
        <w:spacing w:after="0"/>
        <w:jc w:val="both"/>
      </w:pPr>
      <w:r>
        <w:t xml:space="preserve">Il appartient à la superfamille des </w:t>
      </w:r>
      <w:proofErr w:type="spellStart"/>
      <w:r>
        <w:t>Ig</w:t>
      </w:r>
      <w:proofErr w:type="spellEnd"/>
      <w:r w:rsidR="00DE1457">
        <w:t> :</w:t>
      </w:r>
      <w:r w:rsidR="00DE7870">
        <w:t xml:space="preserve"> </w:t>
      </w:r>
      <w:proofErr w:type="spellStart"/>
      <w:r w:rsidR="00DE7870">
        <w:t>hétérodimère</w:t>
      </w:r>
      <w:proofErr w:type="spellEnd"/>
      <w:r w:rsidR="00DE7870">
        <w:t xml:space="preserve"> de </w:t>
      </w:r>
      <w:r w:rsidR="00DE1457">
        <w:t xml:space="preserve">chaînes </w:t>
      </w:r>
      <w:r w:rsidR="00DE1457" w:rsidRPr="008D04B1">
        <w:rPr>
          <w:rFonts w:cstheme="minorHAnsi"/>
        </w:rPr>
        <w:t>αβ</w:t>
      </w:r>
      <w:r w:rsidR="00DE1457">
        <w:t xml:space="preserve"> </w:t>
      </w:r>
      <w:r w:rsidR="00DE7870">
        <w:t xml:space="preserve">(ou </w:t>
      </w:r>
      <w:proofErr w:type="spellStart"/>
      <w:r w:rsidR="00DE1457" w:rsidRPr="008D04B1">
        <w:rPr>
          <w:rFonts w:cstheme="minorHAnsi"/>
        </w:rPr>
        <w:t>γδ</w:t>
      </w:r>
      <w:proofErr w:type="spellEnd"/>
      <w:r w:rsidR="00DE7870" w:rsidRPr="008D04B1">
        <w:rPr>
          <w:rFonts w:cstheme="minorHAnsi"/>
        </w:rPr>
        <w:t>)</w:t>
      </w:r>
      <w:r w:rsidR="00DE1457">
        <w:t xml:space="preserve">, elles ont chacune un domaine variable V avec </w:t>
      </w:r>
      <w:r w:rsidR="00341BFF">
        <w:t>3-</w:t>
      </w:r>
      <w:r w:rsidR="00DE1457">
        <w:t>4 régions hypervariables</w:t>
      </w:r>
      <w:r w:rsidR="00341BFF">
        <w:t xml:space="preserve"> (CDR)</w:t>
      </w:r>
      <w:r w:rsidR="00DE1457">
        <w:t>.</w:t>
      </w:r>
      <w:r w:rsidR="008D04B1">
        <w:t xml:space="preserve"> TCR est associé</w:t>
      </w:r>
      <w:r w:rsidR="000F53EA">
        <w:t xml:space="preserve"> à CD3 pour permettre la transmission du signal.</w:t>
      </w:r>
    </w:p>
    <w:p w:rsidR="004B4B7F" w:rsidRDefault="004B4B7F" w:rsidP="004B4B7F">
      <w:pPr>
        <w:spacing w:after="0"/>
        <w:jc w:val="both"/>
      </w:pPr>
    </w:p>
    <w:p w:rsidR="008D04B1" w:rsidRDefault="008D04B1" w:rsidP="004B4B7F">
      <w:pPr>
        <w:spacing w:after="0"/>
        <w:jc w:val="both"/>
      </w:pPr>
      <w:r w:rsidRPr="00341BFF">
        <w:rPr>
          <w:b/>
        </w:rPr>
        <w:t>CD3</w:t>
      </w:r>
      <w:r>
        <w:t xml:space="preserve"> est un ensemble de 3 dimères qui </w:t>
      </w:r>
      <w:r w:rsidRPr="00341BFF">
        <w:rPr>
          <w:b/>
        </w:rPr>
        <w:t>n’interviennent</w:t>
      </w:r>
      <w:r>
        <w:t xml:space="preserve"> </w:t>
      </w:r>
      <w:r w:rsidRPr="00341BFF">
        <w:rPr>
          <w:b/>
        </w:rPr>
        <w:t>pas</w:t>
      </w:r>
      <w:r>
        <w:t xml:space="preserve"> </w:t>
      </w:r>
      <w:r w:rsidRPr="00341BFF">
        <w:rPr>
          <w:b/>
        </w:rPr>
        <w:t>dans</w:t>
      </w:r>
      <w:r>
        <w:t xml:space="preserve"> </w:t>
      </w:r>
      <w:r w:rsidRPr="00341BFF">
        <w:rPr>
          <w:b/>
        </w:rPr>
        <w:t>la</w:t>
      </w:r>
      <w:r>
        <w:t xml:space="preserve"> </w:t>
      </w:r>
      <w:r w:rsidRPr="00341BFF">
        <w:rPr>
          <w:b/>
        </w:rPr>
        <w:t>reconnaissance</w:t>
      </w:r>
      <w:r>
        <w:t xml:space="preserve">  du peptide. Certains AC monoclonaux anti-CDR court-circuitent le TCR et déclenchent l’activation cellulaire : mécanisme non spécifique. Les CD3 ne varient pas selon les individus. </w:t>
      </w:r>
    </w:p>
    <w:p w:rsidR="008D04B1" w:rsidRDefault="008D04B1" w:rsidP="008D04B1">
      <w:pPr>
        <w:spacing w:after="0"/>
        <w:jc w:val="both"/>
        <w:rPr>
          <w:b/>
        </w:rPr>
      </w:pPr>
    </w:p>
    <w:p w:rsidR="008D04B1" w:rsidRPr="003D1924" w:rsidRDefault="008D04B1" w:rsidP="008D04B1">
      <w:pPr>
        <w:spacing w:after="0"/>
        <w:jc w:val="both"/>
      </w:pPr>
      <w:proofErr w:type="spellStart"/>
      <w:r>
        <w:rPr>
          <w:b/>
        </w:rPr>
        <w:t>Co-récepteurs</w:t>
      </w:r>
      <w:proofErr w:type="spellEnd"/>
      <w:r>
        <w:rPr>
          <w:b/>
        </w:rPr>
        <w:t> </w:t>
      </w:r>
      <w:r>
        <w:t>: nécessaire car l’affinité TCR-</w:t>
      </w:r>
      <w:proofErr w:type="spellStart"/>
      <w:r>
        <w:t>peptideCMH</w:t>
      </w:r>
      <w:proofErr w:type="spellEnd"/>
      <w:r>
        <w:t xml:space="preserve"> est très faible. Ils interviennent en augmentant l’activité globale de l’interaction, et/ou en envoyant des signaux vers l’intérieur de la cellule.</w:t>
      </w:r>
    </w:p>
    <w:p w:rsidR="008D04B1" w:rsidRDefault="008D04B1" w:rsidP="004B4B7F">
      <w:pPr>
        <w:spacing w:after="0"/>
        <w:jc w:val="both"/>
      </w:pPr>
    </w:p>
    <w:p w:rsidR="004B4B7F" w:rsidRDefault="004B4B7F" w:rsidP="004B4B7F">
      <w:pPr>
        <w:spacing w:after="0"/>
        <w:jc w:val="both"/>
      </w:pPr>
      <w:r w:rsidRPr="008D04B1">
        <w:rPr>
          <w:b/>
        </w:rPr>
        <w:t>CD4</w:t>
      </w:r>
      <w:r>
        <w:t xml:space="preserve"> et </w:t>
      </w:r>
      <w:r w:rsidRPr="008D04B1">
        <w:rPr>
          <w:b/>
        </w:rPr>
        <w:t>CD8</w:t>
      </w:r>
      <w:r>
        <w:t xml:space="preserve"> : membres de la superfamille des </w:t>
      </w:r>
      <w:proofErr w:type="spellStart"/>
      <w:r>
        <w:t>Ig</w:t>
      </w:r>
      <w:proofErr w:type="spellEnd"/>
      <w:r w:rsidR="00FA4174">
        <w:t xml:space="preserve"> (moyen mémo IIx4 = Ix8). Ils augmentent </w:t>
      </w:r>
      <w:proofErr w:type="spellStart"/>
      <w:r w:rsidR="00FA4174">
        <w:t>jsq</w:t>
      </w:r>
      <w:proofErr w:type="spellEnd"/>
      <w:r w:rsidR="00FA4174">
        <w:t xml:space="preserve"> 100x l’affinité globale de l’interaction TCR-CMH. Via leur domaine </w:t>
      </w:r>
      <w:proofErr w:type="spellStart"/>
      <w:r w:rsidR="00FA4174">
        <w:t>intracytoplasmique</w:t>
      </w:r>
      <w:proofErr w:type="spellEnd"/>
      <w:r w:rsidR="00FA4174">
        <w:t>, ils activent directement des systèmes de transduction du signal</w:t>
      </w:r>
      <w:r w:rsidR="008D04B1">
        <w:t>.</w:t>
      </w:r>
    </w:p>
    <w:p w:rsidR="00FA4174" w:rsidRDefault="00FA4174" w:rsidP="00FA4174">
      <w:pPr>
        <w:pStyle w:val="Paragraphedeliste"/>
        <w:numPr>
          <w:ilvl w:val="0"/>
          <w:numId w:val="2"/>
        </w:numPr>
        <w:spacing w:after="0"/>
        <w:jc w:val="both"/>
      </w:pPr>
      <w:r w:rsidRPr="008D04B1">
        <w:rPr>
          <w:b/>
        </w:rPr>
        <w:t>CD4</w:t>
      </w:r>
      <w:r>
        <w:t> : monomère présent sur les T</w:t>
      </w:r>
      <w:r>
        <w:rPr>
          <w:vertAlign w:val="subscript"/>
        </w:rPr>
        <w:t>h</w:t>
      </w:r>
      <w:r>
        <w:t>, interagit avec CMH II en se liant à une portion non polymorphique de la chaîne</w:t>
      </w:r>
      <w:r>
        <w:rPr>
          <w:rFonts w:cstheme="minorHAnsi"/>
        </w:rPr>
        <w:t>β</w:t>
      </w:r>
      <w:r>
        <w:t xml:space="preserve"> du CMH II à distance du site d’interaction avec TCR</w:t>
      </w:r>
    </w:p>
    <w:p w:rsidR="00FA4174" w:rsidRDefault="00FA4174" w:rsidP="00FA4174">
      <w:pPr>
        <w:pStyle w:val="Paragraphedeliste"/>
        <w:numPr>
          <w:ilvl w:val="0"/>
          <w:numId w:val="2"/>
        </w:numPr>
        <w:spacing w:after="0"/>
        <w:jc w:val="both"/>
      </w:pPr>
      <w:r w:rsidRPr="008D04B1">
        <w:rPr>
          <w:b/>
        </w:rPr>
        <w:t>CD8</w:t>
      </w:r>
      <w:r>
        <w:t xml:space="preserve"> : homo ou hétéro-dimère présent due les </w:t>
      </w:r>
      <w:proofErr w:type="spellStart"/>
      <w:r>
        <w:t>T</w:t>
      </w:r>
      <w:r>
        <w:rPr>
          <w:vertAlign w:val="subscript"/>
        </w:rPr>
        <w:t>cyto</w:t>
      </w:r>
      <w:proofErr w:type="spellEnd"/>
      <w:r>
        <w:t>, interagit avec CMH I en se liant à une portion non polymorphique de la chaîne</w:t>
      </w:r>
      <w:r>
        <w:rPr>
          <w:rFonts w:cstheme="minorHAnsi"/>
        </w:rPr>
        <w:t>α</w:t>
      </w:r>
      <w:r>
        <w:t xml:space="preserve"> de CMH I à distance du site d’interaction avec TCR</w:t>
      </w:r>
    </w:p>
    <w:p w:rsidR="004B4B7F" w:rsidRDefault="004B4B7F" w:rsidP="004B4B7F">
      <w:pPr>
        <w:spacing w:after="0"/>
        <w:jc w:val="both"/>
        <w:rPr>
          <w:b/>
          <w:color w:val="0000FF"/>
        </w:rPr>
      </w:pPr>
    </w:p>
    <w:p w:rsidR="00925D65" w:rsidRPr="00925D65" w:rsidRDefault="00925D65" w:rsidP="004B4B7F">
      <w:pPr>
        <w:spacing w:after="0"/>
        <w:jc w:val="both"/>
        <w:rPr>
          <w:b/>
          <w:color w:val="0000FF"/>
        </w:rPr>
      </w:pPr>
    </w:p>
    <w:p w:rsidR="004B4B7F" w:rsidRPr="00925D65" w:rsidRDefault="004B4B7F" w:rsidP="008F2438">
      <w:pPr>
        <w:pStyle w:val="Paragraphedeliste"/>
        <w:numPr>
          <w:ilvl w:val="0"/>
          <w:numId w:val="1"/>
        </w:numPr>
        <w:spacing w:after="0"/>
        <w:jc w:val="both"/>
        <w:rPr>
          <w:b/>
          <w:color w:val="0000FF"/>
        </w:rPr>
      </w:pPr>
      <w:r w:rsidRPr="00925D65">
        <w:rPr>
          <w:b/>
          <w:color w:val="0000FF"/>
        </w:rPr>
        <w:t>Mise en évidence et étude</w:t>
      </w:r>
    </w:p>
    <w:p w:rsidR="00925D65" w:rsidRDefault="00925D65" w:rsidP="008F2438">
      <w:pPr>
        <w:spacing w:after="0"/>
        <w:jc w:val="both"/>
        <w:rPr>
          <w:i/>
        </w:rPr>
      </w:pPr>
    </w:p>
    <w:p w:rsidR="008F2438" w:rsidRDefault="008F2438" w:rsidP="008F2438">
      <w:pPr>
        <w:spacing w:after="0"/>
        <w:jc w:val="both"/>
        <w:rPr>
          <w:i/>
        </w:rPr>
      </w:pPr>
      <w:r>
        <w:rPr>
          <w:i/>
        </w:rPr>
        <w:t xml:space="preserve">Mise en évidence du TCR : on a développé des clones des CTL chez des souris. Iv vitro, les CTL peuvent lyser les cellules infectées mais pas directement le virus =&gt; ce n’est donc pas l’Ag entier qui est reconnu par les LT : c’est un processus différent des LB et AC. </w:t>
      </w:r>
      <w:proofErr w:type="spellStart"/>
      <w:r>
        <w:rPr>
          <w:i/>
        </w:rPr>
        <w:t>Zinkernagel</w:t>
      </w:r>
      <w:proofErr w:type="spellEnd"/>
      <w:r>
        <w:rPr>
          <w:i/>
        </w:rPr>
        <w:t xml:space="preserve"> et</w:t>
      </w:r>
      <w:r w:rsidR="00322FD9">
        <w:rPr>
          <w:i/>
        </w:rPr>
        <w:t xml:space="preserve"> Doherty définissent la </w:t>
      </w:r>
      <w:r>
        <w:rPr>
          <w:i/>
        </w:rPr>
        <w:lastRenderedPageBreak/>
        <w:t>restriction au soi par une série d’expériences</w:t>
      </w:r>
      <w:r w:rsidR="009D187F">
        <w:rPr>
          <w:i/>
        </w:rPr>
        <w:t xml:space="preserve"> : pour qu’il y ait une RI efficace on doit avoir le même CMH entre la CPA et le LT =&gt; </w:t>
      </w:r>
      <w:proofErr w:type="spellStart"/>
      <w:r w:rsidR="009D187F">
        <w:rPr>
          <w:i/>
        </w:rPr>
        <w:t>rcpt</w:t>
      </w:r>
      <w:proofErr w:type="spellEnd"/>
      <w:r w:rsidR="009D187F">
        <w:rPr>
          <w:i/>
        </w:rPr>
        <w:t xml:space="preserve"> T éduqués dans le thymus dans le contexte du CMH.</w:t>
      </w:r>
    </w:p>
    <w:p w:rsidR="00DE7870" w:rsidRDefault="00DF120C" w:rsidP="008F2438">
      <w:pPr>
        <w:spacing w:after="0"/>
        <w:jc w:val="both"/>
        <w:rPr>
          <w:i/>
        </w:rPr>
      </w:pPr>
      <w:r>
        <w:rPr>
          <w:noProof/>
          <w:lang w:eastAsia="fr-FR"/>
        </w:rPr>
        <w:drawing>
          <wp:anchor distT="0" distB="0" distL="114300" distR="114300" simplePos="0" relativeHeight="251660288" behindDoc="0" locked="0" layoutInCell="1" allowOverlap="1" wp14:anchorId="3380DF19" wp14:editId="71FB9CF8">
            <wp:simplePos x="0" y="0"/>
            <wp:positionH relativeFrom="column">
              <wp:posOffset>3519805</wp:posOffset>
            </wp:positionH>
            <wp:positionV relativeFrom="paragraph">
              <wp:posOffset>38100</wp:posOffset>
            </wp:positionV>
            <wp:extent cx="2575560" cy="2072005"/>
            <wp:effectExtent l="19050" t="19050" r="15240" b="23495"/>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5560" cy="20720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DE7870" w:rsidRDefault="00DE7870" w:rsidP="008F2438">
      <w:pPr>
        <w:spacing w:after="0"/>
        <w:jc w:val="both"/>
        <w:rPr>
          <w:i/>
        </w:rPr>
      </w:pPr>
      <w:r>
        <w:rPr>
          <w:i/>
        </w:rPr>
        <w:t xml:space="preserve">Etude du TCR : utilisation d’un gd nb d’AC monoclonaux dirigés contre des clones de LT puis criblage pour trouver un AC spécifique d’un clone =&gt; AC </w:t>
      </w:r>
      <w:proofErr w:type="spellStart"/>
      <w:r>
        <w:rPr>
          <w:i/>
        </w:rPr>
        <w:t>clonotypiques</w:t>
      </w:r>
      <w:proofErr w:type="spellEnd"/>
      <w:r>
        <w:rPr>
          <w:i/>
        </w:rPr>
        <w:t xml:space="preserve"> qui ne reconnaissent  qu’un seul clone =&gt; on a peut isoler TCR</w:t>
      </w:r>
      <w:r w:rsidR="007C201C">
        <w:rPr>
          <w:i/>
        </w:rPr>
        <w:t>, le cristalliser pour l’étudier.</w:t>
      </w:r>
    </w:p>
    <w:p w:rsidR="00DE7870" w:rsidRDefault="00DE7870" w:rsidP="008F2438">
      <w:pPr>
        <w:spacing w:after="0"/>
        <w:jc w:val="both"/>
      </w:pPr>
    </w:p>
    <w:p w:rsidR="007C201C" w:rsidRDefault="00DE7870" w:rsidP="008F2438">
      <w:pPr>
        <w:spacing w:after="0"/>
        <w:jc w:val="both"/>
        <w:rPr>
          <w:sz w:val="18"/>
        </w:rPr>
      </w:pPr>
      <w:r w:rsidRPr="00DE7870">
        <w:rPr>
          <w:sz w:val="18"/>
        </w:rPr>
        <w:t xml:space="preserve">TCR (jaune) utilise les chaînes </w:t>
      </w:r>
      <w:r w:rsidRPr="00DE7870">
        <w:rPr>
          <w:rFonts w:cstheme="minorHAnsi"/>
          <w:sz w:val="18"/>
        </w:rPr>
        <w:t>α</w:t>
      </w:r>
      <w:r w:rsidRPr="00DE7870">
        <w:rPr>
          <w:sz w:val="18"/>
        </w:rPr>
        <w:t xml:space="preserve">1 et </w:t>
      </w:r>
      <w:r w:rsidRPr="00DE7870">
        <w:rPr>
          <w:rFonts w:cstheme="minorHAnsi"/>
          <w:sz w:val="18"/>
        </w:rPr>
        <w:t>α</w:t>
      </w:r>
      <w:r w:rsidRPr="00DE7870">
        <w:rPr>
          <w:sz w:val="18"/>
        </w:rPr>
        <w:t>2 comme réceptacle au peptide antigénique (blanc)</w:t>
      </w:r>
      <w:r w:rsidR="00953310">
        <w:rPr>
          <w:sz w:val="18"/>
        </w:rPr>
        <w:t xml:space="preserve"> présenté par le CMH I d’une CPA (bleue)</w:t>
      </w:r>
      <w:r w:rsidR="007C201C">
        <w:rPr>
          <w:sz w:val="18"/>
        </w:rPr>
        <w:t>.</w:t>
      </w:r>
    </w:p>
    <w:p w:rsidR="007C201C" w:rsidRDefault="007C201C" w:rsidP="008F2438">
      <w:pPr>
        <w:spacing w:after="0"/>
        <w:jc w:val="both"/>
        <w:rPr>
          <w:sz w:val="18"/>
        </w:rPr>
      </w:pPr>
    </w:p>
    <w:p w:rsidR="007C201C" w:rsidRDefault="007C201C" w:rsidP="008F2438">
      <w:pPr>
        <w:spacing w:after="0"/>
        <w:jc w:val="both"/>
      </w:pPr>
      <w:r>
        <w:t>La zone qui reconnaît le peptide est extrêmement variable.</w:t>
      </w:r>
    </w:p>
    <w:p w:rsidR="007C201C" w:rsidRDefault="00DF120C" w:rsidP="007C201C">
      <w:pPr>
        <w:tabs>
          <w:tab w:val="left" w:pos="3885"/>
        </w:tabs>
        <w:spacing w:after="0"/>
        <w:jc w:val="both"/>
      </w:pPr>
      <w:r>
        <w:rPr>
          <w:noProof/>
          <w:lang w:eastAsia="fr-FR"/>
        </w:rPr>
        <w:drawing>
          <wp:anchor distT="0" distB="0" distL="114300" distR="114300" simplePos="0" relativeHeight="251661312" behindDoc="0" locked="0" layoutInCell="1" allowOverlap="1" wp14:anchorId="08D38475" wp14:editId="358D40B1">
            <wp:simplePos x="0" y="0"/>
            <wp:positionH relativeFrom="column">
              <wp:posOffset>3515995</wp:posOffset>
            </wp:positionH>
            <wp:positionV relativeFrom="paragraph">
              <wp:posOffset>107950</wp:posOffset>
            </wp:positionV>
            <wp:extent cx="2589530" cy="1428750"/>
            <wp:effectExtent l="19050" t="19050" r="20320" b="19050"/>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4667" r="5859" b="6666"/>
                    <a:stretch/>
                  </pic:blipFill>
                  <pic:spPr bwMode="auto">
                    <a:xfrm>
                      <a:off x="0" y="0"/>
                      <a:ext cx="2589530" cy="142875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201C">
        <w:tab/>
      </w:r>
    </w:p>
    <w:p w:rsidR="007C201C" w:rsidRDefault="007C201C" w:rsidP="008F2438">
      <w:pPr>
        <w:spacing w:after="0"/>
        <w:jc w:val="both"/>
      </w:pPr>
      <w:r>
        <w:t>Interaction LT-CPA : très grande surface de contact</w:t>
      </w:r>
    </w:p>
    <w:p w:rsidR="007C201C" w:rsidRDefault="00D12635" w:rsidP="008F2438">
      <w:pPr>
        <w:spacing w:after="0"/>
        <w:jc w:val="both"/>
      </w:pPr>
      <w:r>
        <w:t>(</w:t>
      </w:r>
      <w:proofErr w:type="gramStart"/>
      <w:r>
        <w:t>en</w:t>
      </w:r>
      <w:proofErr w:type="gramEnd"/>
      <w:r>
        <w:t xml:space="preserve"> </w:t>
      </w:r>
      <w:proofErr w:type="spellStart"/>
      <w:r>
        <w:t>rge</w:t>
      </w:r>
      <w:proofErr w:type="spellEnd"/>
      <w:r>
        <w:t xml:space="preserve"> actine, en violet </w:t>
      </w:r>
      <w:proofErr w:type="spellStart"/>
      <w:r>
        <w:t>ezrin</w:t>
      </w:r>
      <w:proofErr w:type="spellEnd"/>
      <w:r>
        <w:t> : molécules du cytosquelette). LT activé entoure presque toute la CPA : les molécules du cytosquelette sont fortement activées et s’organisent différemment : intérêt +++ car TCR a une affinité peu forte avec le peptide présenté.</w:t>
      </w:r>
    </w:p>
    <w:p w:rsidR="00D12635" w:rsidRDefault="00D12635" w:rsidP="008F2438">
      <w:pPr>
        <w:spacing w:after="0"/>
        <w:jc w:val="both"/>
      </w:pPr>
    </w:p>
    <w:p w:rsidR="00925D65" w:rsidRDefault="00925D65" w:rsidP="008F2438">
      <w:pPr>
        <w:spacing w:after="0"/>
        <w:jc w:val="both"/>
      </w:pPr>
    </w:p>
    <w:p w:rsidR="00D12635" w:rsidRPr="00925D65" w:rsidRDefault="00D12635" w:rsidP="00D12635">
      <w:pPr>
        <w:pStyle w:val="Paragraphedeliste"/>
        <w:numPr>
          <w:ilvl w:val="0"/>
          <w:numId w:val="1"/>
        </w:numPr>
        <w:spacing w:after="0"/>
        <w:jc w:val="both"/>
        <w:rPr>
          <w:b/>
          <w:color w:val="0000FF"/>
        </w:rPr>
      </w:pPr>
      <w:r w:rsidRPr="00925D65">
        <w:rPr>
          <w:b/>
          <w:color w:val="0000FF"/>
        </w:rPr>
        <w:t>Thymus</w:t>
      </w:r>
    </w:p>
    <w:p w:rsidR="00925D65" w:rsidRDefault="00925D65" w:rsidP="00D12635">
      <w:pPr>
        <w:spacing w:after="0"/>
        <w:jc w:val="both"/>
      </w:pPr>
    </w:p>
    <w:p w:rsidR="00925D65" w:rsidRDefault="00925D65" w:rsidP="00D12635">
      <w:pPr>
        <w:spacing w:after="0"/>
        <w:jc w:val="both"/>
      </w:pPr>
      <w:r>
        <w:t>On a 3 étapes dans la vie d’un clone de LT :</w:t>
      </w:r>
    </w:p>
    <w:p w:rsidR="00925D65" w:rsidRDefault="00925D65" w:rsidP="00925D65">
      <w:pPr>
        <w:pStyle w:val="Paragraphedeliste"/>
        <w:numPr>
          <w:ilvl w:val="0"/>
          <w:numId w:val="4"/>
        </w:numPr>
        <w:spacing w:after="0"/>
        <w:jc w:val="both"/>
      </w:pPr>
      <w:r>
        <w:t>Thymocyte</w:t>
      </w:r>
    </w:p>
    <w:p w:rsidR="00925D65" w:rsidRDefault="00925D65" w:rsidP="00925D65">
      <w:pPr>
        <w:pStyle w:val="Paragraphedeliste"/>
        <w:numPr>
          <w:ilvl w:val="0"/>
          <w:numId w:val="4"/>
        </w:numPr>
        <w:spacing w:after="0"/>
        <w:jc w:val="both"/>
      </w:pPr>
      <w:r>
        <w:t>LT mature naïf (n’a pas encore rencontré l’Ag). Marqueurs spé comme CD45 RA</w:t>
      </w:r>
    </w:p>
    <w:p w:rsidR="00925D65" w:rsidRDefault="00925D65" w:rsidP="00925D65">
      <w:pPr>
        <w:pStyle w:val="Paragraphedeliste"/>
        <w:numPr>
          <w:ilvl w:val="0"/>
          <w:numId w:val="4"/>
        </w:numPr>
        <w:spacing w:after="0"/>
        <w:jc w:val="both"/>
      </w:pPr>
      <w:r>
        <w:t>LT mémoires = matures et expérimentés : ont subi des modifications phénotypiques irréversibles. Le pool s’établit en périphérie et s’auto-entretient. Marqueurs spé comme CD45 RO.</w:t>
      </w:r>
    </w:p>
    <w:p w:rsidR="00925D65" w:rsidRDefault="00925D65" w:rsidP="00D12635">
      <w:pPr>
        <w:spacing w:after="0"/>
        <w:jc w:val="both"/>
      </w:pPr>
    </w:p>
    <w:p w:rsidR="00FF64DC" w:rsidRDefault="00D12635" w:rsidP="00D12635">
      <w:pPr>
        <w:spacing w:after="0"/>
        <w:jc w:val="both"/>
      </w:pPr>
      <w:r>
        <w:t>Maturation des précurseurs produits dans la moelle osseuse (rôle +++) : à la sortie du thymus, on a des LT naïves capables de reconnaître l’Ag.</w:t>
      </w:r>
      <w:r w:rsidR="00FF64DC">
        <w:t xml:space="preserve"> Elles arrivent dans le thymus sans leur marqueurs spécifiques et en ressortent avec : CD3 + CD4 ou CD3 + CD8. </w:t>
      </w:r>
    </w:p>
    <w:p w:rsidR="00D12635" w:rsidRDefault="00FF64DC" w:rsidP="00FF64DC">
      <w:pPr>
        <w:pStyle w:val="Paragraphedeliste"/>
        <w:numPr>
          <w:ilvl w:val="0"/>
          <w:numId w:val="3"/>
        </w:numPr>
        <w:spacing w:after="0"/>
        <w:jc w:val="both"/>
      </w:pPr>
      <w:r>
        <w:t>Le complexe CD3 est essentiel dans le processus de différentiation</w:t>
      </w:r>
      <w:r w:rsidR="00FC20FD">
        <w:t xml:space="preserve"> (la perturbation d’une chaîne peut bloquer tout le processus de différentiation)</w:t>
      </w:r>
    </w:p>
    <w:p w:rsidR="00FF64DC" w:rsidRDefault="00FF64DC" w:rsidP="00D12635">
      <w:pPr>
        <w:spacing w:after="0"/>
        <w:jc w:val="both"/>
      </w:pPr>
      <w:r>
        <w:t>Dans le thymus ce sont les thymocytes qui vont être maturés et passer dans le sang sous forme de lymphocytes.</w:t>
      </w:r>
    </w:p>
    <w:p w:rsidR="00D12635" w:rsidRDefault="00D12635" w:rsidP="00D12635">
      <w:pPr>
        <w:spacing w:after="0"/>
        <w:jc w:val="both"/>
      </w:pPr>
      <w:r>
        <w:rPr>
          <w:noProof/>
          <w:lang w:eastAsia="fr-FR"/>
        </w:rPr>
        <w:lastRenderedPageBreak/>
        <w:drawing>
          <wp:anchor distT="0" distB="0" distL="114300" distR="114300" simplePos="0" relativeHeight="251662336" behindDoc="0" locked="0" layoutInCell="1" allowOverlap="1" wp14:anchorId="52BED037" wp14:editId="7D46B886">
            <wp:simplePos x="0" y="0"/>
            <wp:positionH relativeFrom="column">
              <wp:posOffset>386080</wp:posOffset>
            </wp:positionH>
            <wp:positionV relativeFrom="paragraph">
              <wp:posOffset>-405765</wp:posOffset>
            </wp:positionV>
            <wp:extent cx="4905375" cy="2971800"/>
            <wp:effectExtent l="19050" t="19050" r="28575" b="19050"/>
            <wp:wrapTopAndBottom/>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05375" cy="29718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t xml:space="preserve">Dans le cortex : cellules épithéliales très importantes pour la sélection </w:t>
      </w:r>
      <w:proofErr w:type="spellStart"/>
      <w:r>
        <w:t>thymocytaire</w:t>
      </w:r>
      <w:proofErr w:type="spellEnd"/>
      <w:r w:rsidR="00FF64DC">
        <w:t xml:space="preserve"> et thymocytes</w:t>
      </w:r>
    </w:p>
    <w:p w:rsidR="00D12635" w:rsidRDefault="00D12635" w:rsidP="00D12635">
      <w:pPr>
        <w:spacing w:after="0"/>
        <w:jc w:val="both"/>
      </w:pPr>
      <w:r>
        <w:t xml:space="preserve">Dans la </w:t>
      </w:r>
      <w:proofErr w:type="spellStart"/>
      <w:r>
        <w:t>medulla</w:t>
      </w:r>
      <w:proofErr w:type="spellEnd"/>
      <w:r>
        <w:t xml:space="preserve"> : </w:t>
      </w:r>
      <w:r w:rsidR="00FF64DC">
        <w:t xml:space="preserve">cellules dendritiques, macrophages et corpuscules de </w:t>
      </w:r>
      <w:proofErr w:type="spellStart"/>
      <w:r w:rsidR="00FF64DC">
        <w:t>Hassal</w:t>
      </w:r>
      <w:proofErr w:type="spellEnd"/>
    </w:p>
    <w:p w:rsidR="00FF64DC" w:rsidRDefault="00FF64DC" w:rsidP="00D12635">
      <w:pPr>
        <w:spacing w:after="0"/>
        <w:jc w:val="both"/>
      </w:pPr>
    </w:p>
    <w:p w:rsidR="00FC20FD" w:rsidRPr="00FC20FD" w:rsidRDefault="008D04B1" w:rsidP="00D12635">
      <w:pPr>
        <w:spacing w:after="0"/>
        <w:jc w:val="both"/>
        <w:rPr>
          <w:rFonts w:cstheme="minorHAnsi"/>
        </w:rPr>
      </w:pPr>
      <w:r w:rsidRPr="00253368">
        <w:rPr>
          <w:rFonts w:eastAsia="Times New Roman" w:cstheme="minorHAnsi"/>
          <w:b/>
          <w:bCs/>
          <w:noProof/>
          <w:lang w:eastAsia="fr-FR"/>
        </w:rPr>
        <w:drawing>
          <wp:anchor distT="0" distB="0" distL="114300" distR="114300" simplePos="0" relativeHeight="251663360" behindDoc="0" locked="0" layoutInCell="1" allowOverlap="1" wp14:anchorId="1108FC6F" wp14:editId="20C8E207">
            <wp:simplePos x="0" y="0"/>
            <wp:positionH relativeFrom="column">
              <wp:posOffset>-299720</wp:posOffset>
            </wp:positionH>
            <wp:positionV relativeFrom="paragraph">
              <wp:posOffset>226695</wp:posOffset>
            </wp:positionV>
            <wp:extent cx="2085975" cy="4524375"/>
            <wp:effectExtent l="0" t="0" r="9525" b="9525"/>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85975" cy="452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FC20FD" w:rsidRPr="00253368">
        <w:rPr>
          <w:rFonts w:cstheme="minorHAnsi"/>
          <w:b/>
        </w:rPr>
        <w:t>Sélection</w:t>
      </w:r>
      <w:r w:rsidR="00FC20FD" w:rsidRPr="00FC20FD">
        <w:rPr>
          <w:rFonts w:cstheme="minorHAnsi"/>
        </w:rPr>
        <w:t xml:space="preserve"> </w:t>
      </w:r>
      <w:r w:rsidR="00FC20FD" w:rsidRPr="00253368">
        <w:rPr>
          <w:rFonts w:cstheme="minorHAnsi"/>
          <w:b/>
        </w:rPr>
        <w:t>thymique</w:t>
      </w:r>
      <w:r w:rsidR="00495F55">
        <w:rPr>
          <w:rFonts w:cstheme="minorHAnsi"/>
        </w:rPr>
        <w:t> : éliminent 98% des thymocytes (meurent par apoptose dans le thymus).</w:t>
      </w:r>
    </w:p>
    <w:p w:rsidR="00253368" w:rsidRDefault="00253368" w:rsidP="00253368">
      <w:pPr>
        <w:spacing w:after="0" w:line="240" w:lineRule="auto"/>
        <w:jc w:val="both"/>
        <w:outlineLvl w:val="2"/>
        <w:rPr>
          <w:rFonts w:eastAsia="Times New Roman" w:cstheme="minorHAnsi"/>
          <w:bCs/>
          <w:lang w:eastAsia="fr-FR"/>
        </w:rPr>
      </w:pPr>
      <w:r>
        <w:rPr>
          <w:rFonts w:eastAsia="Times New Roman" w:cstheme="minorHAnsi"/>
          <w:bCs/>
          <w:lang w:eastAsia="fr-FR"/>
        </w:rPr>
        <w:t>Les précurseurs venant de la moelle entrent dans le thymus ne possèdent pas les marqueurs spécifiques des LT (CD3</w:t>
      </w:r>
      <w:proofErr w:type="gramStart"/>
      <w:r>
        <w:rPr>
          <w:rFonts w:eastAsia="Times New Roman" w:cstheme="minorHAnsi"/>
          <w:bCs/>
          <w:lang w:eastAsia="fr-FR"/>
        </w:rPr>
        <w:t>,4,8</w:t>
      </w:r>
      <w:proofErr w:type="gramEnd"/>
      <w:r>
        <w:rPr>
          <w:rFonts w:eastAsia="Times New Roman" w:cstheme="minorHAnsi"/>
          <w:bCs/>
          <w:lang w:eastAsia="fr-FR"/>
        </w:rPr>
        <w:t xml:space="preserve">) </w:t>
      </w:r>
    </w:p>
    <w:p w:rsidR="00253368" w:rsidRPr="00253368" w:rsidRDefault="00253368" w:rsidP="00253368">
      <w:pPr>
        <w:pStyle w:val="Paragraphedeliste"/>
        <w:numPr>
          <w:ilvl w:val="0"/>
          <w:numId w:val="3"/>
        </w:numPr>
        <w:spacing w:after="0" w:line="240" w:lineRule="auto"/>
        <w:jc w:val="both"/>
        <w:outlineLvl w:val="2"/>
        <w:rPr>
          <w:rFonts w:eastAsia="Times New Roman" w:cstheme="minorHAnsi"/>
          <w:b/>
          <w:bCs/>
          <w:lang w:eastAsia="fr-FR"/>
        </w:rPr>
      </w:pPr>
      <w:r w:rsidRPr="00253368">
        <w:rPr>
          <w:rFonts w:eastAsia="Times New Roman" w:cstheme="minorHAnsi"/>
          <w:b/>
          <w:bCs/>
          <w:lang w:eastAsia="fr-FR"/>
        </w:rPr>
        <w:t>Thymocytes double négatifs</w:t>
      </w:r>
    </w:p>
    <w:p w:rsidR="00253368" w:rsidRDefault="00253368" w:rsidP="00253368">
      <w:pPr>
        <w:spacing w:after="0" w:line="240" w:lineRule="auto"/>
        <w:jc w:val="both"/>
        <w:outlineLvl w:val="2"/>
        <w:rPr>
          <w:rFonts w:eastAsia="Times New Roman" w:cstheme="minorHAnsi"/>
          <w:bCs/>
          <w:lang w:eastAsia="fr-FR"/>
        </w:rPr>
      </w:pPr>
      <w:r>
        <w:rPr>
          <w:rFonts w:eastAsia="Times New Roman" w:cstheme="minorHAnsi"/>
          <w:bCs/>
          <w:lang w:eastAsia="fr-FR"/>
        </w:rPr>
        <w:t xml:space="preserve">Ils vont subir un </w:t>
      </w:r>
      <w:r w:rsidRPr="00253368">
        <w:rPr>
          <w:rFonts w:eastAsia="Times New Roman" w:cstheme="minorHAnsi"/>
          <w:b/>
          <w:bCs/>
          <w:lang w:eastAsia="fr-FR"/>
        </w:rPr>
        <w:t>réarrangement des gènes du TCR</w:t>
      </w:r>
      <w:r>
        <w:rPr>
          <w:rFonts w:eastAsia="Times New Roman" w:cstheme="minorHAnsi"/>
          <w:bCs/>
          <w:lang w:eastAsia="fr-FR"/>
        </w:rPr>
        <w:t xml:space="preserve"> (ce qui donne la puissance du nb de </w:t>
      </w:r>
      <w:proofErr w:type="spellStart"/>
      <w:r>
        <w:rPr>
          <w:rFonts w:eastAsia="Times New Roman" w:cstheme="minorHAnsi"/>
          <w:bCs/>
          <w:lang w:eastAsia="fr-FR"/>
        </w:rPr>
        <w:t>rcpt</w:t>
      </w:r>
      <w:proofErr w:type="spellEnd"/>
      <w:r>
        <w:rPr>
          <w:rFonts w:eastAsia="Times New Roman" w:cstheme="minorHAnsi"/>
          <w:bCs/>
          <w:lang w:eastAsia="fr-FR"/>
        </w:rPr>
        <w:t xml:space="preserve"> pouvant être produits par un individu).</w:t>
      </w:r>
    </w:p>
    <w:p w:rsidR="00C07F9B" w:rsidRPr="00C07F9B" w:rsidRDefault="00C07F9B" w:rsidP="00C07F9B">
      <w:pPr>
        <w:pStyle w:val="Paragraphedeliste"/>
        <w:numPr>
          <w:ilvl w:val="0"/>
          <w:numId w:val="3"/>
        </w:numPr>
        <w:spacing w:after="0" w:line="240" w:lineRule="auto"/>
        <w:jc w:val="both"/>
        <w:outlineLvl w:val="2"/>
        <w:rPr>
          <w:rFonts w:eastAsia="Times New Roman" w:cstheme="minorHAnsi"/>
          <w:bCs/>
          <w:lang w:eastAsia="fr-FR"/>
        </w:rPr>
      </w:pPr>
      <w:r>
        <w:rPr>
          <w:rFonts w:eastAsia="Times New Roman" w:cstheme="minorHAnsi"/>
          <w:b/>
          <w:bCs/>
          <w:lang w:eastAsia="fr-FR"/>
        </w:rPr>
        <w:t>Thymocytes double positifs</w:t>
      </w:r>
    </w:p>
    <w:p w:rsidR="00253368" w:rsidRPr="00726111" w:rsidRDefault="00253368" w:rsidP="00726111">
      <w:pPr>
        <w:spacing w:after="0" w:line="240" w:lineRule="auto"/>
        <w:jc w:val="both"/>
        <w:rPr>
          <w:rFonts w:eastAsia="Times New Roman" w:cstheme="minorHAnsi"/>
          <w:lang w:eastAsia="fr-FR"/>
        </w:rPr>
      </w:pPr>
      <w:r>
        <w:rPr>
          <w:rFonts w:eastAsia="Times New Roman" w:cstheme="minorHAnsi"/>
          <w:bCs/>
          <w:lang w:eastAsia="fr-FR"/>
        </w:rPr>
        <w:t xml:space="preserve">Ils passent d’abord par le </w:t>
      </w:r>
      <w:r w:rsidRPr="00726111">
        <w:rPr>
          <w:rFonts w:eastAsia="Times New Roman" w:cstheme="minorHAnsi"/>
          <w:bCs/>
          <w:u w:val="single"/>
          <w:lang w:eastAsia="fr-FR"/>
        </w:rPr>
        <w:t>cortex</w:t>
      </w:r>
      <w:r>
        <w:rPr>
          <w:rFonts w:eastAsia="Times New Roman" w:cstheme="minorHAnsi"/>
          <w:bCs/>
          <w:lang w:eastAsia="fr-FR"/>
        </w:rPr>
        <w:t xml:space="preserve"> où ils interagissent avec les cellules épithéliales =&gt; éducation dans le contexte du CMH : </w:t>
      </w:r>
      <w:r>
        <w:rPr>
          <w:rFonts w:eastAsia="Times New Roman" w:cstheme="minorHAnsi"/>
          <w:b/>
          <w:bCs/>
          <w:lang w:eastAsia="fr-FR"/>
        </w:rPr>
        <w:t>sélection positive</w:t>
      </w:r>
      <w:r>
        <w:rPr>
          <w:rFonts w:eastAsia="Times New Roman" w:cstheme="minorHAnsi"/>
          <w:bCs/>
          <w:sz w:val="18"/>
          <w:lang w:eastAsia="fr-FR"/>
        </w:rPr>
        <w:t xml:space="preserve"> (rappel wiki)</w:t>
      </w:r>
      <w:r>
        <w:rPr>
          <w:rFonts w:eastAsia="Times New Roman" w:cstheme="minorHAnsi"/>
          <w:bCs/>
          <w:lang w:eastAsia="fr-FR"/>
        </w:rPr>
        <w:t xml:space="preserve"> = les cellules épithéliales leur présentent via CMH des peptides antigéniques</w:t>
      </w:r>
      <w:r w:rsidR="00C07F9B">
        <w:rPr>
          <w:rFonts w:eastAsia="Times New Roman" w:cstheme="minorHAnsi"/>
          <w:bCs/>
          <w:lang w:eastAsia="fr-FR"/>
        </w:rPr>
        <w:t>. Les thymocytes capables de se lier (&lt;5%) reçoivent un signal de survie, les autres un signal d’apoptose (&gt;95%, éliminés ensuite par les macrophages).</w:t>
      </w:r>
      <w:r w:rsidR="00726111" w:rsidRPr="00726111">
        <w:rPr>
          <w:rFonts w:eastAsia="Times New Roman" w:cstheme="minorHAnsi"/>
          <w:lang w:eastAsia="fr-FR"/>
        </w:rPr>
        <w:t xml:space="preserve"> </w:t>
      </w:r>
      <w:r w:rsidR="00726111" w:rsidRPr="00FC20FD">
        <w:rPr>
          <w:rFonts w:eastAsia="Times New Roman" w:cstheme="minorHAnsi"/>
          <w:lang w:eastAsia="fr-FR"/>
        </w:rPr>
        <w:t xml:space="preserve">Selon la nature du CMH que leur TCR a pu lier, les thymocytes doubles positifs </w:t>
      </w:r>
      <w:r w:rsidR="00726111">
        <w:rPr>
          <w:rFonts w:eastAsia="Times New Roman" w:cstheme="minorHAnsi"/>
          <w:lang w:eastAsia="fr-FR"/>
        </w:rPr>
        <w:t>perdent l'un des deux marqueurs</w:t>
      </w:r>
      <w:r w:rsidR="00726111" w:rsidRPr="00FC20FD">
        <w:rPr>
          <w:rFonts w:eastAsia="Times New Roman" w:cstheme="minorHAnsi"/>
          <w:lang w:eastAsia="fr-FR"/>
        </w:rPr>
        <w:t xml:space="preserve"> </w:t>
      </w:r>
      <w:r w:rsidR="00726111">
        <w:rPr>
          <w:rFonts w:eastAsia="Times New Roman" w:cstheme="minorHAnsi"/>
          <w:lang w:eastAsia="fr-FR"/>
        </w:rPr>
        <w:t xml:space="preserve">(si </w:t>
      </w:r>
      <w:r w:rsidR="00726111" w:rsidRPr="00FC20FD">
        <w:rPr>
          <w:rFonts w:eastAsia="Times New Roman" w:cstheme="minorHAnsi"/>
          <w:lang w:eastAsia="fr-FR"/>
        </w:rPr>
        <w:t>TCR pe</w:t>
      </w:r>
      <w:r w:rsidR="00726111">
        <w:rPr>
          <w:rFonts w:eastAsia="Times New Roman" w:cstheme="minorHAnsi"/>
          <w:lang w:eastAsia="fr-FR"/>
        </w:rPr>
        <w:t xml:space="preserve">ut lier CMH </w:t>
      </w:r>
      <w:r w:rsidR="00726111" w:rsidRPr="00FC20FD">
        <w:rPr>
          <w:rFonts w:eastAsia="Times New Roman" w:cstheme="minorHAnsi"/>
          <w:lang w:eastAsia="fr-FR"/>
        </w:rPr>
        <w:t xml:space="preserve">I gardent CD8 et perdent </w:t>
      </w:r>
      <w:r w:rsidR="00726111">
        <w:rPr>
          <w:rFonts w:eastAsia="Times New Roman" w:cstheme="minorHAnsi"/>
          <w:lang w:eastAsia="fr-FR"/>
        </w:rPr>
        <w:t>CD)</w:t>
      </w:r>
    </w:p>
    <w:p w:rsidR="00253368" w:rsidRPr="00726111" w:rsidRDefault="00253368" w:rsidP="00253368">
      <w:pPr>
        <w:spacing w:after="0" w:line="240" w:lineRule="auto"/>
        <w:jc w:val="both"/>
        <w:outlineLvl w:val="2"/>
        <w:rPr>
          <w:rFonts w:eastAsia="Times New Roman" w:cstheme="minorHAnsi"/>
          <w:bCs/>
          <w:lang w:eastAsia="fr-FR"/>
        </w:rPr>
      </w:pPr>
      <w:r>
        <w:rPr>
          <w:rFonts w:eastAsia="Times New Roman" w:cstheme="minorHAnsi"/>
          <w:bCs/>
          <w:lang w:eastAsia="fr-FR"/>
        </w:rPr>
        <w:t xml:space="preserve">Puis ils migrent dans la </w:t>
      </w:r>
      <w:r w:rsidRPr="00726111">
        <w:rPr>
          <w:rFonts w:eastAsia="Times New Roman" w:cstheme="minorHAnsi"/>
          <w:bCs/>
          <w:u w:val="single"/>
          <w:lang w:eastAsia="fr-FR"/>
        </w:rPr>
        <w:t>médullaire</w:t>
      </w:r>
      <w:r w:rsidR="00726111">
        <w:rPr>
          <w:rFonts w:eastAsia="Times New Roman" w:cstheme="minorHAnsi"/>
          <w:bCs/>
          <w:lang w:eastAsia="fr-FR"/>
        </w:rPr>
        <w:t xml:space="preserve"> où les cellules dendritiques présentent aux cellules un complexe CMH-peptide du soi. Si elles le reconnaissent =&gt; </w:t>
      </w:r>
      <w:proofErr w:type="spellStart"/>
      <w:r w:rsidR="00726111">
        <w:rPr>
          <w:rFonts w:eastAsia="Times New Roman" w:cstheme="minorHAnsi"/>
          <w:bCs/>
          <w:lang w:eastAsia="fr-FR"/>
        </w:rPr>
        <w:t>hyperactivation</w:t>
      </w:r>
      <w:proofErr w:type="spellEnd"/>
      <w:r w:rsidR="00726111">
        <w:rPr>
          <w:rFonts w:eastAsia="Times New Roman" w:cstheme="minorHAnsi"/>
          <w:bCs/>
          <w:lang w:eastAsia="fr-FR"/>
        </w:rPr>
        <w:t xml:space="preserve"> qui entraîne l’apoptose. C’est la </w:t>
      </w:r>
      <w:r w:rsidR="00726111">
        <w:rPr>
          <w:rFonts w:eastAsia="Times New Roman" w:cstheme="minorHAnsi"/>
          <w:b/>
          <w:bCs/>
          <w:lang w:eastAsia="fr-FR"/>
        </w:rPr>
        <w:t>sélection négative</w:t>
      </w:r>
      <w:r w:rsidR="00726111">
        <w:rPr>
          <w:rFonts w:eastAsia="Times New Roman" w:cstheme="minorHAnsi"/>
          <w:bCs/>
          <w:lang w:eastAsia="fr-FR"/>
        </w:rPr>
        <w:t xml:space="preserve"> permet l’élimination précoce des cellules auto-réactives cause de maladies auto-immunes.</w:t>
      </w:r>
    </w:p>
    <w:p w:rsidR="00253368" w:rsidRDefault="00726111" w:rsidP="00253368">
      <w:pPr>
        <w:spacing w:after="0" w:line="240" w:lineRule="auto"/>
        <w:jc w:val="both"/>
        <w:outlineLvl w:val="2"/>
        <w:rPr>
          <w:rFonts w:eastAsia="Times New Roman" w:cstheme="minorHAnsi"/>
          <w:bCs/>
          <w:lang w:eastAsia="fr-FR"/>
        </w:rPr>
      </w:pPr>
      <w:r>
        <w:rPr>
          <w:rFonts w:eastAsia="Times New Roman" w:cstheme="minorHAnsi"/>
          <w:bCs/>
          <w:lang w:eastAsia="fr-FR"/>
        </w:rPr>
        <w:t>L’origine de certains déficits immunitaires profonds peut être un défaut sur une molécule CD3.</w:t>
      </w:r>
    </w:p>
    <w:p w:rsidR="00FC20FD" w:rsidRDefault="00FC20FD" w:rsidP="00D12635">
      <w:pPr>
        <w:spacing w:after="0"/>
        <w:jc w:val="both"/>
      </w:pPr>
    </w:p>
    <w:p w:rsidR="00925D65" w:rsidRDefault="00925D65" w:rsidP="0019685F">
      <w:pPr>
        <w:spacing w:after="0"/>
        <w:jc w:val="both"/>
      </w:pPr>
      <w:proofErr w:type="spellStart"/>
      <w:r>
        <w:rPr>
          <w:b/>
        </w:rPr>
        <w:t>Thymectomie</w:t>
      </w:r>
      <w:proofErr w:type="spellEnd"/>
      <w:r w:rsidR="0019685F">
        <w:rPr>
          <w:b/>
        </w:rPr>
        <w:t xml:space="preserve"> : </w:t>
      </w:r>
      <w:r w:rsidR="0019685F">
        <w:t>c</w:t>
      </w:r>
      <w:r>
        <w:t>hez l’adulte ou le grand enfant : on a un pool de LT matures établit en périphérie</w:t>
      </w:r>
      <w:r w:rsidR="0019685F">
        <w:t xml:space="preserve"> </w:t>
      </w:r>
      <w:r>
        <w:t xml:space="preserve">(sang et organes </w:t>
      </w:r>
      <w:proofErr w:type="spellStart"/>
      <w:r>
        <w:t>lympho</w:t>
      </w:r>
      <w:proofErr w:type="spellEnd"/>
      <w:r>
        <w:t xml:space="preserve"> II) =&gt; </w:t>
      </w:r>
      <w:r w:rsidR="00916BE8">
        <w:t>pas de lymphopénie T</w:t>
      </w:r>
      <w:r>
        <w:t xml:space="preserve"> </w:t>
      </w:r>
      <w:r w:rsidR="0019685F">
        <w:t>= pas d’immunodéficience grave</w:t>
      </w:r>
      <w:r w:rsidR="00916BE8">
        <w:t xml:space="preserve"> car les </w:t>
      </w:r>
      <w:proofErr w:type="spellStart"/>
      <w:r w:rsidR="00916BE8">
        <w:t>LTmémoires</w:t>
      </w:r>
      <w:proofErr w:type="spellEnd"/>
      <w:r w:rsidR="00916BE8">
        <w:t xml:space="preserve"> de divisent continuellement et maintiennent un nb cellulaire </w:t>
      </w:r>
      <w:proofErr w:type="spellStart"/>
      <w:r w:rsidR="00916BE8">
        <w:t>cst</w:t>
      </w:r>
      <w:proofErr w:type="spellEnd"/>
      <w:proofErr w:type="gramStart"/>
      <w:r w:rsidR="00916BE8">
        <w:t>.</w:t>
      </w:r>
      <w:r w:rsidR="0019685F">
        <w:t>.</w:t>
      </w:r>
      <w:proofErr w:type="gramEnd"/>
      <w:r w:rsidR="0019685F">
        <w:t xml:space="preserve"> Quand le thymus </w:t>
      </w:r>
      <w:proofErr w:type="spellStart"/>
      <w:r w:rsidR="0019685F">
        <w:t>involue</w:t>
      </w:r>
      <w:proofErr w:type="spellEnd"/>
      <w:r w:rsidR="0019685F">
        <w:t xml:space="preserve"> on a d’autres sites (régions dans l’intestin ?, reliquat du thymus ?) qui prennent le relais pour éduquer les LT. /!\ Si l’individu subit par la suite une déplétion lymphocytaire sévère il va y avoir un déficit immunitaire car la perte ne pourra plus être compensée par un apport de nouvelles cellules. ?????!!!!!??????</w:t>
      </w:r>
    </w:p>
    <w:p w:rsidR="00925D65" w:rsidRDefault="0019685F" w:rsidP="00D12635">
      <w:pPr>
        <w:spacing w:after="0"/>
        <w:jc w:val="both"/>
      </w:pPr>
      <w:r>
        <w:rPr>
          <w:b/>
        </w:rPr>
        <w:lastRenderedPageBreak/>
        <w:t>Lymphopoïèse thymique :</w:t>
      </w:r>
      <w:r>
        <w:t xml:space="preserve"> non essentielle au maintien d’un nb normal de LT, elle joue un rôle dans le renouvellement du répertoire et le maintien de la diversité. Elle diminue fortement avec l’âge mais ne se tarit jamais.</w:t>
      </w:r>
    </w:p>
    <w:p w:rsidR="0019685F" w:rsidRDefault="0019685F" w:rsidP="00D12635">
      <w:pPr>
        <w:spacing w:after="0"/>
        <w:jc w:val="both"/>
      </w:pPr>
    </w:p>
    <w:p w:rsidR="001056F9" w:rsidRDefault="001056F9" w:rsidP="00D12635">
      <w:pPr>
        <w:spacing w:after="0"/>
        <w:jc w:val="both"/>
      </w:pPr>
      <w:r>
        <w:t xml:space="preserve">/!\ Le thymus laisse passer certains LT qui ont une affinité pour le soi. Il existe donc une tolérance périphérique. Il peut y avoir aussi une réactivité croisée </w:t>
      </w:r>
      <w:r w:rsidRPr="001056F9">
        <w:rPr>
          <w:sz w:val="18"/>
        </w:rPr>
        <w:t>(schéma)</w:t>
      </w:r>
      <w:r>
        <w:t>, un mimétisme moléculaire = peptide du soi qui ressemble à un étranger, qui conduisent à la destruction de cellules normales.</w:t>
      </w:r>
    </w:p>
    <w:p w:rsidR="001056F9" w:rsidRDefault="00A10E6E" w:rsidP="00D12635">
      <w:pPr>
        <w:spacing w:after="0"/>
        <w:jc w:val="both"/>
      </w:pPr>
      <w:r>
        <w:rPr>
          <w:noProof/>
          <w:lang w:eastAsia="fr-FR"/>
        </w:rPr>
        <w:drawing>
          <wp:inline distT="0" distB="0" distL="0" distR="0">
            <wp:extent cx="3810000" cy="914400"/>
            <wp:effectExtent l="19050" t="19050" r="19050" b="1905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0000" cy="914400"/>
                    </a:xfrm>
                    <a:prstGeom prst="rect">
                      <a:avLst/>
                    </a:prstGeom>
                    <a:noFill/>
                    <a:ln>
                      <a:solidFill>
                        <a:schemeClr val="tx1"/>
                      </a:solidFill>
                    </a:ln>
                  </pic:spPr>
                </pic:pic>
              </a:graphicData>
            </a:graphic>
          </wp:inline>
        </w:drawing>
      </w:r>
      <w:r w:rsidR="001056F9">
        <w:rPr>
          <w:noProof/>
          <w:lang w:eastAsia="fr-FR"/>
        </w:rPr>
        <w:drawing>
          <wp:anchor distT="0" distB="0" distL="114300" distR="114300" simplePos="0" relativeHeight="251666432" behindDoc="0" locked="0" layoutInCell="1" allowOverlap="1" wp14:anchorId="6AFDF320" wp14:editId="2B650830">
            <wp:simplePos x="0" y="0"/>
            <wp:positionH relativeFrom="column">
              <wp:posOffset>-4445</wp:posOffset>
            </wp:positionH>
            <wp:positionV relativeFrom="paragraph">
              <wp:posOffset>1905</wp:posOffset>
            </wp:positionV>
            <wp:extent cx="1924050" cy="3467100"/>
            <wp:effectExtent l="19050" t="19050" r="19050" b="19050"/>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24050" cy="34671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A10E6E" w:rsidRDefault="00A10E6E" w:rsidP="00A10E6E">
      <w:pPr>
        <w:spacing w:after="0"/>
        <w:jc w:val="both"/>
      </w:pPr>
    </w:p>
    <w:p w:rsidR="00A10E6E" w:rsidRDefault="00A10E6E" w:rsidP="00A10E6E">
      <w:pPr>
        <w:spacing w:after="0"/>
        <w:jc w:val="both"/>
      </w:pPr>
      <w:r>
        <w:t>On peut avoir infections et rupture de tolérance.  Ces mécanismes peuvent conduire à l’apparition de maladies auto-immunes.</w:t>
      </w:r>
    </w:p>
    <w:p w:rsidR="00A10E6E" w:rsidRDefault="00A10E6E" w:rsidP="00A10E6E">
      <w:pPr>
        <w:spacing w:after="0"/>
        <w:jc w:val="both"/>
      </w:pPr>
    </w:p>
    <w:p w:rsidR="00DF120C" w:rsidRDefault="00DF120C" w:rsidP="00A10E6E">
      <w:pPr>
        <w:spacing w:after="0"/>
        <w:jc w:val="both"/>
      </w:pPr>
    </w:p>
    <w:p w:rsidR="00A10E6E" w:rsidRPr="00A10E6E" w:rsidRDefault="00A10E6E" w:rsidP="00A10E6E">
      <w:pPr>
        <w:spacing w:after="0"/>
        <w:jc w:val="both"/>
      </w:pPr>
    </w:p>
    <w:p w:rsidR="009002BA" w:rsidRPr="00925D65" w:rsidRDefault="00A26E85" w:rsidP="00D12635">
      <w:pPr>
        <w:pStyle w:val="Paragraphedeliste"/>
        <w:numPr>
          <w:ilvl w:val="0"/>
          <w:numId w:val="1"/>
        </w:numPr>
        <w:spacing w:after="0"/>
        <w:jc w:val="both"/>
        <w:rPr>
          <w:b/>
          <w:color w:val="0000FF"/>
        </w:rPr>
      </w:pPr>
      <w:r w:rsidRPr="00925D65">
        <w:rPr>
          <w:b/>
          <w:color w:val="0000FF"/>
        </w:rPr>
        <w:t>Voie d’activation de la cellule T</w:t>
      </w:r>
      <w:r w:rsidR="00853B29" w:rsidRPr="00925D65">
        <w:rPr>
          <w:b/>
          <w:color w:val="0000FF"/>
        </w:rPr>
        <w:t xml:space="preserve"> </w:t>
      </w:r>
    </w:p>
    <w:p w:rsidR="00587822" w:rsidRDefault="00587822" w:rsidP="009002BA">
      <w:pPr>
        <w:spacing w:after="0"/>
        <w:jc w:val="both"/>
      </w:pPr>
    </w:p>
    <w:p w:rsidR="009002BA" w:rsidRDefault="009002BA" w:rsidP="009002BA">
      <w:pPr>
        <w:spacing w:after="0"/>
        <w:jc w:val="both"/>
      </w:pPr>
      <w:r>
        <w:t>I</w:t>
      </w:r>
      <w:r w:rsidR="00853B29">
        <w:t>ntérêt +++ en thérapeutique : rejet de greffe il faut laisser des LT contre l’immunodépression mais il ne faut pas qu’ils attaquent la greffe : on arrête la différentiation à un certain stade.</w:t>
      </w:r>
      <w:r w:rsidR="0093326A">
        <w:t xml:space="preserve"> </w:t>
      </w:r>
    </w:p>
    <w:p w:rsidR="00D12635" w:rsidRDefault="0093326A" w:rsidP="009002BA">
      <w:pPr>
        <w:spacing w:after="0"/>
        <w:jc w:val="both"/>
      </w:pPr>
      <w:r>
        <w:t xml:space="preserve">Le TCR tout seul ne peut transmettre le signal car il ne possède qu’une petite partie intra-cytoplasmique =&gt; pour transmettre le signal il a besoin de la protéine ZAP70 qui active la chaîne </w:t>
      </w:r>
      <w:proofErr w:type="spellStart"/>
      <w:r>
        <w:t>zeta</w:t>
      </w:r>
      <w:proofErr w:type="spellEnd"/>
      <w:r>
        <w:t xml:space="preserve"> du CD3 =&gt; trans</w:t>
      </w:r>
      <w:r w:rsidR="009002BA">
        <w:t>duct</w:t>
      </w:r>
      <w:r>
        <w:t>i</w:t>
      </w:r>
      <w:r w:rsidR="004F7A7D">
        <w:t>on du signal indirecte.</w:t>
      </w:r>
    </w:p>
    <w:p w:rsidR="00587822" w:rsidRDefault="00587822" w:rsidP="009002BA">
      <w:pPr>
        <w:spacing w:after="0"/>
        <w:jc w:val="both"/>
      </w:pPr>
    </w:p>
    <w:p w:rsidR="00411468" w:rsidRDefault="00411468" w:rsidP="009002BA">
      <w:pPr>
        <w:spacing w:after="0"/>
        <w:jc w:val="both"/>
      </w:pPr>
      <w:r>
        <w:t xml:space="preserve">Rôle ++ des </w:t>
      </w:r>
      <w:proofErr w:type="spellStart"/>
      <w:r>
        <w:t>co-récepteurs</w:t>
      </w:r>
      <w:proofErr w:type="spellEnd"/>
      <w:r>
        <w:t xml:space="preserve"> : </w:t>
      </w:r>
    </w:p>
    <w:p w:rsidR="00411468" w:rsidRDefault="00411468" w:rsidP="00411468">
      <w:pPr>
        <w:pStyle w:val="Paragraphedeliste"/>
        <w:numPr>
          <w:ilvl w:val="0"/>
          <w:numId w:val="2"/>
        </w:numPr>
        <w:spacing w:after="0"/>
        <w:jc w:val="both"/>
      </w:pPr>
      <w:r>
        <w:t>CD2 : caractéristique des LT, interagit avec LFA3. AC</w:t>
      </w:r>
      <w:r>
        <w:rPr>
          <w:vertAlign w:val="subscript"/>
        </w:rPr>
        <w:t>MC</w:t>
      </w:r>
      <w:r>
        <w:t xml:space="preserve"> anti-CD2 =&gt; activation forte des LT</w:t>
      </w:r>
    </w:p>
    <w:p w:rsidR="00411468" w:rsidRDefault="00411468" w:rsidP="00411468">
      <w:pPr>
        <w:pStyle w:val="Paragraphedeliste"/>
        <w:numPr>
          <w:ilvl w:val="0"/>
          <w:numId w:val="2"/>
        </w:numPr>
        <w:spacing w:after="0"/>
        <w:jc w:val="both"/>
      </w:pPr>
      <w:r>
        <w:t>LFA1-ICAM1 (molécules d’adhérences) : nécessaire (si déficit =&gt; pas de RI)</w:t>
      </w:r>
    </w:p>
    <w:p w:rsidR="00411468" w:rsidRDefault="00411468" w:rsidP="00411468">
      <w:pPr>
        <w:pStyle w:val="Paragraphedeliste"/>
        <w:numPr>
          <w:ilvl w:val="0"/>
          <w:numId w:val="2"/>
        </w:numPr>
        <w:spacing w:after="0"/>
        <w:jc w:val="both"/>
      </w:pPr>
      <w:r>
        <w:t>CD45R et CD22</w:t>
      </w:r>
    </w:p>
    <w:p w:rsidR="00411468" w:rsidRDefault="00411468" w:rsidP="00411468">
      <w:pPr>
        <w:pStyle w:val="Paragraphedeliste"/>
        <w:numPr>
          <w:ilvl w:val="0"/>
          <w:numId w:val="2"/>
        </w:numPr>
        <w:spacing w:after="0"/>
        <w:jc w:val="both"/>
      </w:pPr>
      <w:r>
        <w:t xml:space="preserve">CD28-B7 : </w:t>
      </w:r>
      <w:proofErr w:type="spellStart"/>
      <w:r>
        <w:t>co</w:t>
      </w:r>
      <w:proofErr w:type="spellEnd"/>
      <w:r>
        <w:t>-activatrices +++</w:t>
      </w:r>
    </w:p>
    <w:p w:rsidR="00411468" w:rsidRDefault="00411468" w:rsidP="00411468">
      <w:pPr>
        <w:spacing w:after="0"/>
        <w:jc w:val="both"/>
      </w:pPr>
      <w:r>
        <w:rPr>
          <w:noProof/>
          <w:lang w:eastAsia="fr-FR"/>
        </w:rPr>
        <w:lastRenderedPageBreak/>
        <w:drawing>
          <wp:inline distT="0" distB="0" distL="0" distR="0">
            <wp:extent cx="5143500" cy="2779609"/>
            <wp:effectExtent l="19050" t="19050" r="19050" b="2095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lum bright="-20000" contrast="40000"/>
                      <a:extLst>
                        <a:ext uri="{28A0092B-C50C-407E-A947-70E740481C1C}">
                          <a14:useLocalDpi xmlns:a14="http://schemas.microsoft.com/office/drawing/2010/main" val="0"/>
                        </a:ext>
                      </a:extLst>
                    </a:blip>
                    <a:srcRect/>
                    <a:stretch>
                      <a:fillRect/>
                    </a:stretch>
                  </pic:blipFill>
                  <pic:spPr bwMode="auto">
                    <a:xfrm>
                      <a:off x="0" y="0"/>
                      <a:ext cx="5141800" cy="2778690"/>
                    </a:xfrm>
                    <a:prstGeom prst="rect">
                      <a:avLst/>
                    </a:prstGeom>
                    <a:noFill/>
                    <a:ln>
                      <a:solidFill>
                        <a:schemeClr val="tx1"/>
                      </a:solidFill>
                    </a:ln>
                  </pic:spPr>
                </pic:pic>
              </a:graphicData>
            </a:graphic>
          </wp:inline>
        </w:drawing>
      </w:r>
    </w:p>
    <w:p w:rsidR="00411468" w:rsidRDefault="00411468" w:rsidP="00411468">
      <w:pPr>
        <w:spacing w:after="0"/>
        <w:jc w:val="both"/>
      </w:pPr>
    </w:p>
    <w:p w:rsidR="009002BA" w:rsidRDefault="009002BA" w:rsidP="00D12635">
      <w:pPr>
        <w:spacing w:after="0"/>
        <w:jc w:val="both"/>
      </w:pPr>
    </w:p>
    <w:p w:rsidR="009002BA" w:rsidRPr="00925D65" w:rsidRDefault="009002BA" w:rsidP="009002BA">
      <w:pPr>
        <w:pStyle w:val="Paragraphedeliste"/>
        <w:numPr>
          <w:ilvl w:val="0"/>
          <w:numId w:val="1"/>
        </w:numPr>
        <w:spacing w:after="0"/>
        <w:jc w:val="both"/>
        <w:rPr>
          <w:b/>
          <w:color w:val="0000FF"/>
        </w:rPr>
      </w:pPr>
      <w:r w:rsidRPr="00925D65">
        <w:rPr>
          <w:b/>
          <w:color w:val="0000FF"/>
        </w:rPr>
        <w:t>Famille de gènes et réarrangements</w:t>
      </w:r>
    </w:p>
    <w:p w:rsidR="00B01901" w:rsidRDefault="00B01901" w:rsidP="00B01901">
      <w:pPr>
        <w:pStyle w:val="Paragraphedeliste"/>
        <w:spacing w:after="0"/>
        <w:jc w:val="both"/>
      </w:pPr>
    </w:p>
    <w:tbl>
      <w:tblPr>
        <w:tblStyle w:val="Grilledutableau"/>
        <w:tblpPr w:leftFromText="141" w:rightFromText="141" w:vertAnchor="text" w:tblpY="1"/>
        <w:tblOverlap w:val="never"/>
        <w:tblW w:w="0" w:type="auto"/>
        <w:tblLook w:val="04A0" w:firstRow="1" w:lastRow="0" w:firstColumn="1" w:lastColumn="0" w:noHBand="0" w:noVBand="1"/>
      </w:tblPr>
      <w:tblGrid>
        <w:gridCol w:w="1005"/>
        <w:gridCol w:w="440"/>
        <w:gridCol w:w="440"/>
        <w:gridCol w:w="352"/>
        <w:gridCol w:w="440"/>
        <w:gridCol w:w="334"/>
      </w:tblGrid>
      <w:tr w:rsidR="009002BA" w:rsidTr="009002BA">
        <w:tc>
          <w:tcPr>
            <w:tcW w:w="0" w:type="auto"/>
            <w:shd w:val="clear" w:color="auto" w:fill="B6DDE8" w:themeFill="accent5" w:themeFillTint="66"/>
          </w:tcPr>
          <w:p w:rsidR="009002BA" w:rsidRDefault="009002BA" w:rsidP="009002BA">
            <w:pPr>
              <w:jc w:val="both"/>
            </w:pPr>
            <w:r>
              <w:t>Gène</w:t>
            </w:r>
          </w:p>
        </w:tc>
        <w:tc>
          <w:tcPr>
            <w:tcW w:w="0" w:type="auto"/>
            <w:shd w:val="clear" w:color="auto" w:fill="B6DDE8" w:themeFill="accent5" w:themeFillTint="66"/>
          </w:tcPr>
          <w:p w:rsidR="009002BA" w:rsidRDefault="009002BA" w:rsidP="009002BA">
            <w:pPr>
              <w:jc w:val="both"/>
            </w:pPr>
            <w:r>
              <w:t>K</w:t>
            </w:r>
          </w:p>
        </w:tc>
        <w:tc>
          <w:tcPr>
            <w:tcW w:w="0" w:type="auto"/>
            <w:shd w:val="clear" w:color="auto" w:fill="B6DDE8" w:themeFill="accent5" w:themeFillTint="66"/>
          </w:tcPr>
          <w:p w:rsidR="009002BA" w:rsidRDefault="009002BA" w:rsidP="009002BA">
            <w:pPr>
              <w:jc w:val="both"/>
            </w:pPr>
            <w:r>
              <w:t>V</w:t>
            </w:r>
          </w:p>
        </w:tc>
        <w:tc>
          <w:tcPr>
            <w:tcW w:w="0" w:type="auto"/>
            <w:shd w:val="clear" w:color="auto" w:fill="B6DDE8" w:themeFill="accent5" w:themeFillTint="66"/>
          </w:tcPr>
          <w:p w:rsidR="009002BA" w:rsidRDefault="009002BA" w:rsidP="009002BA">
            <w:pPr>
              <w:jc w:val="both"/>
            </w:pPr>
            <w:r>
              <w:t>D</w:t>
            </w:r>
          </w:p>
        </w:tc>
        <w:tc>
          <w:tcPr>
            <w:tcW w:w="0" w:type="auto"/>
            <w:shd w:val="clear" w:color="auto" w:fill="B6DDE8" w:themeFill="accent5" w:themeFillTint="66"/>
          </w:tcPr>
          <w:p w:rsidR="009002BA" w:rsidRDefault="009002BA" w:rsidP="009002BA">
            <w:pPr>
              <w:jc w:val="both"/>
            </w:pPr>
            <w:r>
              <w:t>J</w:t>
            </w:r>
          </w:p>
        </w:tc>
        <w:tc>
          <w:tcPr>
            <w:tcW w:w="0" w:type="auto"/>
            <w:shd w:val="clear" w:color="auto" w:fill="B6DDE8" w:themeFill="accent5" w:themeFillTint="66"/>
          </w:tcPr>
          <w:p w:rsidR="009002BA" w:rsidRDefault="009002BA" w:rsidP="009002BA">
            <w:pPr>
              <w:jc w:val="both"/>
            </w:pPr>
            <w:r>
              <w:t>C</w:t>
            </w:r>
          </w:p>
        </w:tc>
      </w:tr>
      <w:tr w:rsidR="009002BA" w:rsidTr="009002BA">
        <w:tc>
          <w:tcPr>
            <w:tcW w:w="0" w:type="auto"/>
            <w:shd w:val="clear" w:color="auto" w:fill="B6DDE8" w:themeFill="accent5" w:themeFillTint="66"/>
          </w:tcPr>
          <w:p w:rsidR="009002BA" w:rsidRDefault="009002BA" w:rsidP="009002BA">
            <w:pPr>
              <w:jc w:val="both"/>
            </w:pPr>
            <w:r>
              <w:t xml:space="preserve">Chaîne </w:t>
            </w:r>
            <w:r>
              <w:rPr>
                <w:rFonts w:cstheme="minorHAnsi"/>
              </w:rPr>
              <w:t>α</w:t>
            </w:r>
          </w:p>
        </w:tc>
        <w:tc>
          <w:tcPr>
            <w:tcW w:w="0" w:type="auto"/>
          </w:tcPr>
          <w:p w:rsidR="009002BA" w:rsidRDefault="009002BA" w:rsidP="009002BA">
            <w:pPr>
              <w:jc w:val="both"/>
            </w:pPr>
            <w:r>
              <w:t>14</w:t>
            </w:r>
          </w:p>
        </w:tc>
        <w:tc>
          <w:tcPr>
            <w:tcW w:w="0" w:type="auto"/>
          </w:tcPr>
          <w:p w:rsidR="009002BA" w:rsidRDefault="009002BA" w:rsidP="009002BA">
            <w:pPr>
              <w:jc w:val="both"/>
            </w:pPr>
            <w:r>
              <w:t>50</w:t>
            </w:r>
          </w:p>
        </w:tc>
        <w:tc>
          <w:tcPr>
            <w:tcW w:w="0" w:type="auto"/>
          </w:tcPr>
          <w:p w:rsidR="009002BA" w:rsidRDefault="009002BA" w:rsidP="009002BA">
            <w:pPr>
              <w:jc w:val="both"/>
            </w:pPr>
          </w:p>
        </w:tc>
        <w:tc>
          <w:tcPr>
            <w:tcW w:w="0" w:type="auto"/>
          </w:tcPr>
          <w:p w:rsidR="009002BA" w:rsidRDefault="009002BA" w:rsidP="009002BA">
            <w:pPr>
              <w:jc w:val="both"/>
            </w:pPr>
            <w:r>
              <w:t>61</w:t>
            </w:r>
          </w:p>
        </w:tc>
        <w:tc>
          <w:tcPr>
            <w:tcW w:w="0" w:type="auto"/>
          </w:tcPr>
          <w:p w:rsidR="009002BA" w:rsidRDefault="009002BA" w:rsidP="009002BA">
            <w:pPr>
              <w:jc w:val="both"/>
            </w:pPr>
            <w:r>
              <w:t>1</w:t>
            </w:r>
          </w:p>
        </w:tc>
      </w:tr>
      <w:tr w:rsidR="009002BA" w:rsidTr="009002BA">
        <w:tc>
          <w:tcPr>
            <w:tcW w:w="0" w:type="auto"/>
            <w:shd w:val="clear" w:color="auto" w:fill="B6DDE8" w:themeFill="accent5" w:themeFillTint="66"/>
          </w:tcPr>
          <w:p w:rsidR="009002BA" w:rsidRDefault="009002BA" w:rsidP="009002BA">
            <w:pPr>
              <w:jc w:val="both"/>
            </w:pPr>
            <w:r>
              <w:t xml:space="preserve">Chaîne </w:t>
            </w:r>
            <w:r>
              <w:rPr>
                <w:rFonts w:cstheme="minorHAnsi"/>
              </w:rPr>
              <w:t>δ</w:t>
            </w:r>
          </w:p>
        </w:tc>
        <w:tc>
          <w:tcPr>
            <w:tcW w:w="0" w:type="auto"/>
          </w:tcPr>
          <w:p w:rsidR="009002BA" w:rsidRDefault="009002BA" w:rsidP="009002BA">
            <w:pPr>
              <w:jc w:val="both"/>
            </w:pPr>
            <w:r>
              <w:t>14</w:t>
            </w:r>
          </w:p>
        </w:tc>
        <w:tc>
          <w:tcPr>
            <w:tcW w:w="0" w:type="auto"/>
          </w:tcPr>
          <w:p w:rsidR="009002BA" w:rsidRDefault="009002BA" w:rsidP="009002BA">
            <w:pPr>
              <w:jc w:val="both"/>
            </w:pPr>
            <w:r>
              <w:t>3</w:t>
            </w:r>
          </w:p>
        </w:tc>
        <w:tc>
          <w:tcPr>
            <w:tcW w:w="0" w:type="auto"/>
          </w:tcPr>
          <w:p w:rsidR="009002BA" w:rsidRDefault="009002BA" w:rsidP="009002BA">
            <w:pPr>
              <w:jc w:val="both"/>
            </w:pPr>
            <w:r>
              <w:t>3</w:t>
            </w:r>
          </w:p>
        </w:tc>
        <w:tc>
          <w:tcPr>
            <w:tcW w:w="0" w:type="auto"/>
          </w:tcPr>
          <w:p w:rsidR="009002BA" w:rsidRDefault="009002BA" w:rsidP="009002BA">
            <w:pPr>
              <w:jc w:val="both"/>
            </w:pPr>
            <w:r>
              <w:t>3</w:t>
            </w:r>
          </w:p>
        </w:tc>
        <w:tc>
          <w:tcPr>
            <w:tcW w:w="0" w:type="auto"/>
          </w:tcPr>
          <w:p w:rsidR="009002BA" w:rsidRDefault="009002BA" w:rsidP="009002BA">
            <w:pPr>
              <w:jc w:val="both"/>
            </w:pPr>
            <w:r>
              <w:t>1</w:t>
            </w:r>
          </w:p>
        </w:tc>
      </w:tr>
      <w:tr w:rsidR="009002BA" w:rsidTr="009002BA">
        <w:tc>
          <w:tcPr>
            <w:tcW w:w="0" w:type="auto"/>
            <w:shd w:val="clear" w:color="auto" w:fill="B6DDE8" w:themeFill="accent5" w:themeFillTint="66"/>
          </w:tcPr>
          <w:p w:rsidR="009002BA" w:rsidRDefault="009002BA" w:rsidP="009002BA">
            <w:pPr>
              <w:jc w:val="both"/>
            </w:pPr>
            <w:r>
              <w:t xml:space="preserve">Chaîne </w:t>
            </w:r>
            <w:r>
              <w:rPr>
                <w:rFonts w:cstheme="minorHAnsi"/>
              </w:rPr>
              <w:t>β</w:t>
            </w:r>
          </w:p>
        </w:tc>
        <w:tc>
          <w:tcPr>
            <w:tcW w:w="0" w:type="auto"/>
          </w:tcPr>
          <w:p w:rsidR="009002BA" w:rsidRDefault="009002BA" w:rsidP="009002BA">
            <w:pPr>
              <w:jc w:val="both"/>
            </w:pPr>
            <w:r>
              <w:t>7</w:t>
            </w:r>
          </w:p>
        </w:tc>
        <w:tc>
          <w:tcPr>
            <w:tcW w:w="0" w:type="auto"/>
          </w:tcPr>
          <w:p w:rsidR="009002BA" w:rsidRDefault="009002BA" w:rsidP="009002BA">
            <w:pPr>
              <w:jc w:val="both"/>
            </w:pPr>
            <w:r>
              <w:t>67</w:t>
            </w:r>
          </w:p>
        </w:tc>
        <w:tc>
          <w:tcPr>
            <w:tcW w:w="0" w:type="auto"/>
          </w:tcPr>
          <w:p w:rsidR="009002BA" w:rsidRDefault="009002BA" w:rsidP="009002BA">
            <w:pPr>
              <w:jc w:val="both"/>
            </w:pPr>
            <w:r>
              <w:t>2</w:t>
            </w:r>
          </w:p>
        </w:tc>
        <w:tc>
          <w:tcPr>
            <w:tcW w:w="0" w:type="auto"/>
          </w:tcPr>
          <w:p w:rsidR="009002BA" w:rsidRDefault="009002BA" w:rsidP="009002BA">
            <w:pPr>
              <w:jc w:val="both"/>
            </w:pPr>
            <w:r>
              <w:t>14</w:t>
            </w:r>
          </w:p>
        </w:tc>
        <w:tc>
          <w:tcPr>
            <w:tcW w:w="0" w:type="auto"/>
          </w:tcPr>
          <w:p w:rsidR="009002BA" w:rsidRDefault="009002BA" w:rsidP="009002BA">
            <w:pPr>
              <w:jc w:val="both"/>
            </w:pPr>
            <w:r>
              <w:t>2</w:t>
            </w:r>
          </w:p>
        </w:tc>
      </w:tr>
      <w:tr w:rsidR="009002BA" w:rsidTr="009002BA">
        <w:trPr>
          <w:cantSplit/>
          <w:trHeight w:val="301"/>
        </w:trPr>
        <w:tc>
          <w:tcPr>
            <w:tcW w:w="0" w:type="auto"/>
            <w:shd w:val="clear" w:color="auto" w:fill="B6DDE8" w:themeFill="accent5" w:themeFillTint="66"/>
          </w:tcPr>
          <w:p w:rsidR="009002BA" w:rsidRDefault="009002BA" w:rsidP="009002BA">
            <w:pPr>
              <w:jc w:val="both"/>
            </w:pPr>
            <w:r>
              <w:t xml:space="preserve">Chaîne </w:t>
            </w:r>
            <w:r>
              <w:rPr>
                <w:rFonts w:cstheme="minorHAnsi"/>
              </w:rPr>
              <w:t>δ</w:t>
            </w:r>
          </w:p>
        </w:tc>
        <w:tc>
          <w:tcPr>
            <w:tcW w:w="0" w:type="auto"/>
          </w:tcPr>
          <w:p w:rsidR="009002BA" w:rsidRDefault="009002BA" w:rsidP="009002BA">
            <w:pPr>
              <w:jc w:val="both"/>
            </w:pPr>
            <w:r>
              <w:t>7</w:t>
            </w:r>
          </w:p>
        </w:tc>
        <w:tc>
          <w:tcPr>
            <w:tcW w:w="0" w:type="auto"/>
          </w:tcPr>
          <w:p w:rsidR="009002BA" w:rsidRDefault="009002BA" w:rsidP="009002BA">
            <w:pPr>
              <w:jc w:val="both"/>
            </w:pPr>
            <w:r>
              <w:t>14</w:t>
            </w:r>
          </w:p>
        </w:tc>
        <w:tc>
          <w:tcPr>
            <w:tcW w:w="0" w:type="auto"/>
          </w:tcPr>
          <w:p w:rsidR="009002BA" w:rsidRDefault="009002BA" w:rsidP="009002BA">
            <w:pPr>
              <w:jc w:val="both"/>
            </w:pPr>
          </w:p>
        </w:tc>
        <w:tc>
          <w:tcPr>
            <w:tcW w:w="0" w:type="auto"/>
          </w:tcPr>
          <w:p w:rsidR="009002BA" w:rsidRDefault="009002BA" w:rsidP="009002BA">
            <w:pPr>
              <w:jc w:val="both"/>
            </w:pPr>
            <w:r>
              <w:t>5</w:t>
            </w:r>
          </w:p>
        </w:tc>
        <w:tc>
          <w:tcPr>
            <w:tcW w:w="0" w:type="auto"/>
          </w:tcPr>
          <w:p w:rsidR="009002BA" w:rsidRDefault="009002BA" w:rsidP="009002BA">
            <w:pPr>
              <w:jc w:val="both"/>
            </w:pPr>
            <w:r>
              <w:t>2</w:t>
            </w:r>
          </w:p>
        </w:tc>
      </w:tr>
    </w:tbl>
    <w:p w:rsidR="009002BA" w:rsidRDefault="00506901" w:rsidP="009002BA">
      <w:pPr>
        <w:spacing w:after="0"/>
        <w:jc w:val="both"/>
      </w:pPr>
      <w:r>
        <w:t xml:space="preserve">Combinatoire qui offre une très grande variabilité de </w:t>
      </w:r>
      <w:proofErr w:type="spellStart"/>
      <w:r>
        <w:t>rcpt</w:t>
      </w:r>
      <w:proofErr w:type="spellEnd"/>
      <w:r>
        <w:t>.</w:t>
      </w:r>
    </w:p>
    <w:p w:rsidR="00B01901" w:rsidRDefault="00B01901" w:rsidP="009002BA">
      <w:pPr>
        <w:spacing w:after="0"/>
        <w:jc w:val="both"/>
      </w:pPr>
    </w:p>
    <w:p w:rsidR="00506901" w:rsidRDefault="00506901" w:rsidP="009002BA">
      <w:pPr>
        <w:spacing w:after="0"/>
        <w:jc w:val="both"/>
      </w:pPr>
      <w:r>
        <w:t xml:space="preserve">Le réarrangement se fait sur les chaînes </w:t>
      </w:r>
      <w:r>
        <w:rPr>
          <w:rFonts w:cstheme="minorHAnsi"/>
        </w:rPr>
        <w:t>α</w:t>
      </w:r>
      <w:r>
        <w:t xml:space="preserve"> et </w:t>
      </w:r>
      <w:r>
        <w:rPr>
          <w:rFonts w:cstheme="minorHAnsi"/>
        </w:rPr>
        <w:t>β</w:t>
      </w:r>
      <w:r>
        <w:t xml:space="preserve"> = puissance de variabilité</w:t>
      </w:r>
      <w:r w:rsidR="005805BF">
        <w:t xml:space="preserve">. On utilise les enzymes </w:t>
      </w:r>
      <w:r w:rsidR="005805BF">
        <w:rPr>
          <w:b/>
        </w:rPr>
        <w:t>RAG-1</w:t>
      </w:r>
      <w:r w:rsidR="005805BF">
        <w:t xml:space="preserve"> et </w:t>
      </w:r>
      <w:r w:rsidR="005805BF">
        <w:rPr>
          <w:b/>
        </w:rPr>
        <w:t>RAG-2</w:t>
      </w:r>
      <w:r w:rsidR="005805BF">
        <w:t xml:space="preserve"> (</w:t>
      </w:r>
      <w:proofErr w:type="spellStart"/>
      <w:r w:rsidR="005805BF">
        <w:t>recombination</w:t>
      </w:r>
      <w:proofErr w:type="spellEnd"/>
      <w:r w:rsidR="005805BF">
        <w:t xml:space="preserve"> </w:t>
      </w:r>
      <w:proofErr w:type="spellStart"/>
      <w:r w:rsidR="005805BF">
        <w:t>activator</w:t>
      </w:r>
      <w:proofErr w:type="spellEnd"/>
      <w:r w:rsidR="005805BF">
        <w:t xml:space="preserve"> </w:t>
      </w:r>
      <w:proofErr w:type="spellStart"/>
      <w:r w:rsidR="005805BF">
        <w:t>genes</w:t>
      </w:r>
      <w:proofErr w:type="spellEnd"/>
      <w:r w:rsidR="005805BF">
        <w:t>) : ce système enzymatique est commun aux LT et aux LB mais réarrange des gènes différents selon le type de cellule.</w:t>
      </w:r>
      <w:r w:rsidR="00B01901">
        <w:t xml:space="preserve"> On a une exclusion allélique (comme pour les IG) = si la cellule réarrange un 1</w:t>
      </w:r>
      <w:r w:rsidR="00B01901" w:rsidRPr="00B01901">
        <w:rPr>
          <w:vertAlign w:val="superscript"/>
        </w:rPr>
        <w:t>er</w:t>
      </w:r>
      <w:r w:rsidR="00B01901">
        <w:t xml:space="preserve"> allèle d’un gène, le 2</w:t>
      </w:r>
      <w:r w:rsidR="00B01901" w:rsidRPr="00B01901">
        <w:rPr>
          <w:vertAlign w:val="superscript"/>
        </w:rPr>
        <w:t>e</w:t>
      </w:r>
      <w:r w:rsidR="00B01901">
        <w:t xml:space="preserve"> ne sera pas fonctionnel (exceptions rares). </w:t>
      </w:r>
    </w:p>
    <w:p w:rsidR="00FC7599" w:rsidRDefault="00FC7599" w:rsidP="009002BA">
      <w:pPr>
        <w:spacing w:after="0"/>
        <w:jc w:val="both"/>
      </w:pPr>
      <w:r>
        <w:t>Diversité du TCR résulte :</w:t>
      </w:r>
    </w:p>
    <w:p w:rsidR="00FC7599" w:rsidRDefault="00FC7599" w:rsidP="00FC7599">
      <w:pPr>
        <w:pStyle w:val="Paragraphedeliste"/>
        <w:numPr>
          <w:ilvl w:val="0"/>
          <w:numId w:val="2"/>
        </w:numPr>
        <w:spacing w:after="0"/>
        <w:jc w:val="both"/>
      </w:pPr>
      <w:r>
        <w:t>Réarrangement</w:t>
      </w:r>
    </w:p>
    <w:p w:rsidR="00FC7599" w:rsidRDefault="00FC7599" w:rsidP="00FC7599">
      <w:pPr>
        <w:pStyle w:val="Paragraphedeliste"/>
        <w:numPr>
          <w:ilvl w:val="0"/>
          <w:numId w:val="2"/>
        </w:numPr>
        <w:spacing w:after="0"/>
        <w:jc w:val="both"/>
      </w:pPr>
      <w:r>
        <w:t xml:space="preserve">Flexibilité </w:t>
      </w:r>
      <w:proofErr w:type="spellStart"/>
      <w:r>
        <w:t>jonctionnelle</w:t>
      </w:r>
      <w:proofErr w:type="spellEnd"/>
    </w:p>
    <w:p w:rsidR="00FC7599" w:rsidRDefault="00FC7599" w:rsidP="00FC7599">
      <w:pPr>
        <w:pStyle w:val="Paragraphedeliste"/>
        <w:numPr>
          <w:ilvl w:val="0"/>
          <w:numId w:val="2"/>
        </w:numPr>
        <w:spacing w:after="0"/>
        <w:jc w:val="both"/>
      </w:pPr>
      <w:r>
        <w:t>Addition nucléotidique</w:t>
      </w:r>
    </w:p>
    <w:p w:rsidR="00FC7599" w:rsidRPr="005805BF" w:rsidRDefault="00FC7599" w:rsidP="00FC7599">
      <w:pPr>
        <w:pStyle w:val="Paragraphedeliste"/>
        <w:numPr>
          <w:ilvl w:val="0"/>
          <w:numId w:val="2"/>
        </w:numPr>
        <w:spacing w:after="0"/>
        <w:jc w:val="both"/>
      </w:pPr>
      <w:r>
        <w:t>/!\ Pas d’</w:t>
      </w:r>
      <w:proofErr w:type="spellStart"/>
      <w:r>
        <w:t>hypermutation</w:t>
      </w:r>
      <w:proofErr w:type="spellEnd"/>
      <w:r>
        <w:t xml:space="preserve"> somatique !!!!</w:t>
      </w:r>
      <w:r w:rsidR="00012D20">
        <w:t xml:space="preserve"> (recombinaison dans les organes lymphoïdes secondaires) : pas d’</w:t>
      </w:r>
      <w:proofErr w:type="spellStart"/>
      <w:r w:rsidR="00012D20">
        <w:t>hypervariabilité</w:t>
      </w:r>
      <w:proofErr w:type="spellEnd"/>
      <w:r w:rsidR="00012D20">
        <w:t xml:space="preserve"> des CDR1 et 2 des TCR, elle est limitée aux CDR3. L’</w:t>
      </w:r>
      <w:proofErr w:type="spellStart"/>
      <w:r w:rsidR="00012D20">
        <w:t>hypermutation</w:t>
      </w:r>
      <w:proofErr w:type="spellEnd"/>
      <w:r w:rsidR="00012D20">
        <w:t xml:space="preserve"> somatique est l’apanage des LB</w:t>
      </w:r>
      <w:r w:rsidR="00587822">
        <w:t xml:space="preserve"> (production d’AC de haute affinité), dangereux pour les LT car </w:t>
      </w:r>
      <w:proofErr w:type="spellStart"/>
      <w:r w:rsidR="00587822">
        <w:t>autoréactivité</w:t>
      </w:r>
      <w:proofErr w:type="spellEnd"/>
      <w:r w:rsidR="00587822">
        <w:t xml:space="preserve"> et perte de la </w:t>
      </w:r>
      <w:proofErr w:type="spellStart"/>
      <w:r w:rsidR="00587822">
        <w:t>recnss</w:t>
      </w:r>
      <w:proofErr w:type="spellEnd"/>
      <w:r w:rsidR="00587822">
        <w:t xml:space="preserve"> des CMH.</w:t>
      </w:r>
    </w:p>
    <w:p w:rsidR="00D12635" w:rsidRDefault="00D12635" w:rsidP="00D12635">
      <w:pPr>
        <w:spacing w:after="0"/>
        <w:jc w:val="both"/>
      </w:pPr>
    </w:p>
    <w:p w:rsidR="00D12635" w:rsidRPr="00925D65" w:rsidRDefault="00D12635" w:rsidP="00D12635">
      <w:pPr>
        <w:spacing w:after="0"/>
        <w:jc w:val="both"/>
        <w:rPr>
          <w:color w:val="0000FF"/>
        </w:rPr>
      </w:pPr>
    </w:p>
    <w:p w:rsidR="00D12635" w:rsidRPr="00925D65" w:rsidRDefault="00495F55" w:rsidP="00495F55">
      <w:pPr>
        <w:pStyle w:val="Paragraphedeliste"/>
        <w:numPr>
          <w:ilvl w:val="0"/>
          <w:numId w:val="1"/>
        </w:numPr>
        <w:spacing w:after="0"/>
        <w:jc w:val="both"/>
        <w:rPr>
          <w:b/>
          <w:color w:val="0000FF"/>
        </w:rPr>
      </w:pPr>
      <w:proofErr w:type="spellStart"/>
      <w:r w:rsidRPr="00925D65">
        <w:rPr>
          <w:b/>
          <w:color w:val="0000FF"/>
        </w:rPr>
        <w:t>Alloréactivité</w:t>
      </w:r>
      <w:proofErr w:type="spellEnd"/>
    </w:p>
    <w:p w:rsidR="007A0EDE" w:rsidRDefault="007A0EDE" w:rsidP="00495F55">
      <w:pPr>
        <w:spacing w:after="0"/>
        <w:jc w:val="both"/>
      </w:pPr>
    </w:p>
    <w:p w:rsidR="00495F55" w:rsidRDefault="00495F55" w:rsidP="00495F55">
      <w:pPr>
        <w:spacing w:after="0"/>
        <w:jc w:val="both"/>
      </w:pPr>
      <w:r>
        <w:t>Il n’y a pas de sélection négative des LT dont le TCR présenterait une trop forte affinité pour les molécules CMH n’appartenant pas au soi.</w:t>
      </w:r>
    </w:p>
    <w:p w:rsidR="00495F55" w:rsidRDefault="00495F55" w:rsidP="00495F55">
      <w:pPr>
        <w:pStyle w:val="Paragraphedeliste"/>
        <w:numPr>
          <w:ilvl w:val="0"/>
          <w:numId w:val="3"/>
        </w:numPr>
        <w:spacing w:after="0"/>
        <w:jc w:val="both"/>
      </w:pPr>
      <w:r>
        <w:t>Réaction contre un étranger dans les greffes d’organes (allogreffes)</w:t>
      </w:r>
    </w:p>
    <w:p w:rsidR="00916BE8" w:rsidRDefault="00916BE8" w:rsidP="00916BE8">
      <w:pPr>
        <w:spacing w:after="0"/>
        <w:jc w:val="both"/>
        <w:rPr>
          <w:b/>
          <w:color w:val="0000FF"/>
        </w:rPr>
      </w:pPr>
    </w:p>
    <w:p w:rsidR="007A0EDE" w:rsidRDefault="007A0EDE" w:rsidP="00916BE8">
      <w:pPr>
        <w:spacing w:after="0"/>
        <w:jc w:val="both"/>
        <w:rPr>
          <w:b/>
          <w:color w:val="0000FF"/>
        </w:rPr>
      </w:pPr>
    </w:p>
    <w:p w:rsidR="00DF120C" w:rsidRPr="007A0EDE" w:rsidRDefault="00DF120C" w:rsidP="00916BE8">
      <w:pPr>
        <w:spacing w:after="0"/>
        <w:jc w:val="both"/>
        <w:rPr>
          <w:b/>
          <w:color w:val="0000FF"/>
        </w:rPr>
      </w:pPr>
      <w:bookmarkStart w:id="0" w:name="_GoBack"/>
      <w:bookmarkEnd w:id="0"/>
    </w:p>
    <w:p w:rsidR="00916BE8" w:rsidRPr="007A0EDE" w:rsidRDefault="00916BE8" w:rsidP="00916BE8">
      <w:pPr>
        <w:pStyle w:val="Paragraphedeliste"/>
        <w:numPr>
          <w:ilvl w:val="0"/>
          <w:numId w:val="1"/>
        </w:numPr>
        <w:spacing w:after="0"/>
        <w:jc w:val="both"/>
        <w:rPr>
          <w:b/>
          <w:color w:val="0000FF"/>
        </w:rPr>
      </w:pPr>
      <w:r w:rsidRPr="007A0EDE">
        <w:rPr>
          <w:b/>
          <w:color w:val="0000FF"/>
        </w:rPr>
        <w:lastRenderedPageBreak/>
        <w:t>Réponses lymphocytaires T</w:t>
      </w:r>
    </w:p>
    <w:p w:rsidR="007A0EDE" w:rsidRDefault="007A0EDE" w:rsidP="00916BE8">
      <w:pPr>
        <w:spacing w:after="0"/>
        <w:jc w:val="both"/>
      </w:pPr>
    </w:p>
    <w:p w:rsidR="00916BE8" w:rsidRDefault="00916BE8" w:rsidP="00916BE8">
      <w:pPr>
        <w:spacing w:after="0"/>
        <w:jc w:val="both"/>
      </w:pPr>
      <w:r>
        <w:t xml:space="preserve">2 types de réponses </w:t>
      </w:r>
      <w:proofErr w:type="spellStart"/>
      <w:r>
        <w:t>ap</w:t>
      </w:r>
      <w:proofErr w:type="spellEnd"/>
      <w:r>
        <w:t xml:space="preserve"> interaction avec l’Ag dans les OLII</w:t>
      </w:r>
    </w:p>
    <w:p w:rsidR="00916BE8" w:rsidRDefault="00916BE8" w:rsidP="00916BE8">
      <w:pPr>
        <w:pStyle w:val="Paragraphedeliste"/>
        <w:numPr>
          <w:ilvl w:val="0"/>
          <w:numId w:val="2"/>
        </w:numPr>
        <w:spacing w:after="0"/>
        <w:jc w:val="both"/>
      </w:pPr>
      <w:r>
        <w:t>Différentiation auxiliaire</w:t>
      </w:r>
      <w:r w:rsidR="007A0EDE">
        <w:t>/</w:t>
      </w:r>
      <w:proofErr w:type="spellStart"/>
      <w:r w:rsidR="007A0EDE">
        <w:t>helper</w:t>
      </w:r>
      <w:proofErr w:type="spellEnd"/>
      <w:r>
        <w:t xml:space="preserve"> : LTCD4+ : sécrétion de cytokines et expression membranaire de ligands favorisant l’activation d’autres types cellulaires (LB, </w:t>
      </w:r>
      <w:proofErr w:type="spellStart"/>
      <w:r>
        <w:t>LT</w:t>
      </w:r>
      <w:r>
        <w:rPr>
          <w:vertAlign w:val="subscript"/>
        </w:rPr>
        <w:t>cyto</w:t>
      </w:r>
      <w:proofErr w:type="spellEnd"/>
      <w:r>
        <w:t>, macrophages, NK…)</w:t>
      </w:r>
      <w:r w:rsidR="007A0EDE">
        <w:t>. Ils permettent de propager la RI.</w:t>
      </w:r>
    </w:p>
    <w:p w:rsidR="00916BE8" w:rsidRDefault="00916BE8" w:rsidP="00916BE8">
      <w:pPr>
        <w:pStyle w:val="Paragraphedeliste"/>
        <w:numPr>
          <w:ilvl w:val="0"/>
          <w:numId w:val="2"/>
        </w:numPr>
        <w:spacing w:after="0"/>
        <w:jc w:val="both"/>
      </w:pPr>
      <w:r>
        <w:t>Différentiation cytotoxique : LTCD8+</w:t>
      </w:r>
    </w:p>
    <w:p w:rsidR="007A0EDE" w:rsidRDefault="007A0EDE" w:rsidP="007A0EDE">
      <w:pPr>
        <w:spacing w:after="0"/>
        <w:jc w:val="both"/>
      </w:pPr>
    </w:p>
    <w:p w:rsidR="007A0EDE" w:rsidRDefault="007A0EDE" w:rsidP="007A0EDE">
      <w:pPr>
        <w:spacing w:after="0"/>
        <w:jc w:val="both"/>
      </w:pPr>
      <w:r>
        <w:t xml:space="preserve">Réponses </w:t>
      </w:r>
      <w:proofErr w:type="spellStart"/>
      <w:r>
        <w:t>helper</w:t>
      </w:r>
      <w:proofErr w:type="spellEnd"/>
      <w:r>
        <w:t xml:space="preserve"> : après activation par l’Ag, le CD4 subit une </w:t>
      </w:r>
      <w:proofErr w:type="spellStart"/>
      <w:r>
        <w:t>superspécialisation</w:t>
      </w:r>
      <w:proofErr w:type="spellEnd"/>
      <w:r>
        <w:t xml:space="preserve"> selon le type de cellule qu’il va aider</w:t>
      </w:r>
      <w:r w:rsidR="00301323">
        <w:t> :</w:t>
      </w:r>
    </w:p>
    <w:p w:rsidR="00301323" w:rsidRDefault="00301323" w:rsidP="00301323">
      <w:pPr>
        <w:pStyle w:val="Paragraphedeliste"/>
        <w:numPr>
          <w:ilvl w:val="0"/>
          <w:numId w:val="2"/>
        </w:numPr>
        <w:spacing w:after="0"/>
        <w:jc w:val="both"/>
      </w:pPr>
      <w:r>
        <w:t xml:space="preserve"> </w:t>
      </w:r>
    </w:p>
    <w:tbl>
      <w:tblPr>
        <w:tblStyle w:val="Grilledutableau"/>
        <w:tblW w:w="0" w:type="auto"/>
        <w:tblLook w:val="04A0" w:firstRow="1" w:lastRow="0" w:firstColumn="1" w:lastColumn="0" w:noHBand="0" w:noVBand="1"/>
      </w:tblPr>
      <w:tblGrid>
        <w:gridCol w:w="1988"/>
        <w:gridCol w:w="2866"/>
        <w:gridCol w:w="3754"/>
      </w:tblGrid>
      <w:tr w:rsidR="00301323" w:rsidTr="00A35BD2">
        <w:tc>
          <w:tcPr>
            <w:tcW w:w="0" w:type="auto"/>
          </w:tcPr>
          <w:p w:rsidR="00301323" w:rsidRDefault="00301323" w:rsidP="00301323">
            <w:pPr>
              <w:jc w:val="both"/>
            </w:pPr>
            <w:r>
              <w:t>CD4+</w:t>
            </w:r>
          </w:p>
        </w:tc>
        <w:tc>
          <w:tcPr>
            <w:tcW w:w="0" w:type="auto"/>
          </w:tcPr>
          <w:p w:rsidR="00301323" w:rsidRPr="00A35BD2" w:rsidRDefault="00301323" w:rsidP="00A35BD2">
            <w:pPr>
              <w:jc w:val="center"/>
              <w:rPr>
                <w:b/>
              </w:rPr>
            </w:pPr>
            <w:r w:rsidRPr="00A35BD2">
              <w:rPr>
                <w:b/>
              </w:rPr>
              <w:t>Th1</w:t>
            </w:r>
          </w:p>
        </w:tc>
        <w:tc>
          <w:tcPr>
            <w:tcW w:w="0" w:type="auto"/>
          </w:tcPr>
          <w:p w:rsidR="00301323" w:rsidRPr="00A35BD2" w:rsidRDefault="00301323" w:rsidP="00A35BD2">
            <w:pPr>
              <w:jc w:val="center"/>
              <w:rPr>
                <w:b/>
              </w:rPr>
            </w:pPr>
            <w:r w:rsidRPr="00A35BD2">
              <w:rPr>
                <w:b/>
              </w:rPr>
              <w:t>Th2</w:t>
            </w:r>
          </w:p>
        </w:tc>
      </w:tr>
      <w:tr w:rsidR="00301323" w:rsidTr="00A35BD2">
        <w:tc>
          <w:tcPr>
            <w:tcW w:w="0" w:type="auto"/>
          </w:tcPr>
          <w:p w:rsidR="00301323" w:rsidRDefault="00301323" w:rsidP="00301323">
            <w:pPr>
              <w:jc w:val="both"/>
            </w:pPr>
            <w:r>
              <w:t xml:space="preserve">Aide </w:t>
            </w:r>
          </w:p>
        </w:tc>
        <w:tc>
          <w:tcPr>
            <w:tcW w:w="0" w:type="auto"/>
          </w:tcPr>
          <w:p w:rsidR="00301323" w:rsidRDefault="00301323" w:rsidP="00301323">
            <w:pPr>
              <w:jc w:val="both"/>
            </w:pPr>
            <w:proofErr w:type="spellStart"/>
            <w:r>
              <w:t>LT</w:t>
            </w:r>
            <w:r>
              <w:rPr>
                <w:vertAlign w:val="subscript"/>
              </w:rPr>
              <w:t>c</w:t>
            </w:r>
            <w:proofErr w:type="spellEnd"/>
            <w:r>
              <w:t>, NK et macrophages</w:t>
            </w:r>
          </w:p>
        </w:tc>
        <w:tc>
          <w:tcPr>
            <w:tcW w:w="0" w:type="auto"/>
          </w:tcPr>
          <w:p w:rsidR="00301323" w:rsidRDefault="00301323" w:rsidP="00301323">
            <w:pPr>
              <w:jc w:val="both"/>
            </w:pPr>
            <w:r>
              <w:t>LB (</w:t>
            </w:r>
            <w:proofErr w:type="spellStart"/>
            <w:r>
              <w:t>prod</w:t>
            </w:r>
            <w:proofErr w:type="spellEnd"/>
            <w:r>
              <w:t xml:space="preserve"> d’AC)</w:t>
            </w:r>
            <w:r w:rsidR="00A35BD2">
              <w:t xml:space="preserve">, </w:t>
            </w:r>
            <w:proofErr w:type="spellStart"/>
            <w:r w:rsidR="00A35BD2">
              <w:t>PNEosino</w:t>
            </w:r>
            <w:proofErr w:type="spellEnd"/>
            <w:r w:rsidR="00A35BD2">
              <w:t xml:space="preserve"> et mastocytes</w:t>
            </w:r>
          </w:p>
        </w:tc>
      </w:tr>
      <w:tr w:rsidR="00301323" w:rsidTr="00A35BD2">
        <w:tc>
          <w:tcPr>
            <w:tcW w:w="0" w:type="auto"/>
          </w:tcPr>
          <w:p w:rsidR="00301323" w:rsidRDefault="00301323" w:rsidP="00301323">
            <w:pPr>
              <w:jc w:val="both"/>
            </w:pPr>
            <w:r>
              <w:t>Cytokines</w:t>
            </w:r>
            <w:r w:rsidR="00A35BD2">
              <w:t xml:space="preserve"> </w:t>
            </w:r>
            <w:r>
              <w:t>sécrétées</w:t>
            </w:r>
          </w:p>
        </w:tc>
        <w:tc>
          <w:tcPr>
            <w:tcW w:w="0" w:type="auto"/>
          </w:tcPr>
          <w:p w:rsidR="00301323" w:rsidRDefault="00301323" w:rsidP="00301323">
            <w:pPr>
              <w:jc w:val="both"/>
            </w:pPr>
            <w:r>
              <w:t xml:space="preserve">IL-2, </w:t>
            </w:r>
            <w:proofErr w:type="spellStart"/>
            <w:r>
              <w:t>IFN</w:t>
            </w:r>
            <w:r>
              <w:rPr>
                <w:rFonts w:cstheme="minorHAnsi"/>
              </w:rPr>
              <w:t>γ</w:t>
            </w:r>
            <w:proofErr w:type="spellEnd"/>
            <w:r>
              <w:t>, TNF</w:t>
            </w:r>
            <w:r>
              <w:rPr>
                <w:rFonts w:ascii="Calibri" w:hAnsi="Calibri" w:cs="Calibri"/>
              </w:rPr>
              <w:t>β</w:t>
            </w:r>
            <w:r>
              <w:t>, GM-CSF, IL-3</w:t>
            </w:r>
          </w:p>
        </w:tc>
        <w:tc>
          <w:tcPr>
            <w:tcW w:w="0" w:type="auto"/>
          </w:tcPr>
          <w:p w:rsidR="00301323" w:rsidRDefault="00301323" w:rsidP="00301323">
            <w:pPr>
              <w:jc w:val="both"/>
            </w:pPr>
            <w:r>
              <w:t>GM-CSF, IL-3</w:t>
            </w:r>
            <w:proofErr w:type="gramStart"/>
            <w:r>
              <w:t>,4,5,10,13</w:t>
            </w:r>
            <w:proofErr w:type="gramEnd"/>
          </w:p>
        </w:tc>
      </w:tr>
    </w:tbl>
    <w:p w:rsidR="00301323" w:rsidRDefault="00301323" w:rsidP="00301323">
      <w:pPr>
        <w:spacing w:after="0"/>
        <w:jc w:val="both"/>
      </w:pPr>
    </w:p>
    <w:p w:rsidR="008E3EAC" w:rsidRPr="00A35BD2" w:rsidRDefault="00A35BD2" w:rsidP="008E3EAC">
      <w:pPr>
        <w:spacing w:after="0"/>
        <w:jc w:val="both"/>
      </w:pPr>
      <w:r w:rsidRPr="00A35BD2">
        <w:rPr>
          <w:b/>
        </w:rPr>
        <w:t>Polarisation</w:t>
      </w:r>
      <w:r>
        <w:t xml:space="preserve"> de la RI : dans certains cas, la RI va se caractériser surtout par une production d’AC avec peu d’activation de </w:t>
      </w:r>
      <w:proofErr w:type="spellStart"/>
      <w:r>
        <w:t>LT</w:t>
      </w:r>
      <w:r>
        <w:rPr>
          <w:vertAlign w:val="subscript"/>
        </w:rPr>
        <w:t>c</w:t>
      </w:r>
      <w:proofErr w:type="spellEnd"/>
      <w:r>
        <w:t xml:space="preserve"> et macrophages et inversement =&gt; c’est le type de </w:t>
      </w:r>
      <w:proofErr w:type="spellStart"/>
      <w:r>
        <w:t>LT</w:t>
      </w:r>
      <w:r>
        <w:rPr>
          <w:vertAlign w:val="subscript"/>
        </w:rPr>
        <w:t>h</w:t>
      </w:r>
      <w:proofErr w:type="spellEnd"/>
      <w:r>
        <w:t xml:space="preserve"> impliqué qui va déterminer la polarisation de la réponse.</w:t>
      </w:r>
      <w:r w:rsidR="008E3EAC" w:rsidRPr="008E3EAC">
        <w:t xml:space="preserve"> </w:t>
      </w:r>
      <w:r w:rsidR="008E3EAC">
        <w:t>Les cytokines de type Th1 (</w:t>
      </w:r>
      <w:proofErr w:type="spellStart"/>
      <w:r w:rsidR="008E3EAC">
        <w:t>IFN</w:t>
      </w:r>
      <w:r w:rsidR="008E3EAC">
        <w:rPr>
          <w:rFonts w:cstheme="minorHAnsi"/>
        </w:rPr>
        <w:t>γ</w:t>
      </w:r>
      <w:proofErr w:type="spellEnd"/>
      <w:r w:rsidR="008E3EAC">
        <w:t>) inhibent le développement des réponses de type Th2 et inversement.</w:t>
      </w:r>
    </w:p>
    <w:p w:rsidR="00A35BD2" w:rsidRDefault="008E3EAC" w:rsidP="00301323">
      <w:pPr>
        <w:spacing w:after="0"/>
        <w:jc w:val="both"/>
      </w:pPr>
      <w:r>
        <w:t xml:space="preserve">La polarisation se fait selon le climat </w:t>
      </w:r>
      <w:proofErr w:type="spellStart"/>
      <w:r>
        <w:t>cytokinique</w:t>
      </w:r>
      <w:proofErr w:type="spellEnd"/>
      <w:r>
        <w:t xml:space="preserve"> au moment de l’interaction avec l’Ag et le type de CPA (</w:t>
      </w:r>
      <w:proofErr w:type="spellStart"/>
      <w:r>
        <w:t>cell</w:t>
      </w:r>
      <w:proofErr w:type="spellEnd"/>
      <w:r>
        <w:t xml:space="preserve"> dendritique </w:t>
      </w:r>
      <w:proofErr w:type="spellStart"/>
      <w:r>
        <w:t>svt</w:t>
      </w:r>
      <w:proofErr w:type="spellEnd"/>
      <w:r>
        <w:t xml:space="preserve"> Th1 et LLB </w:t>
      </w:r>
      <w:proofErr w:type="spellStart"/>
      <w:r>
        <w:t>svt</w:t>
      </w:r>
      <w:proofErr w:type="spellEnd"/>
      <w:r>
        <w:t xml:space="preserve"> Th2).</w:t>
      </w:r>
    </w:p>
    <w:p w:rsidR="008E3EAC" w:rsidRPr="008E3EAC" w:rsidRDefault="008E3EAC" w:rsidP="00301323">
      <w:pPr>
        <w:spacing w:after="0"/>
        <w:jc w:val="both"/>
      </w:pPr>
      <w:r>
        <w:t xml:space="preserve">On peut avoir des dérèglements immunologiques qui dépendent </w:t>
      </w:r>
      <w:proofErr w:type="spellStart"/>
      <w:r>
        <w:t>dela</w:t>
      </w:r>
      <w:proofErr w:type="spellEnd"/>
      <w:r>
        <w:t xml:space="preserve"> polarisation des T</w:t>
      </w:r>
      <w:r>
        <w:rPr>
          <w:vertAlign w:val="subscript"/>
        </w:rPr>
        <w:t>h</w:t>
      </w:r>
      <w:r>
        <w:t> : une voie se développe préférentiellement et la 2</w:t>
      </w:r>
      <w:r w:rsidRPr="008E3EAC">
        <w:rPr>
          <w:vertAlign w:val="superscript"/>
        </w:rPr>
        <w:t>e</w:t>
      </w:r>
      <w:r>
        <w:t xml:space="preserve"> fini par être complètement inhibée.</w:t>
      </w:r>
    </w:p>
    <w:p w:rsidR="00A35BD2" w:rsidRDefault="00A35BD2" w:rsidP="00301323">
      <w:pPr>
        <w:spacing w:after="0"/>
        <w:jc w:val="both"/>
      </w:pPr>
      <w:r>
        <w:t xml:space="preserve">Intérêt +++ en thérapeutique pour guider la réponse immunitaire dans un sens ou l’autre comme dans les maladies inflammatoires chroniques où l’on cherche à diminuer la réponse inflammatoire ou la RI. Ce sont des thérapies basées sur les </w:t>
      </w:r>
      <w:proofErr w:type="spellStart"/>
      <w:r>
        <w:t>T</w:t>
      </w:r>
      <w:r w:rsidRPr="00A35BD2">
        <w:rPr>
          <w:vertAlign w:val="subscript"/>
        </w:rPr>
        <w:t>régulatrices</w:t>
      </w:r>
      <w:proofErr w:type="spellEnd"/>
      <w:r>
        <w:t xml:space="preserve"> : on prend les cellules du patient qu’on amplifie in vitro et qu’on leur réinjecte. </w:t>
      </w:r>
    </w:p>
    <w:p w:rsidR="008E3EAC" w:rsidRDefault="008E3EAC">
      <w:pPr>
        <w:spacing w:after="0"/>
        <w:jc w:val="both"/>
      </w:pPr>
    </w:p>
    <w:p w:rsidR="008E3EAC" w:rsidRDefault="008E3EAC" w:rsidP="00DF120C">
      <w:pPr>
        <w:spacing w:after="0"/>
        <w:jc w:val="both"/>
      </w:pPr>
      <w:r>
        <w:t xml:space="preserve">La différentiation en T </w:t>
      </w:r>
      <w:proofErr w:type="spellStart"/>
      <w:r>
        <w:t>helper</w:t>
      </w:r>
      <w:proofErr w:type="spellEnd"/>
      <w:r>
        <w:t xml:space="preserve"> va induire l’expr</w:t>
      </w:r>
      <w:r w:rsidR="00DF120C">
        <w:t xml:space="preserve">ession de ligands membranaires : dont </w:t>
      </w:r>
      <w:r w:rsidR="00DF120C">
        <w:rPr>
          <w:b/>
        </w:rPr>
        <w:t>CD</w:t>
      </w:r>
      <w:r w:rsidRPr="00DF120C">
        <w:rPr>
          <w:b/>
        </w:rPr>
        <w:t>40 +++</w:t>
      </w:r>
      <w:r>
        <w:t xml:space="preserve"> : présent aussi sur les LB, les macrophages et les cellules dendritiques. La stimulation de cette molécule est essentielle à l’activation des cellules. Le ligand de CD40 = </w:t>
      </w:r>
      <w:r w:rsidRPr="00DF120C">
        <w:rPr>
          <w:b/>
        </w:rPr>
        <w:t>CD40L</w:t>
      </w:r>
      <w:r>
        <w:t xml:space="preserve"> est exprimé à la surface des Th1 et Th2. Il est essentiel</w:t>
      </w:r>
      <w:r w:rsidR="00903A33">
        <w:t xml:space="preserve"> aux fonctions auxil</w:t>
      </w:r>
      <w:r>
        <w:t>iaires</w:t>
      </w:r>
      <w:r w:rsidR="00903A33">
        <w:t>.</w:t>
      </w:r>
    </w:p>
    <w:p w:rsidR="00903A33" w:rsidRDefault="00903A33" w:rsidP="00903A33">
      <w:pPr>
        <w:spacing w:after="0"/>
        <w:jc w:val="both"/>
      </w:pPr>
      <w:r>
        <w:rPr>
          <w:i/>
        </w:rPr>
        <w:t xml:space="preserve">Déficit génétique de CD40L =&gt; incapacité de commutation </w:t>
      </w:r>
      <w:proofErr w:type="spellStart"/>
      <w:r>
        <w:rPr>
          <w:i/>
        </w:rPr>
        <w:t>isotypique</w:t>
      </w:r>
      <w:proofErr w:type="spellEnd"/>
      <w:r>
        <w:rPr>
          <w:i/>
        </w:rPr>
        <w:t xml:space="preserve"> qui se traduit par un syndrome d’</w:t>
      </w:r>
      <w:proofErr w:type="spellStart"/>
      <w:r>
        <w:rPr>
          <w:i/>
        </w:rPr>
        <w:t>hyperIgM</w:t>
      </w:r>
      <w:proofErr w:type="spellEnd"/>
      <w:r w:rsidR="00DF120C">
        <w:rPr>
          <w:i/>
        </w:rPr>
        <w:t xml:space="preserve"> car on ne peut plus passer </w:t>
      </w:r>
      <w:proofErr w:type="spellStart"/>
      <w:r w:rsidR="00DF120C">
        <w:rPr>
          <w:i/>
        </w:rPr>
        <w:t>d’IgM</w:t>
      </w:r>
      <w:proofErr w:type="spellEnd"/>
      <w:r w:rsidR="00DF120C">
        <w:rPr>
          <w:i/>
        </w:rPr>
        <w:t xml:space="preserve"> à </w:t>
      </w:r>
      <w:proofErr w:type="spellStart"/>
      <w:r w:rsidR="00DF120C">
        <w:rPr>
          <w:i/>
        </w:rPr>
        <w:t>IgG</w:t>
      </w:r>
      <w:proofErr w:type="spellEnd"/>
      <w:r>
        <w:rPr>
          <w:i/>
        </w:rPr>
        <w:t>.</w:t>
      </w:r>
    </w:p>
    <w:p w:rsidR="00903A33" w:rsidRPr="00DF120C" w:rsidRDefault="00DF120C" w:rsidP="00903A33">
      <w:pPr>
        <w:spacing w:after="0"/>
        <w:jc w:val="both"/>
        <w:rPr>
          <w:i/>
          <w:sz w:val="18"/>
        </w:rPr>
      </w:pPr>
      <w:r w:rsidRPr="00DF120C">
        <w:rPr>
          <w:i/>
          <w:sz w:val="18"/>
        </w:rPr>
        <w:t>Déficit en RAG : ni LT ni LB</w:t>
      </w:r>
    </w:p>
    <w:p w:rsidR="00DF120C" w:rsidRPr="00DF120C" w:rsidRDefault="00DF120C" w:rsidP="00903A33">
      <w:pPr>
        <w:spacing w:after="0"/>
        <w:jc w:val="both"/>
        <w:rPr>
          <w:i/>
          <w:sz w:val="18"/>
        </w:rPr>
      </w:pPr>
      <w:r w:rsidRPr="00DF120C">
        <w:rPr>
          <w:i/>
          <w:sz w:val="18"/>
        </w:rPr>
        <w:t>Déficit en TAP : pas de CMHI (permet au peptide Ag de passer dans le RE)</w:t>
      </w:r>
    </w:p>
    <w:p w:rsidR="00DF120C" w:rsidRDefault="00DF120C" w:rsidP="00903A33">
      <w:pPr>
        <w:spacing w:after="0"/>
        <w:jc w:val="both"/>
      </w:pPr>
    </w:p>
    <w:p w:rsidR="00903A33" w:rsidRDefault="00903A33" w:rsidP="00903A33">
      <w:pPr>
        <w:spacing w:after="0"/>
        <w:jc w:val="both"/>
      </w:pPr>
    </w:p>
    <w:p w:rsidR="00903A33" w:rsidRDefault="00903A33" w:rsidP="00903A33">
      <w:pPr>
        <w:pStyle w:val="Paragraphedeliste"/>
        <w:numPr>
          <w:ilvl w:val="0"/>
          <w:numId w:val="1"/>
        </w:numPr>
        <w:spacing w:after="0"/>
        <w:jc w:val="both"/>
        <w:rPr>
          <w:b/>
          <w:color w:val="0000FF"/>
        </w:rPr>
      </w:pPr>
      <w:r>
        <w:rPr>
          <w:b/>
          <w:color w:val="0000FF"/>
        </w:rPr>
        <w:t xml:space="preserve">LT </w:t>
      </w:r>
      <w:proofErr w:type="spellStart"/>
      <w:r>
        <w:rPr>
          <w:rFonts w:cstheme="minorHAnsi"/>
          <w:b/>
          <w:color w:val="0000FF"/>
        </w:rPr>
        <w:t>γδ</w:t>
      </w:r>
      <w:proofErr w:type="spellEnd"/>
    </w:p>
    <w:p w:rsidR="00903A33" w:rsidRDefault="00903A33" w:rsidP="00903A33">
      <w:pPr>
        <w:spacing w:after="0"/>
        <w:jc w:val="both"/>
      </w:pPr>
    </w:p>
    <w:p w:rsidR="00903A33" w:rsidRPr="00903A33" w:rsidRDefault="00903A33" w:rsidP="00903A33">
      <w:pPr>
        <w:spacing w:after="0"/>
        <w:jc w:val="both"/>
        <w:rPr>
          <w:b/>
          <w:color w:val="0000FF"/>
        </w:rPr>
      </w:pPr>
      <w:r>
        <w:t xml:space="preserve">Tout ce qu’on a vu concerne essentiellement le LT </w:t>
      </w:r>
      <w:r>
        <w:rPr>
          <w:rFonts w:cstheme="minorHAnsi"/>
        </w:rPr>
        <w:t>αβ</w:t>
      </w:r>
      <w:r>
        <w:t xml:space="preserve"> qui est une lignée cellulaire différente. </w:t>
      </w:r>
      <w:r w:rsidR="00DF120C">
        <w:t xml:space="preserve">Les </w:t>
      </w:r>
      <w:proofErr w:type="spellStart"/>
      <w:r w:rsidR="00DF120C">
        <w:t>LT</w:t>
      </w:r>
      <w:r w:rsidR="00DF120C">
        <w:rPr>
          <w:rFonts w:cstheme="minorHAnsi"/>
        </w:rPr>
        <w:t>γδ</w:t>
      </w:r>
      <w:proofErr w:type="spellEnd"/>
      <w:r w:rsidR="00DF120C">
        <w:rPr>
          <w:rFonts w:cstheme="minorHAnsi"/>
        </w:rPr>
        <w:t xml:space="preserve"> ont une diversité moindre sur leur </w:t>
      </w:r>
      <w:proofErr w:type="spellStart"/>
      <w:r w:rsidR="00DF120C">
        <w:rPr>
          <w:rFonts w:cstheme="minorHAnsi"/>
        </w:rPr>
        <w:t>rcpt</w:t>
      </w:r>
      <w:proofErr w:type="spellEnd"/>
      <w:r w:rsidR="00DF120C">
        <w:rPr>
          <w:rFonts w:cstheme="minorHAnsi"/>
        </w:rPr>
        <w:t xml:space="preserve"> et passent à côté de la sélection thymique. Leur TCR n’exprimera ni CD4 ni CD8 mais CD3, il y a une </w:t>
      </w:r>
      <w:proofErr w:type="spellStart"/>
      <w:r w:rsidR="00DF120C">
        <w:rPr>
          <w:rFonts w:cstheme="minorHAnsi"/>
        </w:rPr>
        <w:t>recnss</w:t>
      </w:r>
      <w:proofErr w:type="spellEnd"/>
      <w:r w:rsidR="00DF120C">
        <w:rPr>
          <w:rFonts w:cstheme="minorHAnsi"/>
        </w:rPr>
        <w:t xml:space="preserve"> directe de l’Ag sans passer par CMH. Ils sont peu </w:t>
      </w:r>
      <w:proofErr w:type="spellStart"/>
      <w:r w:rsidR="00DF120C">
        <w:rPr>
          <w:rFonts w:cstheme="minorHAnsi"/>
        </w:rPr>
        <w:t>nbx</w:t>
      </w:r>
      <w:proofErr w:type="spellEnd"/>
      <w:r w:rsidR="00DF120C">
        <w:rPr>
          <w:rFonts w:cstheme="minorHAnsi"/>
        </w:rPr>
        <w:t xml:space="preserve"> dans le sang et les organes lymphoïdes mais majoritaires au </w:t>
      </w:r>
      <w:proofErr w:type="spellStart"/>
      <w:r w:rsidR="00DF120C">
        <w:rPr>
          <w:rFonts w:cstheme="minorHAnsi"/>
        </w:rPr>
        <w:t>niv</w:t>
      </w:r>
      <w:proofErr w:type="spellEnd"/>
      <w:r w:rsidR="00DF120C">
        <w:rPr>
          <w:rFonts w:cstheme="minorHAnsi"/>
        </w:rPr>
        <w:t xml:space="preserve"> des </w:t>
      </w:r>
      <w:proofErr w:type="gramStart"/>
      <w:r w:rsidR="00DF120C">
        <w:rPr>
          <w:rFonts w:cstheme="minorHAnsi"/>
        </w:rPr>
        <w:t>épithélium</w:t>
      </w:r>
      <w:proofErr w:type="gramEnd"/>
      <w:r w:rsidR="00DF120C">
        <w:rPr>
          <w:rFonts w:cstheme="minorHAnsi"/>
        </w:rPr>
        <w:t xml:space="preserve">. Leur </w:t>
      </w:r>
      <w:proofErr w:type="spellStart"/>
      <w:r w:rsidR="00DF120C">
        <w:rPr>
          <w:rFonts w:cstheme="minorHAnsi"/>
        </w:rPr>
        <w:t>fct</w:t>
      </w:r>
      <w:proofErr w:type="spellEnd"/>
      <w:r w:rsidR="00DF120C">
        <w:rPr>
          <w:rFonts w:cstheme="minorHAnsi"/>
        </w:rPr>
        <w:t xml:space="preserve"> est inconnue.</w:t>
      </w:r>
    </w:p>
    <w:sectPr w:rsidR="00903A33" w:rsidRPr="00903A33">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37D" w:rsidRDefault="0012637D" w:rsidP="00D547F6">
      <w:pPr>
        <w:spacing w:after="0" w:line="240" w:lineRule="auto"/>
      </w:pPr>
      <w:r>
        <w:separator/>
      </w:r>
    </w:p>
  </w:endnote>
  <w:endnote w:type="continuationSeparator" w:id="0">
    <w:p w:rsidR="0012637D" w:rsidRDefault="0012637D" w:rsidP="00D54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900989"/>
      <w:docPartObj>
        <w:docPartGallery w:val="Page Numbers (Bottom of Page)"/>
        <w:docPartUnique/>
      </w:docPartObj>
    </w:sdtPr>
    <w:sdtContent>
      <w:p w:rsidR="00903A33" w:rsidRDefault="00903A33">
        <w:pPr>
          <w:pStyle w:val="Pieddepage"/>
          <w:jc w:val="right"/>
        </w:pPr>
        <w:r>
          <w:fldChar w:fldCharType="begin"/>
        </w:r>
        <w:r>
          <w:instrText>PAGE   \* MERGEFORMAT</w:instrText>
        </w:r>
        <w:r>
          <w:fldChar w:fldCharType="separate"/>
        </w:r>
        <w:r w:rsidR="00DF120C">
          <w:rPr>
            <w:noProof/>
          </w:rPr>
          <w:t>6</w:t>
        </w:r>
        <w:r>
          <w:fldChar w:fldCharType="end"/>
        </w:r>
      </w:p>
    </w:sdtContent>
  </w:sdt>
  <w:p w:rsidR="00903A33" w:rsidRDefault="00903A3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37D" w:rsidRDefault="0012637D" w:rsidP="00D547F6">
      <w:pPr>
        <w:spacing w:after="0" w:line="240" w:lineRule="auto"/>
      </w:pPr>
      <w:r>
        <w:separator/>
      </w:r>
    </w:p>
  </w:footnote>
  <w:footnote w:type="continuationSeparator" w:id="0">
    <w:p w:rsidR="0012637D" w:rsidRDefault="0012637D" w:rsidP="00D54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C5431"/>
    <w:multiLevelType w:val="hybridMultilevel"/>
    <w:tmpl w:val="33D2781E"/>
    <w:lvl w:ilvl="0" w:tplc="7BC499BC">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F0D24BC"/>
    <w:multiLevelType w:val="hybridMultilevel"/>
    <w:tmpl w:val="1040D17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E261E48"/>
    <w:multiLevelType w:val="hybridMultilevel"/>
    <w:tmpl w:val="1FAEA884"/>
    <w:lvl w:ilvl="0" w:tplc="AE1A8EB4">
      <w:start w:val="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5CE6DEA"/>
    <w:multiLevelType w:val="hybridMultilevel"/>
    <w:tmpl w:val="2696A9C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CE27B8A"/>
    <w:multiLevelType w:val="hybridMultilevel"/>
    <w:tmpl w:val="C624C9F2"/>
    <w:lvl w:ilvl="0" w:tplc="959279F2">
      <w:start w:val="1"/>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7F6"/>
    <w:rsid w:val="00012D20"/>
    <w:rsid w:val="000B6ADF"/>
    <w:rsid w:val="000F53EA"/>
    <w:rsid w:val="001056F9"/>
    <w:rsid w:val="0012637D"/>
    <w:rsid w:val="0019685F"/>
    <w:rsid w:val="00253368"/>
    <w:rsid w:val="002E39C3"/>
    <w:rsid w:val="00301323"/>
    <w:rsid w:val="00322FD9"/>
    <w:rsid w:val="00341BFF"/>
    <w:rsid w:val="003A4EAC"/>
    <w:rsid w:val="003D1924"/>
    <w:rsid w:val="00411468"/>
    <w:rsid w:val="00495F55"/>
    <w:rsid w:val="004B4B7F"/>
    <w:rsid w:val="004F7A7D"/>
    <w:rsid w:val="00506901"/>
    <w:rsid w:val="005805BF"/>
    <w:rsid w:val="00587822"/>
    <w:rsid w:val="00694589"/>
    <w:rsid w:val="00726111"/>
    <w:rsid w:val="007A0EDE"/>
    <w:rsid w:val="007C201C"/>
    <w:rsid w:val="0084252D"/>
    <w:rsid w:val="00853B29"/>
    <w:rsid w:val="008D04B1"/>
    <w:rsid w:val="008E3EAC"/>
    <w:rsid w:val="008F2438"/>
    <w:rsid w:val="009002BA"/>
    <w:rsid w:val="00903A33"/>
    <w:rsid w:val="00916BE8"/>
    <w:rsid w:val="00925D65"/>
    <w:rsid w:val="0093326A"/>
    <w:rsid w:val="00953310"/>
    <w:rsid w:val="009D187F"/>
    <w:rsid w:val="00A10E6E"/>
    <w:rsid w:val="00A26E85"/>
    <w:rsid w:val="00A35BD2"/>
    <w:rsid w:val="00AE7A8C"/>
    <w:rsid w:val="00B01901"/>
    <w:rsid w:val="00C07F9B"/>
    <w:rsid w:val="00C445FC"/>
    <w:rsid w:val="00D12635"/>
    <w:rsid w:val="00D221FE"/>
    <w:rsid w:val="00D547F6"/>
    <w:rsid w:val="00DE1457"/>
    <w:rsid w:val="00DE2A5D"/>
    <w:rsid w:val="00DE7870"/>
    <w:rsid w:val="00DF120C"/>
    <w:rsid w:val="00ED10A7"/>
    <w:rsid w:val="00FA4174"/>
    <w:rsid w:val="00FC20FD"/>
    <w:rsid w:val="00FC7599"/>
    <w:rsid w:val="00FF64D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3">
    <w:name w:val="heading 3"/>
    <w:basedOn w:val="Normal"/>
    <w:link w:val="Titre3Car"/>
    <w:uiPriority w:val="9"/>
    <w:qFormat/>
    <w:rsid w:val="00FC20FD"/>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547F6"/>
    <w:pPr>
      <w:tabs>
        <w:tab w:val="center" w:pos="4536"/>
        <w:tab w:val="right" w:pos="9072"/>
      </w:tabs>
      <w:spacing w:after="0" w:line="240" w:lineRule="auto"/>
    </w:pPr>
  </w:style>
  <w:style w:type="character" w:customStyle="1" w:styleId="En-tteCar">
    <w:name w:val="En-tête Car"/>
    <w:basedOn w:val="Policepardfaut"/>
    <w:link w:val="En-tte"/>
    <w:uiPriority w:val="99"/>
    <w:rsid w:val="00D547F6"/>
  </w:style>
  <w:style w:type="paragraph" w:styleId="Pieddepage">
    <w:name w:val="footer"/>
    <w:basedOn w:val="Normal"/>
    <w:link w:val="PieddepageCar"/>
    <w:uiPriority w:val="99"/>
    <w:unhideWhenUsed/>
    <w:rsid w:val="00D547F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547F6"/>
  </w:style>
  <w:style w:type="paragraph" w:styleId="Textedebulles">
    <w:name w:val="Balloon Text"/>
    <w:basedOn w:val="Normal"/>
    <w:link w:val="TextedebullesCar"/>
    <w:uiPriority w:val="99"/>
    <w:semiHidden/>
    <w:unhideWhenUsed/>
    <w:rsid w:val="00D547F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547F6"/>
    <w:rPr>
      <w:rFonts w:ascii="Tahoma" w:hAnsi="Tahoma" w:cs="Tahoma"/>
      <w:sz w:val="16"/>
      <w:szCs w:val="16"/>
    </w:rPr>
  </w:style>
  <w:style w:type="paragraph" w:styleId="Paragraphedeliste">
    <w:name w:val="List Paragraph"/>
    <w:basedOn w:val="Normal"/>
    <w:uiPriority w:val="34"/>
    <w:qFormat/>
    <w:rsid w:val="00D547F6"/>
    <w:pPr>
      <w:ind w:left="720"/>
      <w:contextualSpacing/>
    </w:pPr>
  </w:style>
  <w:style w:type="character" w:styleId="Textedelespacerserv">
    <w:name w:val="Placeholder Text"/>
    <w:basedOn w:val="Policepardfaut"/>
    <w:uiPriority w:val="99"/>
    <w:semiHidden/>
    <w:rsid w:val="000F53EA"/>
    <w:rPr>
      <w:color w:val="808080"/>
    </w:rPr>
  </w:style>
  <w:style w:type="character" w:customStyle="1" w:styleId="Titre3Car">
    <w:name w:val="Titre 3 Car"/>
    <w:basedOn w:val="Policepardfaut"/>
    <w:link w:val="Titre3"/>
    <w:uiPriority w:val="9"/>
    <w:rsid w:val="00FC20FD"/>
    <w:rPr>
      <w:rFonts w:ascii="Times New Roman" w:eastAsia="Times New Roman" w:hAnsi="Times New Roman" w:cs="Times New Roman"/>
      <w:b/>
      <w:bCs/>
      <w:sz w:val="27"/>
      <w:szCs w:val="27"/>
      <w:lang w:eastAsia="fr-FR"/>
    </w:rPr>
  </w:style>
  <w:style w:type="character" w:customStyle="1" w:styleId="mw-headline">
    <w:name w:val="mw-headline"/>
    <w:basedOn w:val="Policepardfaut"/>
    <w:rsid w:val="00FC20FD"/>
  </w:style>
  <w:style w:type="character" w:customStyle="1" w:styleId="editsection">
    <w:name w:val="editsection"/>
    <w:basedOn w:val="Policepardfaut"/>
    <w:rsid w:val="00FC20FD"/>
  </w:style>
  <w:style w:type="character" w:styleId="Lienhypertexte">
    <w:name w:val="Hyperlink"/>
    <w:basedOn w:val="Policepardfaut"/>
    <w:uiPriority w:val="99"/>
    <w:semiHidden/>
    <w:unhideWhenUsed/>
    <w:rsid w:val="00FC20FD"/>
    <w:rPr>
      <w:color w:val="0000FF"/>
      <w:u w:val="single"/>
    </w:rPr>
  </w:style>
  <w:style w:type="paragraph" w:styleId="NormalWeb">
    <w:name w:val="Normal (Web)"/>
    <w:basedOn w:val="Normal"/>
    <w:uiPriority w:val="99"/>
    <w:semiHidden/>
    <w:unhideWhenUsed/>
    <w:rsid w:val="00FC20FD"/>
    <w:pPr>
      <w:spacing w:before="100" w:beforeAutospacing="1" w:after="100" w:afterAutospacing="1" w:line="240" w:lineRule="auto"/>
    </w:pPr>
    <w:rPr>
      <w:rFonts w:ascii="Times New Roman" w:eastAsia="Times New Roman" w:hAnsi="Times New Roman" w:cs="Times New Roman"/>
      <w:sz w:val="24"/>
      <w:szCs w:val="24"/>
      <w:lang w:eastAsia="fr-FR"/>
    </w:rPr>
  </w:style>
  <w:style w:type="table" w:styleId="Grilledutableau">
    <w:name w:val="Table Grid"/>
    <w:basedOn w:val="TableauNormal"/>
    <w:uiPriority w:val="59"/>
    <w:rsid w:val="009002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3">
    <w:name w:val="heading 3"/>
    <w:basedOn w:val="Normal"/>
    <w:link w:val="Titre3Car"/>
    <w:uiPriority w:val="9"/>
    <w:qFormat/>
    <w:rsid w:val="00FC20FD"/>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547F6"/>
    <w:pPr>
      <w:tabs>
        <w:tab w:val="center" w:pos="4536"/>
        <w:tab w:val="right" w:pos="9072"/>
      </w:tabs>
      <w:spacing w:after="0" w:line="240" w:lineRule="auto"/>
    </w:pPr>
  </w:style>
  <w:style w:type="character" w:customStyle="1" w:styleId="En-tteCar">
    <w:name w:val="En-tête Car"/>
    <w:basedOn w:val="Policepardfaut"/>
    <w:link w:val="En-tte"/>
    <w:uiPriority w:val="99"/>
    <w:rsid w:val="00D547F6"/>
  </w:style>
  <w:style w:type="paragraph" w:styleId="Pieddepage">
    <w:name w:val="footer"/>
    <w:basedOn w:val="Normal"/>
    <w:link w:val="PieddepageCar"/>
    <w:uiPriority w:val="99"/>
    <w:unhideWhenUsed/>
    <w:rsid w:val="00D547F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547F6"/>
  </w:style>
  <w:style w:type="paragraph" w:styleId="Textedebulles">
    <w:name w:val="Balloon Text"/>
    <w:basedOn w:val="Normal"/>
    <w:link w:val="TextedebullesCar"/>
    <w:uiPriority w:val="99"/>
    <w:semiHidden/>
    <w:unhideWhenUsed/>
    <w:rsid w:val="00D547F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547F6"/>
    <w:rPr>
      <w:rFonts w:ascii="Tahoma" w:hAnsi="Tahoma" w:cs="Tahoma"/>
      <w:sz w:val="16"/>
      <w:szCs w:val="16"/>
    </w:rPr>
  </w:style>
  <w:style w:type="paragraph" w:styleId="Paragraphedeliste">
    <w:name w:val="List Paragraph"/>
    <w:basedOn w:val="Normal"/>
    <w:uiPriority w:val="34"/>
    <w:qFormat/>
    <w:rsid w:val="00D547F6"/>
    <w:pPr>
      <w:ind w:left="720"/>
      <w:contextualSpacing/>
    </w:pPr>
  </w:style>
  <w:style w:type="character" w:styleId="Textedelespacerserv">
    <w:name w:val="Placeholder Text"/>
    <w:basedOn w:val="Policepardfaut"/>
    <w:uiPriority w:val="99"/>
    <w:semiHidden/>
    <w:rsid w:val="000F53EA"/>
    <w:rPr>
      <w:color w:val="808080"/>
    </w:rPr>
  </w:style>
  <w:style w:type="character" w:customStyle="1" w:styleId="Titre3Car">
    <w:name w:val="Titre 3 Car"/>
    <w:basedOn w:val="Policepardfaut"/>
    <w:link w:val="Titre3"/>
    <w:uiPriority w:val="9"/>
    <w:rsid w:val="00FC20FD"/>
    <w:rPr>
      <w:rFonts w:ascii="Times New Roman" w:eastAsia="Times New Roman" w:hAnsi="Times New Roman" w:cs="Times New Roman"/>
      <w:b/>
      <w:bCs/>
      <w:sz w:val="27"/>
      <w:szCs w:val="27"/>
      <w:lang w:eastAsia="fr-FR"/>
    </w:rPr>
  </w:style>
  <w:style w:type="character" w:customStyle="1" w:styleId="mw-headline">
    <w:name w:val="mw-headline"/>
    <w:basedOn w:val="Policepardfaut"/>
    <w:rsid w:val="00FC20FD"/>
  </w:style>
  <w:style w:type="character" w:customStyle="1" w:styleId="editsection">
    <w:name w:val="editsection"/>
    <w:basedOn w:val="Policepardfaut"/>
    <w:rsid w:val="00FC20FD"/>
  </w:style>
  <w:style w:type="character" w:styleId="Lienhypertexte">
    <w:name w:val="Hyperlink"/>
    <w:basedOn w:val="Policepardfaut"/>
    <w:uiPriority w:val="99"/>
    <w:semiHidden/>
    <w:unhideWhenUsed/>
    <w:rsid w:val="00FC20FD"/>
    <w:rPr>
      <w:color w:val="0000FF"/>
      <w:u w:val="single"/>
    </w:rPr>
  </w:style>
  <w:style w:type="paragraph" w:styleId="NormalWeb">
    <w:name w:val="Normal (Web)"/>
    <w:basedOn w:val="Normal"/>
    <w:uiPriority w:val="99"/>
    <w:semiHidden/>
    <w:unhideWhenUsed/>
    <w:rsid w:val="00FC20FD"/>
    <w:pPr>
      <w:spacing w:before="100" w:beforeAutospacing="1" w:after="100" w:afterAutospacing="1" w:line="240" w:lineRule="auto"/>
    </w:pPr>
    <w:rPr>
      <w:rFonts w:ascii="Times New Roman" w:eastAsia="Times New Roman" w:hAnsi="Times New Roman" w:cs="Times New Roman"/>
      <w:sz w:val="24"/>
      <w:szCs w:val="24"/>
      <w:lang w:eastAsia="fr-FR"/>
    </w:rPr>
  </w:style>
  <w:style w:type="table" w:styleId="Grilledutableau">
    <w:name w:val="Table Grid"/>
    <w:basedOn w:val="TableauNormal"/>
    <w:uiPriority w:val="59"/>
    <w:rsid w:val="009002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543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emf"/><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6</Pages>
  <Words>1732</Words>
  <Characters>9527</Characters>
  <Application>Microsoft Office Word</Application>
  <DocSecurity>0</DocSecurity>
  <Lines>79</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c:creator>
  <cp:lastModifiedBy>ju</cp:lastModifiedBy>
  <cp:revision>27</cp:revision>
  <dcterms:created xsi:type="dcterms:W3CDTF">2011-11-17T15:17:00Z</dcterms:created>
  <dcterms:modified xsi:type="dcterms:W3CDTF">2011-11-30T11:00:00Z</dcterms:modified>
</cp:coreProperties>
</file>