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67A" w:rsidRDefault="004D467A" w:rsidP="004D467A">
      <w:pPr>
        <w:spacing w:after="0"/>
        <w:jc w:val="center"/>
        <w:rPr>
          <w:b/>
        </w:rPr>
      </w:pPr>
      <w:r>
        <w:rPr>
          <w:b/>
        </w:rPr>
        <w:t>ANTICORPS MONOCLONAUX</w:t>
      </w:r>
    </w:p>
    <w:p w:rsidR="004D467A" w:rsidRDefault="004D467A" w:rsidP="004D467A">
      <w:pPr>
        <w:spacing w:after="0"/>
        <w:jc w:val="both"/>
      </w:pPr>
    </w:p>
    <w:p w:rsidR="004D467A" w:rsidRDefault="004D467A" w:rsidP="004D467A">
      <w:pPr>
        <w:spacing w:after="0"/>
        <w:jc w:val="both"/>
      </w:pPr>
      <w:r>
        <w:rPr>
          <w:b/>
          <w:color w:val="FF0000"/>
        </w:rPr>
        <w:t>Définitions : </w:t>
      </w:r>
      <w:r>
        <w:t xml:space="preserve"> </w:t>
      </w:r>
    </w:p>
    <w:p w:rsidR="004D467A" w:rsidRDefault="004D467A" w:rsidP="004D467A">
      <w:pPr>
        <w:pStyle w:val="Paragraphedeliste"/>
        <w:numPr>
          <w:ilvl w:val="0"/>
          <w:numId w:val="2"/>
        </w:numPr>
        <w:spacing w:after="0"/>
        <w:jc w:val="both"/>
      </w:pPr>
      <w:r w:rsidRPr="004D467A">
        <w:rPr>
          <w:b/>
        </w:rPr>
        <w:t>AC</w:t>
      </w:r>
      <w:r>
        <w:t xml:space="preserve"> </w:t>
      </w:r>
      <w:r w:rsidRPr="004D467A">
        <w:rPr>
          <w:b/>
        </w:rPr>
        <w:t>monoclonaux</w:t>
      </w:r>
      <w:r>
        <w:t xml:space="preserve"> = </w:t>
      </w:r>
      <w:hyperlink r:id="rId8" w:tooltip="Anticorps" w:history="1">
        <w:r w:rsidRPr="004D467A">
          <w:rPr>
            <w:rStyle w:val="Lienhypertexte"/>
            <w:color w:val="auto"/>
            <w:u w:val="none"/>
          </w:rPr>
          <w:t>anticorps</w:t>
        </w:r>
      </w:hyperlink>
      <w:r w:rsidRPr="004D467A">
        <w:t xml:space="preserve"> reconnaissant le même </w:t>
      </w:r>
      <w:hyperlink r:id="rId9" w:tooltip="Épitope" w:history="1">
        <w:r w:rsidRPr="004D467A">
          <w:rPr>
            <w:rStyle w:val="Lienhypertexte"/>
            <w:b/>
            <w:color w:val="auto"/>
            <w:u w:val="none"/>
          </w:rPr>
          <w:t>épitope</w:t>
        </w:r>
      </w:hyperlink>
      <w:r w:rsidRPr="004D467A">
        <w:t xml:space="preserve"> car ils sont issus d'une seule lignée de </w:t>
      </w:r>
      <w:hyperlink r:id="rId10" w:tooltip="Plasmocyte" w:history="1">
        <w:r w:rsidRPr="004D467A">
          <w:rPr>
            <w:rStyle w:val="Lienhypertexte"/>
            <w:color w:val="auto"/>
            <w:u w:val="none"/>
          </w:rPr>
          <w:t>plasmocytes</w:t>
        </w:r>
      </w:hyperlink>
      <w:r w:rsidRPr="004D467A">
        <w:t xml:space="preserve">, provenant d'une seule </w:t>
      </w:r>
      <w:hyperlink r:id="rId11" w:tooltip="Cellule (biologie)" w:history="1">
        <w:r w:rsidRPr="004D467A">
          <w:rPr>
            <w:rStyle w:val="Lienhypertexte"/>
            <w:color w:val="auto"/>
            <w:u w:val="none"/>
          </w:rPr>
          <w:t>cellule</w:t>
        </w:r>
      </w:hyperlink>
      <w:r w:rsidRPr="004D467A">
        <w:t>.</w:t>
      </w:r>
    </w:p>
    <w:p w:rsidR="004D467A" w:rsidRDefault="004D467A" w:rsidP="004D467A">
      <w:pPr>
        <w:pStyle w:val="Paragraphedeliste"/>
        <w:numPr>
          <w:ilvl w:val="0"/>
          <w:numId w:val="2"/>
        </w:numPr>
        <w:spacing w:after="0"/>
        <w:jc w:val="both"/>
      </w:pPr>
      <w:r w:rsidRPr="004D467A">
        <w:rPr>
          <w:b/>
        </w:rPr>
        <w:t>Epitope</w:t>
      </w:r>
      <w:r>
        <w:t xml:space="preserve"> =</w:t>
      </w:r>
      <w:r>
        <w:rPr>
          <w:b/>
        </w:rPr>
        <w:t xml:space="preserve"> déterminant antigénique </w:t>
      </w:r>
      <w:r>
        <w:t xml:space="preserve">: molécule pouvant être reconnue par un </w:t>
      </w:r>
      <w:r w:rsidRPr="004D467A">
        <w:rPr>
          <w:b/>
        </w:rPr>
        <w:t>paratope</w:t>
      </w:r>
      <w:r>
        <w:t xml:space="preserve"> (</w:t>
      </w:r>
      <w:r w:rsidRPr="004D467A">
        <w:t xml:space="preserve">partie variable d'un </w:t>
      </w:r>
      <w:hyperlink r:id="rId12" w:tooltip="Anticorps" w:history="1">
        <w:r>
          <w:rPr>
            <w:rStyle w:val="Lienhypertexte"/>
            <w:color w:val="auto"/>
            <w:u w:val="none"/>
          </w:rPr>
          <w:t>AC</w:t>
        </w:r>
      </w:hyperlink>
      <w:r>
        <w:t xml:space="preserve"> ou de</w:t>
      </w:r>
      <w:r w:rsidRPr="004D467A">
        <w:t xml:space="preserve"> </w:t>
      </w:r>
      <w:hyperlink r:id="rId13" w:tooltip="Récepteur des cellules T" w:history="1">
        <w:r w:rsidRPr="004D467A">
          <w:rPr>
            <w:rStyle w:val="Lienhypertexte"/>
            <w:color w:val="auto"/>
            <w:u w:val="none"/>
          </w:rPr>
          <w:t>TCR</w:t>
        </w:r>
      </w:hyperlink>
      <w:r w:rsidRPr="004D467A">
        <w:t>), pour déterminer si elle app</w:t>
      </w:r>
      <w:r>
        <w:t xml:space="preserve">artient au domaine du soi ou </w:t>
      </w:r>
      <w:r w:rsidRPr="004D467A">
        <w:t>du non-soi.</w:t>
      </w:r>
      <w:r w:rsidR="00FE0726">
        <w:t xml:space="preserve"> Un Ag possède en général plusieurs épitopes différents chacun ayant un site de liaison aux AC.</w:t>
      </w:r>
    </w:p>
    <w:p w:rsidR="00FE0726" w:rsidRDefault="00FE0726" w:rsidP="004D467A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/>
          <w:bCs/>
        </w:rPr>
        <w:t>AC polyclonaux</w:t>
      </w:r>
      <w:r>
        <w:t xml:space="preserve"> sont un mélange d’AC reconnaissant différents </w:t>
      </w:r>
      <w:hyperlink r:id="rId14" w:tooltip="Épitope" w:history="1">
        <w:r w:rsidRPr="00FE0726">
          <w:rPr>
            <w:rStyle w:val="Lienhypertexte"/>
            <w:color w:val="auto"/>
            <w:u w:val="none"/>
          </w:rPr>
          <w:t>épitopes</w:t>
        </w:r>
      </w:hyperlink>
      <w:r>
        <w:t xml:space="preserve"> sur un Ag donné, chaque idiotype étant sécrété par un clone de plasmocyte différent. Au cours de la RI, l’organisme synthétise des AC dirigés contre plu épitopes d'un Ag : réponse polyclonale. </w:t>
      </w:r>
    </w:p>
    <w:p w:rsidR="00FE0726" w:rsidRDefault="00FE0726" w:rsidP="004D467A">
      <w:pPr>
        <w:spacing w:after="0"/>
        <w:jc w:val="both"/>
      </w:pPr>
    </w:p>
    <w:p w:rsidR="004D467A" w:rsidRDefault="004D467A" w:rsidP="004D467A">
      <w:pPr>
        <w:spacing w:after="0"/>
        <w:jc w:val="both"/>
        <w:rPr>
          <w:b/>
        </w:rPr>
      </w:pPr>
      <w:r>
        <w:t xml:space="preserve">/!\ Lors de la RI spé normale on n’a pas de production d’AC monoclonaux !!!! C’est pathologique chez l’Homme. La RIspé est une réponse </w:t>
      </w:r>
      <w:r>
        <w:rPr>
          <w:b/>
        </w:rPr>
        <w:t>polyclonale !!!</w:t>
      </w:r>
      <w:r w:rsidR="00FE0726" w:rsidRPr="00FE0726">
        <w:t xml:space="preserve"> </w:t>
      </w:r>
      <w:r w:rsidR="00FE0726">
        <w:t xml:space="preserve">Sauf cas exceptionnels comme la </w:t>
      </w:r>
      <w:hyperlink r:id="rId15" w:tooltip="Vaccination" w:history="1">
        <w:r w:rsidR="00FE0726" w:rsidRPr="00FE0726">
          <w:rPr>
            <w:rStyle w:val="Lienhypertexte"/>
            <w:color w:val="auto"/>
            <w:u w:val="none"/>
          </w:rPr>
          <w:t>vaccination</w:t>
        </w:r>
      </w:hyperlink>
      <w:r w:rsidR="00FE0726">
        <w:t xml:space="preserve"> : </w:t>
      </w:r>
      <w:r w:rsidR="00FE0726">
        <w:rPr>
          <w:b/>
          <w:bCs/>
        </w:rPr>
        <w:t>ACP monospécifique</w:t>
      </w:r>
      <w:r w:rsidR="00FE0726">
        <w:t xml:space="preserve"> = AC qui reconnaît différents épitopes du même Ag.</w:t>
      </w:r>
    </w:p>
    <w:p w:rsidR="004D467A" w:rsidRDefault="004D467A" w:rsidP="004D467A">
      <w:pPr>
        <w:spacing w:after="0"/>
        <w:jc w:val="both"/>
        <w:rPr>
          <w:b/>
        </w:rPr>
      </w:pPr>
    </w:p>
    <w:p w:rsidR="004D467A" w:rsidRDefault="004D467A" w:rsidP="004D467A">
      <w:pPr>
        <w:spacing w:after="0"/>
        <w:jc w:val="both"/>
      </w:pPr>
      <w:r>
        <w:t>But : avoir des outils immunologiques reconnaissant spécifiquement un Ag =&gt; quantifier des molécules</w:t>
      </w:r>
    </w:p>
    <w:p w:rsidR="00FE0726" w:rsidRPr="004D467A" w:rsidRDefault="00FE0726" w:rsidP="004D467A">
      <w:pPr>
        <w:spacing w:after="0"/>
        <w:jc w:val="both"/>
      </w:pPr>
    </w:p>
    <w:p w:rsidR="004D467A" w:rsidRDefault="004D467A" w:rsidP="004D467A">
      <w:pPr>
        <w:spacing w:after="0"/>
        <w:jc w:val="both"/>
        <w:rPr>
          <w:color w:val="FF0000"/>
        </w:rPr>
      </w:pPr>
      <w:r>
        <w:rPr>
          <w:b/>
          <w:color w:val="FF0000"/>
        </w:rPr>
        <w:t>Production</w:t>
      </w:r>
      <w:r w:rsidR="00FE0726">
        <w:rPr>
          <w:b/>
          <w:color w:val="FF0000"/>
        </w:rPr>
        <w:t> :</w:t>
      </w:r>
    </w:p>
    <w:p w:rsidR="002D5199" w:rsidRDefault="002D5199" w:rsidP="004D467A">
      <w:pPr>
        <w:spacing w:after="0"/>
        <w:jc w:val="both"/>
      </w:pPr>
      <w:r w:rsidRPr="00550704">
        <w:rPr>
          <w:sz w:val="18"/>
        </w:rPr>
        <w:t xml:space="preserve">Produire des ACM </w:t>
      </w:r>
      <w:r w:rsidRPr="00550704">
        <w:rPr>
          <w:i/>
          <w:iCs/>
          <w:sz w:val="18"/>
        </w:rPr>
        <w:t>in vitro</w:t>
      </w:r>
      <w:r w:rsidRPr="00550704">
        <w:rPr>
          <w:sz w:val="18"/>
        </w:rPr>
        <w:t xml:space="preserve"> a </w:t>
      </w:r>
      <w:r w:rsidR="00550704">
        <w:rPr>
          <w:sz w:val="18"/>
        </w:rPr>
        <w:t>lgtp</w:t>
      </w:r>
      <w:r w:rsidRPr="00550704">
        <w:rPr>
          <w:sz w:val="18"/>
        </w:rPr>
        <w:t xml:space="preserve"> été difficile, en raison de la faible durée de vie des plasmocytes. Les AC étaient obtenus </w:t>
      </w:r>
      <w:r w:rsidRPr="00550704">
        <w:rPr>
          <w:i/>
          <w:iCs/>
          <w:sz w:val="18"/>
        </w:rPr>
        <w:t>in vivo</w:t>
      </w:r>
      <w:r w:rsidRPr="00550704">
        <w:rPr>
          <w:sz w:val="18"/>
        </w:rPr>
        <w:t xml:space="preserve"> en injectant chez l'animal un Ag donné et en recueillant les AC</w:t>
      </w:r>
      <w:r w:rsidR="00550704">
        <w:rPr>
          <w:sz w:val="18"/>
        </w:rPr>
        <w:t xml:space="preserve"> d</w:t>
      </w:r>
      <w:r w:rsidRPr="00550704">
        <w:rPr>
          <w:sz w:val="18"/>
        </w:rPr>
        <w:t xml:space="preserve">s son sang : méthode coûteuse </w:t>
      </w:r>
      <w:r w:rsidR="00550704" w:rsidRPr="00550704">
        <w:rPr>
          <w:sz w:val="18"/>
        </w:rPr>
        <w:t>à</w:t>
      </w:r>
      <w:r w:rsidRPr="00550704">
        <w:rPr>
          <w:sz w:val="18"/>
        </w:rPr>
        <w:t xml:space="preserve"> faible quantité </w:t>
      </w:r>
      <w:r w:rsidR="00550704" w:rsidRPr="00550704">
        <w:rPr>
          <w:sz w:val="18"/>
        </w:rPr>
        <w:t>d’AC</w:t>
      </w:r>
      <w:r w:rsidRPr="00550704">
        <w:rPr>
          <w:sz w:val="18"/>
        </w:rPr>
        <w:t xml:space="preserve">, pollués par de </w:t>
      </w:r>
      <w:r w:rsidR="00550704" w:rsidRPr="00550704">
        <w:rPr>
          <w:sz w:val="18"/>
        </w:rPr>
        <w:t>nbses</w:t>
      </w:r>
      <w:r w:rsidRPr="00550704">
        <w:rPr>
          <w:sz w:val="18"/>
        </w:rPr>
        <w:t xml:space="preserve"> impuretés</w:t>
      </w:r>
      <w:r>
        <w:t>.</w:t>
      </w:r>
    </w:p>
    <w:p w:rsidR="00FE0726" w:rsidRDefault="004D4016" w:rsidP="004D467A">
      <w:pPr>
        <w:spacing w:after="0"/>
        <w:jc w:val="both"/>
      </w:pPr>
      <w:hyperlink r:id="rId16" w:tooltip="Georges Köhler" w:history="1">
        <w:r w:rsidR="00FE0726" w:rsidRPr="00FE0726">
          <w:rPr>
            <w:rStyle w:val="Lienhypertexte"/>
            <w:color w:val="auto"/>
            <w:u w:val="none"/>
          </w:rPr>
          <w:t xml:space="preserve">Georges </w:t>
        </w:r>
        <w:r w:rsidR="00FE0726" w:rsidRPr="00550704">
          <w:rPr>
            <w:rStyle w:val="Lienhypertexte"/>
            <w:b/>
            <w:color w:val="auto"/>
            <w:u w:val="none"/>
          </w:rPr>
          <w:t>Köhler</w:t>
        </w:r>
      </w:hyperlink>
      <w:r w:rsidR="00FE0726" w:rsidRPr="00FE0726">
        <w:t xml:space="preserve"> et </w:t>
      </w:r>
      <w:hyperlink r:id="rId17" w:tooltip="César Milstein" w:history="1">
        <w:r w:rsidR="00FE0726" w:rsidRPr="00FE0726">
          <w:rPr>
            <w:rStyle w:val="Lienhypertexte"/>
            <w:color w:val="auto"/>
            <w:u w:val="none"/>
          </w:rPr>
          <w:t xml:space="preserve">César </w:t>
        </w:r>
        <w:r w:rsidR="00FE0726" w:rsidRPr="00550704">
          <w:rPr>
            <w:rStyle w:val="Lienhypertexte"/>
            <w:b/>
            <w:color w:val="auto"/>
            <w:u w:val="none"/>
          </w:rPr>
          <w:t>Milstein</w:t>
        </w:r>
      </w:hyperlink>
      <w:r w:rsidR="00FE0726" w:rsidRPr="00FE0726">
        <w:t xml:space="preserve"> ont découvert une technique de production d’</w:t>
      </w:r>
      <w:r w:rsidR="0074511E">
        <w:t>ACM pour laquelle ils ont reçu le prix Nobel de médecine en</w:t>
      </w:r>
      <w:r w:rsidR="00FE0726" w:rsidRPr="00FE0726">
        <w:t xml:space="preserve"> 1984.</w:t>
      </w:r>
    </w:p>
    <w:p w:rsidR="00550704" w:rsidRDefault="00550704" w:rsidP="004D467A">
      <w:pPr>
        <w:spacing w:after="0"/>
        <w:jc w:val="both"/>
      </w:pPr>
    </w:p>
    <w:p w:rsidR="0074511E" w:rsidRDefault="0074511E" w:rsidP="004D467A">
      <w:pPr>
        <w:spacing w:after="0"/>
        <w:jc w:val="both"/>
      </w:pPr>
      <w:r>
        <w:t>Principe :</w:t>
      </w:r>
      <w:r w:rsidR="002D5199">
        <w:t xml:space="preserve"> produit d'une fusion e</w:t>
      </w:r>
      <w:r w:rsidR="002D5199" w:rsidRPr="002D5199">
        <w:t xml:space="preserve">ntre un </w:t>
      </w:r>
      <w:hyperlink r:id="rId18" w:tooltip="Lymphocyte B" w:history="1">
        <w:r w:rsidR="002D5199" w:rsidRPr="002D5199">
          <w:rPr>
            <w:rStyle w:val="Lienhypertexte"/>
            <w:color w:val="auto"/>
            <w:u w:val="none"/>
          </w:rPr>
          <w:t>lymphocyte B</w:t>
        </w:r>
      </w:hyperlink>
      <w:r w:rsidR="002D5199" w:rsidRPr="002D5199">
        <w:t xml:space="preserve"> </w:t>
      </w:r>
      <w:r w:rsidR="00550704">
        <w:t xml:space="preserve">(production spé d’AC) </w:t>
      </w:r>
      <w:r w:rsidR="002D5199" w:rsidRPr="002D5199">
        <w:t>et une cellule cancéreuse</w:t>
      </w:r>
      <w:r w:rsidR="00550704">
        <w:t xml:space="preserve"> immortelle</w:t>
      </w:r>
      <w:r w:rsidR="002D5199" w:rsidRPr="002D5199">
        <w:t xml:space="preserve"> (</w:t>
      </w:r>
      <w:hyperlink r:id="rId19" w:tooltip="Myélome" w:history="1">
        <w:r w:rsidR="002D5199" w:rsidRPr="002D5199">
          <w:rPr>
            <w:rStyle w:val="Lienhypertexte"/>
            <w:color w:val="auto"/>
            <w:u w:val="none"/>
          </w:rPr>
          <w:t>myélome</w:t>
        </w:r>
      </w:hyperlink>
      <w:r w:rsidR="002D5199" w:rsidRPr="002D5199">
        <w:t>)</w:t>
      </w:r>
      <w:r w:rsidR="00550704">
        <w:t xml:space="preserve"> = </w:t>
      </w:r>
      <w:r w:rsidR="00550704">
        <w:rPr>
          <w:b/>
        </w:rPr>
        <w:t>hybridome</w:t>
      </w:r>
      <w:r w:rsidR="00550704">
        <w:t>.</w:t>
      </w:r>
    </w:p>
    <w:p w:rsidR="00D473A6" w:rsidRDefault="00D473A6" w:rsidP="004D467A">
      <w:pPr>
        <w:spacing w:after="0"/>
        <w:jc w:val="both"/>
      </w:pPr>
    </w:p>
    <w:p w:rsidR="00D473A6" w:rsidRDefault="00D473A6" w:rsidP="004D467A">
      <w:pPr>
        <w:spacing w:after="0"/>
        <w:jc w:val="both"/>
      </w:pPr>
      <w:r>
        <w:t>Plusieurs étapes sur des souris :</w:t>
      </w:r>
    </w:p>
    <w:p w:rsidR="00D473A6" w:rsidRDefault="00D473A6" w:rsidP="00D473A6">
      <w:pPr>
        <w:pStyle w:val="Paragraphedeliste"/>
        <w:numPr>
          <w:ilvl w:val="0"/>
          <w:numId w:val="3"/>
        </w:numPr>
        <w:spacing w:after="0"/>
        <w:jc w:val="both"/>
      </w:pPr>
      <w:r w:rsidRPr="00A4389D">
        <w:rPr>
          <w:b/>
        </w:rPr>
        <w:t>Immunisation</w:t>
      </w:r>
      <w:r>
        <w:t xml:space="preserve"> des souris :</w:t>
      </w:r>
      <w:r w:rsidR="00A4389D">
        <w:t xml:space="preserve"> o</w:t>
      </w:r>
      <w:r>
        <w:t>n injecte l’Ag</w:t>
      </w:r>
      <w:r w:rsidR="0076387A">
        <w:t xml:space="preserve"> avec un adjuvant puis on prélève la rate pour obtenir des plasmocytes.</w:t>
      </w:r>
    </w:p>
    <w:p w:rsidR="00D473A6" w:rsidRDefault="00D473A6" w:rsidP="00A4389D">
      <w:pPr>
        <w:pStyle w:val="Paragraphedeliste"/>
        <w:numPr>
          <w:ilvl w:val="0"/>
          <w:numId w:val="3"/>
        </w:numPr>
        <w:spacing w:after="0"/>
        <w:jc w:val="both"/>
      </w:pPr>
      <w:r w:rsidRPr="00A4389D">
        <w:rPr>
          <w:b/>
        </w:rPr>
        <w:t>Dépistage</w:t>
      </w:r>
      <w:r>
        <w:t xml:space="preserve"> des AC produits</w:t>
      </w:r>
      <w:r w:rsidR="00A4389D">
        <w:t xml:space="preserve"> : qq semaines plus tard, on teste la réactivité Ag/AC dans le sérum par des techniques ELISA si l’Ac est soluble et par la cytométrie de flux s’il est mbr. </w:t>
      </w:r>
    </w:p>
    <w:p w:rsidR="00D473A6" w:rsidRDefault="00D473A6" w:rsidP="00D473A6">
      <w:pPr>
        <w:pStyle w:val="Paragraphedeliste"/>
        <w:numPr>
          <w:ilvl w:val="0"/>
          <w:numId w:val="3"/>
        </w:numPr>
        <w:spacing w:after="0"/>
        <w:jc w:val="both"/>
      </w:pPr>
      <w:r w:rsidRPr="00A4389D">
        <w:t>Préparation</w:t>
      </w:r>
      <w:r>
        <w:t xml:space="preserve"> des cellules de myélome</w:t>
      </w:r>
      <w:r w:rsidR="0076387A">
        <w:t> : en culture avec 8-Azaguanine puis HGPRT- =&gt; croissance rapide</w:t>
      </w:r>
    </w:p>
    <w:p w:rsidR="00D473A6" w:rsidRDefault="00D473A6" w:rsidP="00D473A6">
      <w:pPr>
        <w:pStyle w:val="Paragraphedeliste"/>
        <w:numPr>
          <w:ilvl w:val="0"/>
          <w:numId w:val="3"/>
        </w:numPr>
        <w:spacing w:after="0"/>
        <w:jc w:val="both"/>
      </w:pPr>
      <w:r w:rsidRPr="00A4389D">
        <w:rPr>
          <w:b/>
        </w:rPr>
        <w:t>Fusion</w:t>
      </w:r>
      <w:r>
        <w:t xml:space="preserve"> du myélome avec les cellules de rate </w:t>
      </w:r>
      <w:r w:rsidR="0076387A">
        <w:t xml:space="preserve">grâce au PEG (polyéthylène glycol) </w:t>
      </w:r>
      <w:r>
        <w:t xml:space="preserve">et </w:t>
      </w:r>
      <w:r w:rsidRPr="00A4389D">
        <w:rPr>
          <w:b/>
        </w:rPr>
        <w:t>sélection</w:t>
      </w:r>
      <w:r>
        <w:t xml:space="preserve"> </w:t>
      </w:r>
      <w:r w:rsidRPr="00A4389D">
        <w:rPr>
          <w:b/>
        </w:rPr>
        <w:t>des</w:t>
      </w:r>
      <w:r>
        <w:t xml:space="preserve"> </w:t>
      </w:r>
      <w:r w:rsidRPr="00A4389D">
        <w:rPr>
          <w:b/>
        </w:rPr>
        <w:t>hybridomes</w:t>
      </w:r>
      <w:r w:rsidR="0076387A">
        <w:t xml:space="preserve"> produits </w:t>
      </w:r>
      <w:r w:rsidR="000848C7">
        <w:t xml:space="preserve">par culture en plaques </w:t>
      </w:r>
      <w:r w:rsidR="0076387A">
        <w:t xml:space="preserve">dans un milieu HAT </w:t>
      </w:r>
      <w:r w:rsidR="000848C7">
        <w:t xml:space="preserve">Medium </w:t>
      </w:r>
      <w:r w:rsidR="0076387A">
        <w:t>(HypoxanthineAminopterineThymidine)</w:t>
      </w:r>
      <w:r w:rsidR="000848C7">
        <w:t> : les cellules non fusionnées vont mourir (rate car ne se renouvellent pas et myélome car n’ont pas les enzymes nécessaire pour métaboliser les nutriments du HAT).</w:t>
      </w:r>
    </w:p>
    <w:p w:rsidR="00D473A6" w:rsidRDefault="00D473A6" w:rsidP="00D473A6">
      <w:pPr>
        <w:pStyle w:val="Paragraphedeliste"/>
        <w:numPr>
          <w:ilvl w:val="0"/>
          <w:numId w:val="3"/>
        </w:numPr>
        <w:spacing w:after="0"/>
        <w:jc w:val="both"/>
      </w:pPr>
      <w:r w:rsidRPr="00A4389D">
        <w:rPr>
          <w:b/>
        </w:rPr>
        <w:t>Clonage</w:t>
      </w:r>
      <w:r>
        <w:t xml:space="preserve"> </w:t>
      </w:r>
      <w:r w:rsidRPr="00A4389D">
        <w:rPr>
          <w:b/>
        </w:rPr>
        <w:t>de</w:t>
      </w:r>
      <w:r>
        <w:t xml:space="preserve"> </w:t>
      </w:r>
      <w:r w:rsidRPr="00A4389D">
        <w:rPr>
          <w:b/>
        </w:rPr>
        <w:t>l’hybridome</w:t>
      </w:r>
      <w:r>
        <w:t xml:space="preserve"> en dilution limite</w:t>
      </w:r>
      <w:r w:rsidR="000848C7">
        <w:t> : on a de grandes plaques (96 puits). Dans chaque puits on met 1 hybridome. On attend qq semaines pour permettre la multiplication cellulaire</w:t>
      </w:r>
      <w:r w:rsidR="0032378C">
        <w:t xml:space="preserve">. On récupère le surnageant pour tester si les ACM produits sont bien spé de l’Ag = </w:t>
      </w:r>
      <w:r w:rsidR="0032378C">
        <w:rPr>
          <w:b/>
        </w:rPr>
        <w:t xml:space="preserve">test des </w:t>
      </w:r>
      <w:r w:rsidR="0032378C">
        <w:rPr>
          <w:b/>
        </w:rPr>
        <w:lastRenderedPageBreak/>
        <w:t>surnageants</w:t>
      </w:r>
      <w:r w:rsidR="0032378C">
        <w:t xml:space="preserve"> puis on fait l’</w:t>
      </w:r>
      <w:r w:rsidR="0032378C">
        <w:rPr>
          <w:b/>
        </w:rPr>
        <w:t>expansion des clones intéressants </w:t>
      </w:r>
      <w:r w:rsidR="0032378C">
        <w:t>: par culture cellulaire in vitro ou in vivo en le réinjectant à la souris qui va produire un liquide d’ascite très riche en AC.</w:t>
      </w:r>
    </w:p>
    <w:p w:rsidR="0032378C" w:rsidRDefault="0032378C" w:rsidP="000848C7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5CB0DEB3" wp14:editId="085C587D">
            <wp:simplePos x="0" y="0"/>
            <wp:positionH relativeFrom="column">
              <wp:posOffset>-164465</wp:posOffset>
            </wp:positionH>
            <wp:positionV relativeFrom="paragraph">
              <wp:posOffset>-917575</wp:posOffset>
            </wp:positionV>
            <wp:extent cx="3970020" cy="3019425"/>
            <wp:effectExtent l="19050" t="19050" r="11430" b="285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0" cy="30194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78C" w:rsidRDefault="0032378C" w:rsidP="000848C7">
      <w:pPr>
        <w:spacing w:after="0"/>
        <w:jc w:val="both"/>
      </w:pPr>
    </w:p>
    <w:p w:rsidR="0032378C" w:rsidRDefault="0032378C" w:rsidP="000848C7">
      <w:pPr>
        <w:spacing w:after="0"/>
        <w:jc w:val="both"/>
      </w:pPr>
    </w:p>
    <w:p w:rsidR="0032378C" w:rsidRDefault="0032378C" w:rsidP="000848C7">
      <w:pPr>
        <w:spacing w:after="0"/>
        <w:jc w:val="both"/>
      </w:pPr>
    </w:p>
    <w:p w:rsidR="000848C7" w:rsidRPr="00550704" w:rsidRDefault="000848C7" w:rsidP="000848C7">
      <w:pPr>
        <w:spacing w:after="0"/>
        <w:jc w:val="both"/>
      </w:pPr>
    </w:p>
    <w:p w:rsidR="00550704" w:rsidRPr="00FE0726" w:rsidRDefault="00550704" w:rsidP="004D467A">
      <w:pPr>
        <w:spacing w:after="0"/>
        <w:jc w:val="both"/>
      </w:pPr>
    </w:p>
    <w:p w:rsidR="00E91006" w:rsidRDefault="00E91006" w:rsidP="004D467A">
      <w:pPr>
        <w:spacing w:after="0"/>
        <w:jc w:val="both"/>
        <w:rPr>
          <w:b/>
          <w:color w:val="FF0000"/>
        </w:rPr>
      </w:pPr>
    </w:p>
    <w:p w:rsidR="00E91006" w:rsidRPr="00336444" w:rsidRDefault="004D467A" w:rsidP="004D467A">
      <w:pPr>
        <w:spacing w:after="0"/>
        <w:jc w:val="both"/>
      </w:pPr>
      <w:r>
        <w:rPr>
          <w:b/>
          <w:color w:val="FF0000"/>
        </w:rPr>
        <w:t>Intérêt</w:t>
      </w:r>
      <w:r w:rsidR="00E91006">
        <w:rPr>
          <w:b/>
          <w:color w:val="FF0000"/>
        </w:rPr>
        <w:t> :</w:t>
      </w:r>
      <w:r w:rsidR="00336444">
        <w:t xml:space="preserve"> application très large</w:t>
      </w:r>
    </w:p>
    <w:p w:rsidR="004D467A" w:rsidRDefault="00E91006" w:rsidP="00E91006">
      <w:pPr>
        <w:pStyle w:val="Paragraphedeliste"/>
        <w:numPr>
          <w:ilvl w:val="0"/>
          <w:numId w:val="4"/>
        </w:numPr>
        <w:spacing w:after="0"/>
        <w:jc w:val="both"/>
      </w:pPr>
      <w:r>
        <w:t>Diagnostic in vitro : marquage de molécules, de sous-populations cellulaires avec des ACM couplés à une enzyme, un fluorochrome… en immunologie, anapath, bactério, viro, dosage de médicaments, Ag tumoraux, tests de grossesse</w:t>
      </w:r>
      <w:r w:rsidR="00336444">
        <w:t>, reconnaissance de molécules d’histocompatibilité</w:t>
      </w:r>
      <w:r>
        <w:t>… Exemple : test ELISA</w:t>
      </w:r>
    </w:p>
    <w:p w:rsidR="00E91006" w:rsidRDefault="00E91006" w:rsidP="00E91006">
      <w:pPr>
        <w:pStyle w:val="Paragraphedeliste"/>
        <w:numPr>
          <w:ilvl w:val="0"/>
          <w:numId w:val="4"/>
        </w:numPr>
        <w:spacing w:after="0"/>
        <w:jc w:val="both"/>
      </w:pPr>
      <w:r>
        <w:t xml:space="preserve">In vivo : </w:t>
      </w:r>
    </w:p>
    <w:p w:rsidR="00E91006" w:rsidRDefault="00E91006" w:rsidP="00E91006">
      <w:pPr>
        <w:pStyle w:val="Paragraphedeliste"/>
        <w:numPr>
          <w:ilvl w:val="1"/>
          <w:numId w:val="4"/>
        </w:numPr>
        <w:spacing w:after="0"/>
        <w:jc w:val="both"/>
      </w:pPr>
      <w:r>
        <w:t>Détection de tumeurs : taille et localisation précise (marqueur radioactif)</w:t>
      </w:r>
    </w:p>
    <w:p w:rsidR="00DD008A" w:rsidRDefault="00DD008A" w:rsidP="00E91006">
      <w:pPr>
        <w:pStyle w:val="Paragraphedeliste"/>
        <w:numPr>
          <w:ilvl w:val="1"/>
          <w:numId w:val="4"/>
        </w:numPr>
        <w:spacing w:after="0"/>
        <w:jc w:val="both"/>
      </w:pPr>
      <w:r>
        <w:t>Numération des LT, rapport CD4/CD8 : phénotypage des patients en déficit immunitaire.</w:t>
      </w:r>
    </w:p>
    <w:p w:rsidR="00E91006" w:rsidRDefault="00E91006" w:rsidP="00E91006">
      <w:pPr>
        <w:pStyle w:val="Paragraphedeliste"/>
        <w:numPr>
          <w:ilvl w:val="1"/>
          <w:numId w:val="4"/>
        </w:numPr>
        <w:spacing w:after="0"/>
        <w:jc w:val="both"/>
      </w:pPr>
      <w:r>
        <w:t xml:space="preserve">Thérapeutique : </w:t>
      </w:r>
    </w:p>
    <w:p w:rsidR="00E91006" w:rsidRDefault="00E91006" w:rsidP="00E91006">
      <w:pPr>
        <w:pStyle w:val="Paragraphedeliste"/>
        <w:numPr>
          <w:ilvl w:val="2"/>
          <w:numId w:val="4"/>
        </w:numPr>
        <w:spacing w:after="0"/>
        <w:jc w:val="both"/>
      </w:pPr>
      <w:r>
        <w:t>Certains lymphomes : AC contre des marqueurs de surface des cellules B</w:t>
      </w:r>
    </w:p>
    <w:p w:rsidR="00E91006" w:rsidRDefault="00E91006" w:rsidP="00E91006">
      <w:pPr>
        <w:pStyle w:val="Paragraphedeliste"/>
        <w:numPr>
          <w:ilvl w:val="2"/>
          <w:numId w:val="4"/>
        </w:numPr>
        <w:spacing w:after="0"/>
        <w:jc w:val="both"/>
      </w:pPr>
      <w:r>
        <w:t>Arthrite rhumatoïde : AC contre des rcpt ou des cytokines (TNF+++)</w:t>
      </w:r>
    </w:p>
    <w:p w:rsidR="00336444" w:rsidRDefault="00E91006" w:rsidP="00DD008A">
      <w:pPr>
        <w:pStyle w:val="Paragraphedeliste"/>
        <w:spacing w:after="0"/>
        <w:jc w:val="both"/>
      </w:pPr>
      <w:r>
        <w:t>Le problème est qu’in vivo si l’AC est d’origine autre qu’humain</w:t>
      </w:r>
      <w:r w:rsidR="00BC42F2">
        <w:t xml:space="preserve">e on va se défendre contre ces AC. On contourne le pb par des techniques comme la </w:t>
      </w:r>
      <w:r w:rsidR="00BC42F2" w:rsidRPr="00BC42F2">
        <w:rPr>
          <w:b/>
        </w:rPr>
        <w:t>chimérisation</w:t>
      </w:r>
      <w:r w:rsidR="00BC42F2">
        <w:t> : on fabrique des AC chimères grâce au génie génétique (partie commune de l’AC de type humaine et partie spé murine=de souris) ; ou l’</w:t>
      </w:r>
      <w:r w:rsidR="00BC42F2">
        <w:rPr>
          <w:b/>
        </w:rPr>
        <w:t>humanisation </w:t>
      </w:r>
      <w:r w:rsidR="00BC42F2">
        <w:t>: on garde la spécificité de l’AC murin</w:t>
      </w:r>
      <w:r w:rsidR="00336444">
        <w:t xml:space="preserve"> mais en remplaçant les chaînes murines par des chaînes humaines</w:t>
      </w:r>
      <w:bookmarkStart w:id="0" w:name="_GoBack"/>
      <w:bookmarkEnd w:id="0"/>
    </w:p>
    <w:p w:rsidR="00336444" w:rsidRDefault="00336444" w:rsidP="00336444">
      <w:pPr>
        <w:spacing w:after="0"/>
        <w:jc w:val="both"/>
      </w:pPr>
      <w:r>
        <w:t>/!\ Dans la plupart de ces ttt on a des échappements car d’autres voies se mettent en place.</w:t>
      </w:r>
    </w:p>
    <w:p w:rsidR="00336444" w:rsidRDefault="00336444" w:rsidP="00336444">
      <w:pPr>
        <w:spacing w:after="0"/>
        <w:jc w:val="both"/>
      </w:pPr>
    </w:p>
    <w:p w:rsidR="00336444" w:rsidRPr="00BC42F2" w:rsidRDefault="00336444" w:rsidP="00336444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3177937" cy="2238306"/>
            <wp:effectExtent l="0" t="0" r="381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4" t="4748" r="3326" b="8309"/>
                    <a:stretch/>
                  </pic:blipFill>
                  <pic:spPr bwMode="auto">
                    <a:xfrm>
                      <a:off x="0" y="0"/>
                      <a:ext cx="3178032" cy="2238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36444" w:rsidRPr="00BC42F2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016" w:rsidRDefault="004D4016" w:rsidP="0074511E">
      <w:pPr>
        <w:spacing w:after="0" w:line="240" w:lineRule="auto"/>
      </w:pPr>
      <w:r>
        <w:separator/>
      </w:r>
    </w:p>
  </w:endnote>
  <w:endnote w:type="continuationSeparator" w:id="0">
    <w:p w:rsidR="004D4016" w:rsidRDefault="004D4016" w:rsidP="0074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9812903"/>
      <w:docPartObj>
        <w:docPartGallery w:val="Page Numbers (Bottom of Page)"/>
        <w:docPartUnique/>
      </w:docPartObj>
    </w:sdtPr>
    <w:sdtEndPr/>
    <w:sdtContent>
      <w:p w:rsidR="0074511E" w:rsidRDefault="0074511E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08A">
          <w:rPr>
            <w:noProof/>
          </w:rPr>
          <w:t>2</w:t>
        </w:r>
        <w:r>
          <w:fldChar w:fldCharType="end"/>
        </w:r>
      </w:p>
    </w:sdtContent>
  </w:sdt>
  <w:p w:rsidR="0074511E" w:rsidRDefault="0074511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016" w:rsidRDefault="004D4016" w:rsidP="0074511E">
      <w:pPr>
        <w:spacing w:after="0" w:line="240" w:lineRule="auto"/>
      </w:pPr>
      <w:r>
        <w:separator/>
      </w:r>
    </w:p>
  </w:footnote>
  <w:footnote w:type="continuationSeparator" w:id="0">
    <w:p w:rsidR="004D4016" w:rsidRDefault="004D4016" w:rsidP="0074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2D4F"/>
    <w:multiLevelType w:val="hybridMultilevel"/>
    <w:tmpl w:val="CF6267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5D09"/>
    <w:multiLevelType w:val="hybridMultilevel"/>
    <w:tmpl w:val="E1D64F9C"/>
    <w:lvl w:ilvl="0" w:tplc="5D2851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3E730E"/>
    <w:multiLevelType w:val="hybridMultilevel"/>
    <w:tmpl w:val="841A687E"/>
    <w:lvl w:ilvl="0" w:tplc="0C2C5B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B1C0A"/>
    <w:multiLevelType w:val="hybridMultilevel"/>
    <w:tmpl w:val="8814EFBE"/>
    <w:lvl w:ilvl="0" w:tplc="0E0415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7A"/>
    <w:rsid w:val="000848C7"/>
    <w:rsid w:val="00186C13"/>
    <w:rsid w:val="002D5199"/>
    <w:rsid w:val="0032378C"/>
    <w:rsid w:val="00336444"/>
    <w:rsid w:val="004D4016"/>
    <w:rsid w:val="004D467A"/>
    <w:rsid w:val="00537A3C"/>
    <w:rsid w:val="00550704"/>
    <w:rsid w:val="0074511E"/>
    <w:rsid w:val="0076387A"/>
    <w:rsid w:val="00A4389D"/>
    <w:rsid w:val="00AF30E5"/>
    <w:rsid w:val="00BC42F2"/>
    <w:rsid w:val="00D473A6"/>
    <w:rsid w:val="00DD008A"/>
    <w:rsid w:val="00E91006"/>
    <w:rsid w:val="00EA4E88"/>
    <w:rsid w:val="00FE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467A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4D467A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45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4511E"/>
  </w:style>
  <w:style w:type="paragraph" w:styleId="Pieddepage">
    <w:name w:val="footer"/>
    <w:basedOn w:val="Normal"/>
    <w:link w:val="PieddepageCar"/>
    <w:uiPriority w:val="99"/>
    <w:unhideWhenUsed/>
    <w:rsid w:val="00745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4511E"/>
  </w:style>
  <w:style w:type="paragraph" w:styleId="Textedebulles">
    <w:name w:val="Balloon Text"/>
    <w:basedOn w:val="Normal"/>
    <w:link w:val="TextedebullesCar"/>
    <w:uiPriority w:val="99"/>
    <w:semiHidden/>
    <w:unhideWhenUsed/>
    <w:rsid w:val="00084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4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467A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4D467A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45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4511E"/>
  </w:style>
  <w:style w:type="paragraph" w:styleId="Pieddepage">
    <w:name w:val="footer"/>
    <w:basedOn w:val="Normal"/>
    <w:link w:val="PieddepageCar"/>
    <w:uiPriority w:val="99"/>
    <w:unhideWhenUsed/>
    <w:rsid w:val="00745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4511E"/>
  </w:style>
  <w:style w:type="paragraph" w:styleId="Textedebulles">
    <w:name w:val="Balloon Text"/>
    <w:basedOn w:val="Normal"/>
    <w:link w:val="TextedebullesCar"/>
    <w:uiPriority w:val="99"/>
    <w:semiHidden/>
    <w:unhideWhenUsed/>
    <w:rsid w:val="00084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4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.wikipedia.org/wiki/Anticorps" TargetMode="External"/><Relationship Id="rId13" Type="http://schemas.openxmlformats.org/officeDocument/2006/relationships/hyperlink" Target="http://fr.wikipedia.org/wiki/R%C3%A9cepteur_des_cellules_T" TargetMode="External"/><Relationship Id="rId18" Type="http://schemas.openxmlformats.org/officeDocument/2006/relationships/hyperlink" Target="http://fr.wikipedia.org/wiki/Lymphocyte_B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2.emf"/><Relationship Id="rId7" Type="http://schemas.openxmlformats.org/officeDocument/2006/relationships/endnotes" Target="endnotes.xml"/><Relationship Id="rId12" Type="http://schemas.openxmlformats.org/officeDocument/2006/relationships/hyperlink" Target="http://fr.wikipedia.org/wiki/Anticorps" TargetMode="External"/><Relationship Id="rId17" Type="http://schemas.openxmlformats.org/officeDocument/2006/relationships/hyperlink" Target="http://fr.wikipedia.org/wiki/C%C3%A9sar_Milstein" TargetMode="External"/><Relationship Id="rId2" Type="http://schemas.openxmlformats.org/officeDocument/2006/relationships/styles" Target="styles.xml"/><Relationship Id="rId16" Type="http://schemas.openxmlformats.org/officeDocument/2006/relationships/hyperlink" Target="http://fr.wikipedia.org/wiki/Georges_K%C3%B6hler" TargetMode="External"/><Relationship Id="rId20" Type="http://schemas.openxmlformats.org/officeDocument/2006/relationships/image" Target="media/image1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fr.wikipedia.org/wiki/Cellule_%28biologie%29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fr.wikipedia.org/wiki/Vaccinat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fr.wikipedia.org/wiki/Plasmocyte" TargetMode="External"/><Relationship Id="rId19" Type="http://schemas.openxmlformats.org/officeDocument/2006/relationships/hyperlink" Target="http://fr.wikipedia.org/wiki/My%C3%A9l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%C3%89pitope" TargetMode="External"/><Relationship Id="rId14" Type="http://schemas.openxmlformats.org/officeDocument/2006/relationships/hyperlink" Target="http://fr.wikipedia.org/wiki/%C3%89pitop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777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7</cp:revision>
  <dcterms:created xsi:type="dcterms:W3CDTF">2011-11-17T09:34:00Z</dcterms:created>
  <dcterms:modified xsi:type="dcterms:W3CDTF">2011-11-29T13:44:00Z</dcterms:modified>
</cp:coreProperties>
</file>