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F62" w:rsidRDefault="00AF3E44" w:rsidP="00AF3E44">
      <w:pPr>
        <w:spacing w:after="0"/>
        <w:jc w:val="center"/>
        <w:rPr>
          <w:b/>
        </w:rPr>
      </w:pPr>
      <w:r>
        <w:rPr>
          <w:b/>
        </w:rPr>
        <w:t>LEISHMANIOSES</w:t>
      </w:r>
    </w:p>
    <w:p w:rsidR="00AF3E44" w:rsidRDefault="00AF3E44" w:rsidP="00AF3E44">
      <w:pPr>
        <w:spacing w:after="0"/>
        <w:jc w:val="both"/>
        <w:rPr>
          <w:b/>
        </w:rPr>
      </w:pPr>
    </w:p>
    <w:p w:rsidR="00AF3E44" w:rsidRDefault="002E01B6" w:rsidP="00AF3E44">
      <w:pPr>
        <w:spacing w:after="0"/>
        <w:jc w:val="both"/>
        <w:rPr>
          <w:b/>
        </w:rPr>
      </w:pPr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 wp14:anchorId="1B1FE4BD" wp14:editId="3196EED1">
            <wp:simplePos x="0" y="0"/>
            <wp:positionH relativeFrom="column">
              <wp:posOffset>4886960</wp:posOffset>
            </wp:positionH>
            <wp:positionV relativeFrom="paragraph">
              <wp:posOffset>440055</wp:posOffset>
            </wp:positionV>
            <wp:extent cx="1299845" cy="1526540"/>
            <wp:effectExtent l="19050" t="19050" r="14605" b="16510"/>
            <wp:wrapSquare wrapText="bothSides"/>
            <wp:docPr id="410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845" cy="15265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3E44">
        <w:t>Protozoaires flagellés</w:t>
      </w:r>
      <w:r w:rsidR="00AF3E44">
        <w:rPr>
          <w:b/>
        </w:rPr>
        <w:t xml:space="preserve"> </w:t>
      </w:r>
      <w:r w:rsidR="00AF3E44" w:rsidRPr="00AF3E44">
        <w:t>du genre</w:t>
      </w:r>
      <w:r w:rsidR="00AF3E44">
        <w:t xml:space="preserve"> </w:t>
      </w:r>
      <w:r w:rsidR="00AF3E44">
        <w:rPr>
          <w:b/>
          <w:i/>
        </w:rPr>
        <w:t xml:space="preserve">leishmania </w:t>
      </w:r>
      <w:r w:rsidR="00AF3E44" w:rsidRPr="00AF3E44">
        <w:rPr>
          <w:i/>
        </w:rPr>
        <w:t>(</w:t>
      </w:r>
      <w:proofErr w:type="spellStart"/>
      <w:r w:rsidR="00AF3E44" w:rsidRPr="00AF3E44">
        <w:rPr>
          <w:i/>
        </w:rPr>
        <w:t>Kinétoplastidae</w:t>
      </w:r>
      <w:proofErr w:type="spellEnd"/>
      <w:r w:rsidR="00AF3E44" w:rsidRPr="00AF3E44">
        <w:rPr>
          <w:i/>
        </w:rPr>
        <w:t>)</w:t>
      </w:r>
      <w:r w:rsidR="00AF3E44">
        <w:t xml:space="preserve"> ayant plusieurs hôtes définitifs : Homme, chiens, rongeurs et 1 hôte intermédiaire : insecte vecteur = </w:t>
      </w:r>
      <w:r w:rsidR="00AF3E44">
        <w:rPr>
          <w:b/>
        </w:rPr>
        <w:t>phlébotome</w:t>
      </w:r>
    </w:p>
    <w:p w:rsidR="00AF3E44" w:rsidRDefault="00AF3E44" w:rsidP="00AF3E44">
      <w:pPr>
        <w:spacing w:after="0"/>
        <w:jc w:val="both"/>
      </w:pPr>
    </w:p>
    <w:p w:rsidR="00AF3E44" w:rsidRPr="00B10749" w:rsidRDefault="002E01B6" w:rsidP="00AF3E44">
      <w:pPr>
        <w:spacing w:after="0"/>
        <w:jc w:val="both"/>
        <w:rPr>
          <w:b/>
          <w:u w:val="single"/>
        </w:rPr>
      </w:pPr>
      <w:r w:rsidRPr="00B10749">
        <w:rPr>
          <w:b/>
          <w:noProof/>
          <w:u w:val="single"/>
          <w:lang w:eastAsia="fr-FR"/>
        </w:rPr>
        <w:drawing>
          <wp:anchor distT="0" distB="0" distL="114300" distR="114300" simplePos="0" relativeHeight="251659264" behindDoc="0" locked="0" layoutInCell="1" allowOverlap="1" wp14:anchorId="3D5BEDE2" wp14:editId="0AC1BD03">
            <wp:simplePos x="0" y="0"/>
            <wp:positionH relativeFrom="column">
              <wp:posOffset>3102610</wp:posOffset>
            </wp:positionH>
            <wp:positionV relativeFrom="paragraph">
              <wp:posOffset>128270</wp:posOffset>
            </wp:positionV>
            <wp:extent cx="1615440" cy="1035050"/>
            <wp:effectExtent l="19050" t="19050" r="22860" b="12700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5440" cy="10350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3E44" w:rsidRPr="00B10749">
        <w:rPr>
          <w:b/>
          <w:u w:val="single"/>
        </w:rPr>
        <w:t>Morphologie</w:t>
      </w:r>
    </w:p>
    <w:p w:rsidR="00AF3E44" w:rsidRDefault="00AF3E44" w:rsidP="00AF3E44">
      <w:pPr>
        <w:pStyle w:val="Paragraphedeliste"/>
        <w:numPr>
          <w:ilvl w:val="0"/>
          <w:numId w:val="1"/>
        </w:numPr>
        <w:spacing w:after="0"/>
        <w:jc w:val="both"/>
      </w:pPr>
      <w:r>
        <w:t xml:space="preserve">Dans l’intestin du phlébotome : </w:t>
      </w:r>
      <w:proofErr w:type="spellStart"/>
      <w:r w:rsidRPr="00B10749">
        <w:rPr>
          <w:b/>
        </w:rPr>
        <w:t>promastigotes</w:t>
      </w:r>
      <w:proofErr w:type="spellEnd"/>
      <w:r>
        <w:t xml:space="preserve"> libres et mobiles</w:t>
      </w:r>
    </w:p>
    <w:p w:rsidR="00AF3E44" w:rsidRDefault="00AF3E44" w:rsidP="00AF3E44">
      <w:pPr>
        <w:pStyle w:val="Paragraphedeliste"/>
        <w:numPr>
          <w:ilvl w:val="1"/>
          <w:numId w:val="1"/>
        </w:numPr>
        <w:spacing w:after="0"/>
        <w:jc w:val="both"/>
      </w:pPr>
      <w:r>
        <w:t>Noyau central</w:t>
      </w:r>
    </w:p>
    <w:p w:rsidR="00AF3E44" w:rsidRDefault="00AF3E44" w:rsidP="00AF3E44">
      <w:pPr>
        <w:pStyle w:val="Paragraphedeliste"/>
        <w:numPr>
          <w:ilvl w:val="1"/>
          <w:numId w:val="1"/>
        </w:numPr>
        <w:spacing w:after="0"/>
        <w:jc w:val="both"/>
      </w:pPr>
      <w:proofErr w:type="spellStart"/>
      <w:r>
        <w:t>Kinétoplaste</w:t>
      </w:r>
      <w:proofErr w:type="spellEnd"/>
      <w:r>
        <w:t xml:space="preserve"> </w:t>
      </w:r>
      <w:proofErr w:type="spellStart"/>
      <w:r w:rsidR="002E01B6">
        <w:t>ant</w:t>
      </w:r>
      <w:proofErr w:type="spellEnd"/>
      <w:r w:rsidR="002E01B6">
        <w:t xml:space="preserve"> (grosse </w:t>
      </w:r>
      <w:proofErr w:type="spellStart"/>
      <w:r w:rsidR="002E01B6">
        <w:t>mito</w:t>
      </w:r>
      <w:proofErr w:type="spellEnd"/>
      <w:r>
        <w:t>)</w:t>
      </w:r>
    </w:p>
    <w:p w:rsidR="00AF3E44" w:rsidRDefault="00AF3E44" w:rsidP="00AF3E44">
      <w:pPr>
        <w:pStyle w:val="Paragraphedeliste"/>
        <w:numPr>
          <w:ilvl w:val="1"/>
          <w:numId w:val="1"/>
        </w:numPr>
        <w:spacing w:after="0"/>
        <w:jc w:val="both"/>
      </w:pPr>
      <w:r>
        <w:t>Flagelle libre à l’avant</w:t>
      </w:r>
    </w:p>
    <w:p w:rsidR="002E01B6" w:rsidRDefault="00AF3E44" w:rsidP="002E01B6">
      <w:pPr>
        <w:pStyle w:val="Paragraphedeliste"/>
        <w:numPr>
          <w:ilvl w:val="1"/>
          <w:numId w:val="1"/>
        </w:numPr>
        <w:spacing w:after="0"/>
        <w:jc w:val="both"/>
      </w:pPr>
      <w:r>
        <w:t>Division longitudinale asexuée</w:t>
      </w:r>
    </w:p>
    <w:p w:rsidR="002E01B6" w:rsidRDefault="002E01B6" w:rsidP="002E01B6">
      <w:pPr>
        <w:pStyle w:val="Paragraphedeliste"/>
        <w:spacing w:after="0"/>
        <w:ind w:left="1440"/>
        <w:jc w:val="both"/>
      </w:pPr>
      <w:r>
        <w:rPr>
          <w:noProof/>
          <w:lang w:eastAsia="fr-FR"/>
        </w:rPr>
        <w:drawing>
          <wp:anchor distT="0" distB="0" distL="114300" distR="114300" simplePos="0" relativeHeight="251661312" behindDoc="0" locked="0" layoutInCell="1" allowOverlap="1" wp14:anchorId="27023311" wp14:editId="1A6DE66C">
            <wp:simplePos x="0" y="0"/>
            <wp:positionH relativeFrom="column">
              <wp:posOffset>3180080</wp:posOffset>
            </wp:positionH>
            <wp:positionV relativeFrom="paragraph">
              <wp:posOffset>120650</wp:posOffset>
            </wp:positionV>
            <wp:extent cx="1638935" cy="1638935"/>
            <wp:effectExtent l="19050" t="19050" r="18415" b="18415"/>
            <wp:wrapSquare wrapText="bothSides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935" cy="163893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60288" behindDoc="0" locked="0" layoutInCell="1" allowOverlap="1" wp14:anchorId="4DD0BF1A" wp14:editId="5C403A1C">
            <wp:simplePos x="0" y="0"/>
            <wp:positionH relativeFrom="column">
              <wp:posOffset>4965700</wp:posOffset>
            </wp:positionH>
            <wp:positionV relativeFrom="paragraph">
              <wp:posOffset>126365</wp:posOffset>
            </wp:positionV>
            <wp:extent cx="1275080" cy="1673225"/>
            <wp:effectExtent l="19050" t="19050" r="20320" b="22225"/>
            <wp:wrapSquare wrapText="bothSides"/>
            <wp:docPr id="614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8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080" cy="16732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3E44" w:rsidRDefault="002E01B6" w:rsidP="00AF3E44">
      <w:pPr>
        <w:pStyle w:val="Paragraphedeliste"/>
        <w:numPr>
          <w:ilvl w:val="0"/>
          <w:numId w:val="1"/>
        </w:numPr>
        <w:spacing w:after="0"/>
        <w:jc w:val="both"/>
      </w:pPr>
      <w:r>
        <w:t xml:space="preserve">Dans les macrophages des vertébrés : </w:t>
      </w:r>
      <w:r w:rsidRPr="00B10749">
        <w:rPr>
          <w:b/>
        </w:rPr>
        <w:t>amastigotes</w:t>
      </w:r>
      <w:r>
        <w:t xml:space="preserve"> (=intra-cytoplasmiques)</w:t>
      </w:r>
    </w:p>
    <w:p w:rsidR="002E01B6" w:rsidRDefault="002E01B6" w:rsidP="002E01B6">
      <w:pPr>
        <w:pStyle w:val="Paragraphedeliste"/>
        <w:numPr>
          <w:ilvl w:val="1"/>
          <w:numId w:val="1"/>
        </w:numPr>
        <w:spacing w:after="0"/>
        <w:jc w:val="both"/>
      </w:pPr>
      <w:r>
        <w:t>3-5mm de diamètre</w:t>
      </w:r>
    </w:p>
    <w:p w:rsidR="002E01B6" w:rsidRDefault="002E01B6" w:rsidP="002E01B6">
      <w:pPr>
        <w:pStyle w:val="Paragraphedeliste"/>
        <w:numPr>
          <w:ilvl w:val="1"/>
          <w:numId w:val="1"/>
        </w:numPr>
        <w:spacing w:after="0"/>
        <w:jc w:val="both"/>
      </w:pPr>
      <w:r>
        <w:t xml:space="preserve">Inclusion double caractéristique : noyau et </w:t>
      </w:r>
      <w:proofErr w:type="spellStart"/>
      <w:r>
        <w:t>kinétoplaste</w:t>
      </w:r>
      <w:proofErr w:type="spellEnd"/>
      <w:r>
        <w:t xml:space="preserve"> (bâtonnet + foncé)</w:t>
      </w:r>
    </w:p>
    <w:p w:rsidR="002E01B6" w:rsidRDefault="002E01B6" w:rsidP="002E01B6">
      <w:pPr>
        <w:pStyle w:val="Paragraphedeliste"/>
        <w:numPr>
          <w:ilvl w:val="1"/>
          <w:numId w:val="1"/>
        </w:numPr>
        <w:spacing w:after="0"/>
        <w:jc w:val="both"/>
      </w:pPr>
      <w:r>
        <w:t>Flagelle réduit non extériorisé</w:t>
      </w:r>
    </w:p>
    <w:p w:rsidR="002E01B6" w:rsidRDefault="002E01B6" w:rsidP="002E01B6">
      <w:pPr>
        <w:pStyle w:val="Paragraphedeliste"/>
        <w:numPr>
          <w:ilvl w:val="1"/>
          <w:numId w:val="1"/>
        </w:numPr>
        <w:spacing w:after="0"/>
        <w:jc w:val="both"/>
      </w:pPr>
      <w:r>
        <w:t>Division asexuée</w:t>
      </w:r>
    </w:p>
    <w:p w:rsidR="002E01B6" w:rsidRDefault="002E01B6" w:rsidP="002E01B6">
      <w:pPr>
        <w:spacing w:after="0"/>
        <w:jc w:val="both"/>
      </w:pPr>
      <w:r>
        <w:t xml:space="preserve">On a un éclatement du macrophage. </w:t>
      </w:r>
    </w:p>
    <w:p w:rsidR="002E01B6" w:rsidRDefault="002E01B6" w:rsidP="002E01B6">
      <w:pPr>
        <w:spacing w:after="0"/>
        <w:jc w:val="both"/>
      </w:pPr>
      <w:r>
        <w:t xml:space="preserve">Chez les vertébrés, il y a plusieurs localisations possibles (donc plusieurs formes cliniques) : peau, muqueuses, viscères (rate+++, moelle osseuse+++, foie+, </w:t>
      </w:r>
      <w:proofErr w:type="spellStart"/>
      <w:r>
        <w:t>gg</w:t>
      </w:r>
      <w:proofErr w:type="spellEnd"/>
      <w:r>
        <w:t>+/-)</w:t>
      </w:r>
    </w:p>
    <w:p w:rsidR="002E01B6" w:rsidRDefault="002E01B6" w:rsidP="002E01B6">
      <w:pPr>
        <w:spacing w:after="0"/>
        <w:jc w:val="both"/>
      </w:pPr>
    </w:p>
    <w:p w:rsidR="00B10749" w:rsidRDefault="002E01B6" w:rsidP="002E01B6">
      <w:pPr>
        <w:spacing w:after="0"/>
        <w:jc w:val="both"/>
      </w:pPr>
      <w:r w:rsidRPr="00B10749">
        <w:rPr>
          <w:b/>
          <w:u w:val="single"/>
        </w:rPr>
        <w:t>Cycle bio :</w:t>
      </w:r>
      <w:r>
        <w:t xml:space="preserve"> le phlébotome </w:t>
      </w:r>
      <w:r w:rsidR="006D13C3">
        <w:t>se nourrit d’amastigotes lors de la piqûre chez un hôte définitif. Dans son estomac, ils deviennent des</w:t>
      </w:r>
      <w:r>
        <w:t xml:space="preserve"> </w:t>
      </w:r>
      <w:proofErr w:type="spellStart"/>
      <w:r>
        <w:t>promastigotes</w:t>
      </w:r>
      <w:proofErr w:type="spellEnd"/>
      <w:r>
        <w:t xml:space="preserve"> </w:t>
      </w:r>
      <w:proofErr w:type="spellStart"/>
      <w:r w:rsidR="006D13C3">
        <w:t>procycliques</w:t>
      </w:r>
      <w:proofErr w:type="spellEnd"/>
      <w:r w:rsidR="006D13C3">
        <w:t xml:space="preserve"> (multiplication+++) qu’il va</w:t>
      </w:r>
      <w:r>
        <w:t xml:space="preserve"> injecte</w:t>
      </w:r>
      <w:r w:rsidR="006D13C3">
        <w:t>r</w:t>
      </w:r>
      <w:r>
        <w:t xml:space="preserve"> </w:t>
      </w:r>
      <w:r w:rsidR="006D13C3">
        <w:t xml:space="preserve">sous forme </w:t>
      </w:r>
      <w:proofErr w:type="spellStart"/>
      <w:r w:rsidR="006D13C3">
        <w:t>métacyclique</w:t>
      </w:r>
      <w:proofErr w:type="spellEnd"/>
      <w:r w:rsidR="006D13C3">
        <w:t xml:space="preserve"> (</w:t>
      </w:r>
      <w:proofErr w:type="spellStart"/>
      <w:r w:rsidR="006D13C3">
        <w:t>infestante</w:t>
      </w:r>
      <w:proofErr w:type="spellEnd"/>
      <w:r w:rsidR="006D13C3">
        <w:t xml:space="preserve">) </w:t>
      </w:r>
      <w:r>
        <w:t>chez l’Homme lors de la piqûre</w:t>
      </w:r>
      <w:r w:rsidR="006D13C3">
        <w:t xml:space="preserve">. Les formes </w:t>
      </w:r>
      <w:proofErr w:type="spellStart"/>
      <w:r w:rsidR="006D13C3">
        <w:t>métacycliques</w:t>
      </w:r>
      <w:proofErr w:type="spellEnd"/>
      <w:r w:rsidR="006D13C3">
        <w:t xml:space="preserve"> sont régurgitées lors du repas de sang suivant. Chez l’hôte définitif les </w:t>
      </w:r>
      <w:proofErr w:type="spellStart"/>
      <w:r w:rsidR="006D13C3">
        <w:t>promastigotes</w:t>
      </w:r>
      <w:proofErr w:type="spellEnd"/>
      <w:r w:rsidR="006D13C3">
        <w:t xml:space="preserve"> </w:t>
      </w:r>
      <w:proofErr w:type="spellStart"/>
      <w:r w:rsidR="006D13C3">
        <w:t>métacycliques</w:t>
      </w:r>
      <w:proofErr w:type="spellEnd"/>
      <w:r w:rsidR="006D13C3">
        <w:t xml:space="preserve"> sont phagocytés par les macrophages de la peau, il</w:t>
      </w:r>
      <w:r w:rsidR="00B10749">
        <w:t>s</w:t>
      </w:r>
      <w:r w:rsidR="006D13C3">
        <w:t xml:space="preserve"> vont au </w:t>
      </w:r>
      <w:proofErr w:type="spellStart"/>
      <w:r w:rsidR="006D13C3">
        <w:t>gg</w:t>
      </w:r>
      <w:proofErr w:type="spellEnd"/>
      <w:r w:rsidR="006D13C3">
        <w:t xml:space="preserve"> régional où ils éclatent </w:t>
      </w:r>
      <w:r w:rsidR="00B10749">
        <w:t xml:space="preserve">(par multiplication en amastigotes) </w:t>
      </w:r>
      <w:r w:rsidR="006D13C3">
        <w:t xml:space="preserve">et le parasite va être </w:t>
      </w:r>
      <w:proofErr w:type="spellStart"/>
      <w:r w:rsidR="006D13C3">
        <w:t>rephago</w:t>
      </w:r>
      <w:r w:rsidR="00B10749">
        <w:t>cytés</w:t>
      </w:r>
      <w:proofErr w:type="spellEnd"/>
      <w:r w:rsidR="00B10749">
        <w:t xml:space="preserve"> par les macrophages sains =&gt; généralisation à tous le système de phagocytes mononuclées (SPM). De là on a soit une expression clinique, soit un portage asymptomatique (qui peut évoluer vers une expression clinique) soit une contamination du phlébotome.</w:t>
      </w:r>
    </w:p>
    <w:p w:rsidR="006D13C3" w:rsidRDefault="00B10749" w:rsidP="002E01B6">
      <w:pPr>
        <w:spacing w:after="0"/>
        <w:jc w:val="both"/>
      </w:pPr>
      <w:r>
        <w:rPr>
          <w:noProof/>
          <w:lang w:eastAsia="fr-FR"/>
        </w:rPr>
        <w:t xml:space="preserve"> </w:t>
      </w:r>
      <w:r w:rsidR="006D13C3">
        <w:rPr>
          <w:noProof/>
          <w:lang w:eastAsia="fr-FR"/>
        </w:rPr>
        <w:drawing>
          <wp:anchor distT="0" distB="0" distL="114300" distR="114300" simplePos="0" relativeHeight="251662336" behindDoc="0" locked="0" layoutInCell="1" allowOverlap="1" wp14:anchorId="20F634DD" wp14:editId="2056C580">
            <wp:simplePos x="0" y="0"/>
            <wp:positionH relativeFrom="column">
              <wp:posOffset>3961130</wp:posOffset>
            </wp:positionH>
            <wp:positionV relativeFrom="paragraph">
              <wp:posOffset>171450</wp:posOffset>
            </wp:positionV>
            <wp:extent cx="2233930" cy="1547495"/>
            <wp:effectExtent l="19050" t="19050" r="13970" b="14605"/>
            <wp:wrapSquare wrapText="bothSides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3930" cy="15474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13C3" w:rsidRPr="00B10749" w:rsidRDefault="006D13C3" w:rsidP="002E01B6">
      <w:pPr>
        <w:spacing w:after="0"/>
        <w:jc w:val="both"/>
        <w:rPr>
          <w:b/>
        </w:rPr>
      </w:pPr>
      <w:r w:rsidRPr="00B10749">
        <w:rPr>
          <w:b/>
        </w:rPr>
        <w:t>Hôte intermédiaire = phlébotome</w:t>
      </w:r>
    </w:p>
    <w:p w:rsidR="006D13C3" w:rsidRDefault="006D13C3" w:rsidP="006D13C3">
      <w:pPr>
        <w:pStyle w:val="Paragraphedeliste"/>
        <w:numPr>
          <w:ilvl w:val="0"/>
          <w:numId w:val="2"/>
        </w:numPr>
        <w:spacing w:after="0"/>
        <w:jc w:val="both"/>
      </w:pPr>
      <w:r>
        <w:t xml:space="preserve">Diptères minuscules (2-5mm), jaunâtres et bossus, à ailes velues en V au repos. La femelle est la seule hématophage d’activité </w:t>
      </w:r>
      <w:proofErr w:type="spellStart"/>
      <w:r>
        <w:t>vespéro</w:t>
      </w:r>
      <w:proofErr w:type="spellEnd"/>
      <w:r>
        <w:t>-nocturne. Les œufs, larves et nymphes se trouvent sur le sol des gîtes de repos (recoins humides ombragés, terriers…)</w:t>
      </w:r>
    </w:p>
    <w:p w:rsidR="006D13C3" w:rsidRDefault="006D13C3" w:rsidP="006D13C3">
      <w:pPr>
        <w:pStyle w:val="Paragraphedeliste"/>
        <w:numPr>
          <w:ilvl w:val="0"/>
          <w:numId w:val="2"/>
        </w:numPr>
        <w:spacing w:after="0"/>
        <w:jc w:val="both"/>
      </w:pPr>
      <w:r>
        <w:t xml:space="preserve">Répartition géo : zones tropicales tempérées et chaudes </w:t>
      </w:r>
      <w:r w:rsidR="003633EB">
        <w:t xml:space="preserve">comme l’Inde, Asie SE, Afrique E, Amérique Latine et </w:t>
      </w:r>
      <w:r>
        <w:t>notamment le Bassin Méditerranéen : hivernage au stade larvaire et adultes à la belle saison (avril-octobre).</w:t>
      </w:r>
    </w:p>
    <w:p w:rsidR="003633EB" w:rsidRDefault="003633EB" w:rsidP="006D13C3">
      <w:pPr>
        <w:pStyle w:val="Paragraphedeliste"/>
        <w:numPr>
          <w:ilvl w:val="0"/>
          <w:numId w:val="2"/>
        </w:numPr>
        <w:spacing w:after="0"/>
        <w:jc w:val="both"/>
      </w:pPr>
      <w:r>
        <w:lastRenderedPageBreak/>
        <w:t>Prévalence 12million, incidence 2 millions (1,5LC et 0,5LV)</w:t>
      </w:r>
      <w:bookmarkStart w:id="0" w:name="_GoBack"/>
      <w:bookmarkEnd w:id="0"/>
    </w:p>
    <w:p w:rsidR="00B10749" w:rsidRDefault="00B10749" w:rsidP="006D13C3">
      <w:pPr>
        <w:spacing w:after="0"/>
        <w:jc w:val="both"/>
      </w:pPr>
      <w:r>
        <w:t xml:space="preserve">L’expression clinique va dépendre de la souche de leishmania (espèce et </w:t>
      </w:r>
      <w:proofErr w:type="spellStart"/>
      <w:r>
        <w:t>zymodème</w:t>
      </w:r>
      <w:proofErr w:type="spellEnd"/>
      <w:r>
        <w:t>) et de l’hôte (génétique et état immunitaire)</w:t>
      </w:r>
      <w:r w:rsidR="00885A33">
        <w:t> : elle est conditionnée par le terrain : c’est une maladie opportuniste.</w:t>
      </w:r>
    </w:p>
    <w:p w:rsidR="00B10749" w:rsidRDefault="00B10749" w:rsidP="006D13C3">
      <w:pPr>
        <w:spacing w:after="0"/>
        <w:jc w:val="both"/>
      </w:pPr>
    </w:p>
    <w:p w:rsidR="00690D30" w:rsidRDefault="00B10749" w:rsidP="006D13C3">
      <w:pPr>
        <w:spacing w:after="0"/>
        <w:jc w:val="both"/>
      </w:pPr>
      <w:r>
        <w:t xml:space="preserve">Dans le Bassin Méditerranéen, on est en zone endémique de </w:t>
      </w:r>
      <w:r w:rsidRPr="00AF0748">
        <w:rPr>
          <w:b/>
          <w:color w:val="FF0000"/>
        </w:rPr>
        <w:t>Leishmaniose</w:t>
      </w:r>
      <w:r w:rsidRPr="00690D30">
        <w:rPr>
          <w:b/>
        </w:rPr>
        <w:t xml:space="preserve"> </w:t>
      </w:r>
      <w:proofErr w:type="spellStart"/>
      <w:r w:rsidRPr="00AF0748">
        <w:rPr>
          <w:b/>
          <w:color w:val="FF0000"/>
        </w:rPr>
        <w:t>infantum</w:t>
      </w:r>
      <w:proofErr w:type="spellEnd"/>
      <w:r>
        <w:t xml:space="preserve"> (viscérale)</w:t>
      </w:r>
      <w:r w:rsidR="00885A33">
        <w:t> :</w:t>
      </w:r>
      <w:r w:rsidR="00690D30">
        <w:t xml:space="preserve"> </w:t>
      </w:r>
    </w:p>
    <w:p w:rsidR="00690D30" w:rsidRDefault="00AF0748" w:rsidP="00690D30">
      <w:pPr>
        <w:pStyle w:val="Paragraphedeliste"/>
        <w:numPr>
          <w:ilvl w:val="0"/>
          <w:numId w:val="2"/>
        </w:numPr>
        <w:spacing w:after="0"/>
        <w:jc w:val="both"/>
      </w:pPr>
      <w:r>
        <w:t>M</w:t>
      </w:r>
      <w:r w:rsidR="00885A33">
        <w:t>aladie commune</w:t>
      </w:r>
      <w:r w:rsidR="00690D30">
        <w:t xml:space="preserve"> à l’</w:t>
      </w:r>
      <w:r w:rsidR="00885A33">
        <w:t xml:space="preserve">Homme et </w:t>
      </w:r>
      <w:r w:rsidR="00690D30">
        <w:t xml:space="preserve">au </w:t>
      </w:r>
      <w:r w:rsidR="00885A33">
        <w:t>chien qui est le réservoir du parasite (10</w:t>
      </w:r>
      <w:r w:rsidR="00690D30">
        <w:t>0 cas canin pour 1 cas humain)</w:t>
      </w:r>
    </w:p>
    <w:p w:rsidR="00690D30" w:rsidRDefault="00AF0748" w:rsidP="00690D30">
      <w:pPr>
        <w:pStyle w:val="Paragraphedeliste"/>
        <w:numPr>
          <w:ilvl w:val="0"/>
          <w:numId w:val="2"/>
        </w:numPr>
        <w:spacing w:after="0"/>
        <w:jc w:val="both"/>
      </w:pPr>
      <w:proofErr w:type="spellStart"/>
      <w:r>
        <w:t>B</w:t>
      </w:r>
      <w:r w:rsidR="00885A33">
        <w:t>cp</w:t>
      </w:r>
      <w:proofErr w:type="spellEnd"/>
      <w:r w:rsidR="00885A33">
        <w:t xml:space="preserve"> de porteurs asymptomatiques</w:t>
      </w:r>
      <w:r w:rsidR="00690D30">
        <w:t xml:space="preserve"> chez l’Homme</w:t>
      </w:r>
      <w:r w:rsidR="00885A33">
        <w:t xml:space="preserve"> (10-30% de</w:t>
      </w:r>
      <w:r w:rsidR="00690D30">
        <w:t xml:space="preserve"> la pop des collines niçoises)</w:t>
      </w:r>
    </w:p>
    <w:p w:rsidR="00690D30" w:rsidRDefault="00AF0748" w:rsidP="00690D30">
      <w:pPr>
        <w:pStyle w:val="Paragraphedeliste"/>
        <w:numPr>
          <w:ilvl w:val="0"/>
          <w:numId w:val="2"/>
        </w:numPr>
        <w:spacing w:after="0"/>
        <w:jc w:val="both"/>
      </w:pPr>
      <w:r>
        <w:t>F</w:t>
      </w:r>
      <w:r w:rsidR="00690D30">
        <w:t>acteurs de risques :</w:t>
      </w:r>
    </w:p>
    <w:p w:rsidR="00690D30" w:rsidRDefault="00690D30" w:rsidP="00690D30">
      <w:pPr>
        <w:pStyle w:val="Paragraphedeliste"/>
        <w:numPr>
          <w:ilvl w:val="1"/>
          <w:numId w:val="2"/>
        </w:numPr>
        <w:spacing w:after="0"/>
        <w:jc w:val="both"/>
      </w:pPr>
      <w:r>
        <w:t>enfant &lt;3ans (immaturité immunitaire)</w:t>
      </w:r>
    </w:p>
    <w:p w:rsidR="00690D30" w:rsidRDefault="00690D30" w:rsidP="00690D30">
      <w:pPr>
        <w:pStyle w:val="Paragraphedeliste"/>
        <w:numPr>
          <w:ilvl w:val="1"/>
          <w:numId w:val="2"/>
        </w:numPr>
        <w:spacing w:after="0"/>
        <w:jc w:val="both"/>
      </w:pPr>
      <w:r>
        <w:t>adultes : déficit immunitaire temporaire ou définitif : VIH+++, corticothérapie, greffes d’organes, banale virose concomitante</w:t>
      </w:r>
    </w:p>
    <w:p w:rsidR="00690D30" w:rsidRDefault="00AF0748" w:rsidP="00690D30">
      <w:pPr>
        <w:pStyle w:val="Paragraphedeliste"/>
        <w:numPr>
          <w:ilvl w:val="0"/>
          <w:numId w:val="2"/>
        </w:numPr>
        <w:spacing w:after="0"/>
        <w:jc w:val="both"/>
      </w:pPr>
      <w:r>
        <w:t>E</w:t>
      </w:r>
      <w:r w:rsidR="00690D30">
        <w:t>xpressions cliniques :</w:t>
      </w:r>
    </w:p>
    <w:p w:rsidR="00690D30" w:rsidRDefault="002124FB" w:rsidP="00690D30">
      <w:pPr>
        <w:pStyle w:val="Paragraphedeliste"/>
        <w:numPr>
          <w:ilvl w:val="1"/>
          <w:numId w:val="2"/>
        </w:numPr>
        <w:spacing w:after="0"/>
        <w:jc w:val="both"/>
      </w:pPr>
      <w:r>
        <w:t>Portage a</w:t>
      </w:r>
      <w:r w:rsidR="00690D30">
        <w:t>sympto</w:t>
      </w:r>
      <w:r>
        <w:t>matique</w:t>
      </w:r>
    </w:p>
    <w:p w:rsidR="00690D30" w:rsidRDefault="00AF0748" w:rsidP="00690D30">
      <w:pPr>
        <w:pStyle w:val="Paragraphedeliste"/>
        <w:numPr>
          <w:ilvl w:val="1"/>
          <w:numId w:val="2"/>
        </w:numPr>
        <w:spacing w:after="0"/>
        <w:jc w:val="both"/>
      </w:pPr>
      <w:r>
        <w:rPr>
          <w:b/>
          <w:color w:val="FF0000"/>
        </w:rPr>
        <w:t>L</w:t>
      </w:r>
      <w:r w:rsidR="00690D30" w:rsidRPr="00AF0748">
        <w:rPr>
          <w:b/>
          <w:color w:val="FF0000"/>
        </w:rPr>
        <w:t>eishmaniose viscérale</w:t>
      </w:r>
      <w:r w:rsidR="00690D30" w:rsidRPr="00AF0748">
        <w:rPr>
          <w:color w:val="FF0000"/>
        </w:rPr>
        <w:t> </w:t>
      </w:r>
      <w:r w:rsidR="00690D30">
        <w:t>: 10-20cas/an à Nice, fatale si on traitée</w:t>
      </w:r>
    </w:p>
    <w:p w:rsidR="00690D30" w:rsidRDefault="00690D30" w:rsidP="00690D30">
      <w:pPr>
        <w:pStyle w:val="Paragraphedeliste"/>
        <w:numPr>
          <w:ilvl w:val="2"/>
          <w:numId w:val="2"/>
        </w:numPr>
        <w:spacing w:after="0"/>
        <w:jc w:val="both"/>
      </w:pPr>
      <w:r>
        <w:t xml:space="preserve">séjour en zone endémique (incubation de </w:t>
      </w:r>
      <w:proofErr w:type="spellStart"/>
      <w:r>
        <w:t>qq</w:t>
      </w:r>
      <w:proofErr w:type="spellEnd"/>
      <w:r>
        <w:t xml:space="preserve"> </w:t>
      </w:r>
      <w:proofErr w:type="spellStart"/>
      <w:r>
        <w:t>smn</w:t>
      </w:r>
      <w:proofErr w:type="spellEnd"/>
      <w:r>
        <w:t xml:space="preserve"> </w:t>
      </w:r>
      <w:proofErr w:type="spellStart"/>
      <w:r>
        <w:t>à</w:t>
      </w:r>
      <w:proofErr w:type="spellEnd"/>
      <w:r>
        <w:t xml:space="preserve"> plu années voire infinie)</w:t>
      </w:r>
    </w:p>
    <w:p w:rsidR="00690D30" w:rsidRDefault="00690D30" w:rsidP="00690D30">
      <w:pPr>
        <w:pStyle w:val="Paragraphedeliste"/>
        <w:numPr>
          <w:ilvl w:val="2"/>
          <w:numId w:val="2"/>
        </w:numPr>
        <w:spacing w:after="0"/>
        <w:jc w:val="both"/>
      </w:pPr>
      <w:r>
        <w:t xml:space="preserve">triade évocatrice d’installation progressive : </w:t>
      </w:r>
      <w:r w:rsidRPr="002124FB">
        <w:rPr>
          <w:b/>
        </w:rPr>
        <w:t>fièvre</w:t>
      </w:r>
      <w:r>
        <w:t xml:space="preserve"> </w:t>
      </w:r>
      <w:r w:rsidRPr="002124FB">
        <w:rPr>
          <w:b/>
        </w:rPr>
        <w:t>folle</w:t>
      </w:r>
      <w:r>
        <w:t>,</w:t>
      </w:r>
      <w:r w:rsidR="003633EB">
        <w:t xml:space="preserve"> </w:t>
      </w:r>
      <w:r w:rsidR="003633EB" w:rsidRPr="002124FB">
        <w:rPr>
          <w:b/>
        </w:rPr>
        <w:t>pâleur</w:t>
      </w:r>
      <w:r w:rsidR="003633EB">
        <w:t xml:space="preserve"> </w:t>
      </w:r>
      <w:r w:rsidR="003633EB" w:rsidRPr="002124FB">
        <w:rPr>
          <w:b/>
        </w:rPr>
        <w:t>cireuse</w:t>
      </w:r>
      <w:r w:rsidR="003633EB">
        <w:t xml:space="preserve">, </w:t>
      </w:r>
      <w:r w:rsidR="003633EB" w:rsidRPr="002124FB">
        <w:rPr>
          <w:b/>
        </w:rPr>
        <w:t>splénomégalie</w:t>
      </w:r>
      <w:r w:rsidR="003633EB">
        <w:t xml:space="preserve"> </w:t>
      </w:r>
      <w:r>
        <w:t>+/- hépatom</w:t>
      </w:r>
      <w:r w:rsidR="003633EB">
        <w:t>égalie (on peut avoir de l’ascite).</w:t>
      </w:r>
    </w:p>
    <w:p w:rsidR="00690D30" w:rsidRDefault="00690D30" w:rsidP="00690D30">
      <w:pPr>
        <w:pStyle w:val="Paragraphedeliste"/>
        <w:numPr>
          <w:ilvl w:val="2"/>
          <w:numId w:val="2"/>
        </w:numPr>
        <w:spacing w:after="0"/>
        <w:jc w:val="both"/>
      </w:pPr>
      <w:r>
        <w:t xml:space="preserve">évolution si non traitée : amaigrissement, hémorragies, cachexie, infections intercurrentes puis </w:t>
      </w:r>
      <w:r w:rsidRPr="002124FB">
        <w:rPr>
          <w:b/>
        </w:rPr>
        <w:t>décès</w:t>
      </w:r>
      <w:r>
        <w:t>.</w:t>
      </w:r>
    </w:p>
    <w:p w:rsidR="00690D30" w:rsidRDefault="00690D30" w:rsidP="00690D30">
      <w:pPr>
        <w:pStyle w:val="Paragraphedeliste"/>
        <w:numPr>
          <w:ilvl w:val="2"/>
          <w:numId w:val="2"/>
        </w:numPr>
        <w:spacing w:after="0"/>
        <w:jc w:val="both"/>
      </w:pPr>
      <w:r>
        <w:t xml:space="preserve">Examens complémentaires : </w:t>
      </w:r>
    </w:p>
    <w:p w:rsidR="003633EB" w:rsidRDefault="003633EB" w:rsidP="003633EB">
      <w:pPr>
        <w:pStyle w:val="Paragraphedeliste"/>
        <w:numPr>
          <w:ilvl w:val="3"/>
          <w:numId w:val="2"/>
        </w:numPr>
        <w:spacing w:after="0"/>
        <w:jc w:val="both"/>
      </w:pPr>
      <w:proofErr w:type="spellStart"/>
      <w:r>
        <w:t>Immuno</w:t>
      </w:r>
      <w:proofErr w:type="spellEnd"/>
      <w:r>
        <w:t xml:space="preserve"> : dosage des </w:t>
      </w:r>
      <w:proofErr w:type="spellStart"/>
      <w:r>
        <w:t>Ig</w:t>
      </w:r>
      <w:proofErr w:type="spellEnd"/>
      <w:r>
        <w:t xml:space="preserve"> : </w:t>
      </w:r>
      <w:proofErr w:type="spellStart"/>
      <w:r>
        <w:t>IgG</w:t>
      </w:r>
      <w:proofErr w:type="spellEnd"/>
      <w:r>
        <w:t xml:space="preserve"> augmentées +++</w:t>
      </w:r>
    </w:p>
    <w:p w:rsidR="003633EB" w:rsidRDefault="003633EB" w:rsidP="003633EB">
      <w:pPr>
        <w:pStyle w:val="Paragraphedeliste"/>
        <w:numPr>
          <w:ilvl w:val="3"/>
          <w:numId w:val="2"/>
        </w:numPr>
        <w:spacing w:after="0"/>
        <w:jc w:val="both"/>
      </w:pPr>
      <w:r>
        <w:t xml:space="preserve">Hémato : </w:t>
      </w:r>
      <w:proofErr w:type="spellStart"/>
      <w:r>
        <w:t>tricytopénie</w:t>
      </w:r>
      <w:proofErr w:type="spellEnd"/>
      <w:r>
        <w:t xml:space="preserve"> = </w:t>
      </w:r>
      <w:proofErr w:type="spellStart"/>
      <w:r>
        <w:t>pancytopénie</w:t>
      </w:r>
      <w:proofErr w:type="spellEnd"/>
      <w:r>
        <w:t xml:space="preserve"> + anémie + leucopénie (NFS) et VS augmentée (vitesse de sédimentation)</w:t>
      </w:r>
    </w:p>
    <w:p w:rsidR="003633EB" w:rsidRDefault="003633EB" w:rsidP="003633EB">
      <w:pPr>
        <w:pStyle w:val="Paragraphedeliste"/>
        <w:numPr>
          <w:ilvl w:val="3"/>
          <w:numId w:val="2"/>
        </w:numPr>
        <w:spacing w:after="0"/>
        <w:jc w:val="both"/>
      </w:pPr>
      <w:proofErr w:type="spellStart"/>
      <w:r>
        <w:t>Parasito</w:t>
      </w:r>
      <w:proofErr w:type="spellEnd"/>
      <w:r>
        <w:t xml:space="preserve"> : sérodiagnostic puis recherche du parasite dans </w:t>
      </w:r>
      <w:proofErr w:type="gramStart"/>
      <w:r>
        <w:t>le</w:t>
      </w:r>
      <w:proofErr w:type="gramEnd"/>
      <w:r>
        <w:t xml:space="preserve"> moelle osseuse +++ (sinon sang). Un frottis au MGG met en évidence les amastigotes et une culture les </w:t>
      </w:r>
      <w:proofErr w:type="spellStart"/>
      <w:r>
        <w:t>promastigotes</w:t>
      </w:r>
      <w:proofErr w:type="spellEnd"/>
      <w:r>
        <w:t>. Puis PCR (sang ou moelle).</w:t>
      </w:r>
    </w:p>
    <w:p w:rsidR="00E618BC" w:rsidRDefault="00E618BC" w:rsidP="00E618BC">
      <w:pPr>
        <w:pStyle w:val="Paragraphedeliste"/>
        <w:numPr>
          <w:ilvl w:val="3"/>
          <w:numId w:val="2"/>
        </w:numPr>
        <w:spacing w:after="0"/>
        <w:jc w:val="both"/>
      </w:pPr>
      <w:proofErr w:type="spellStart"/>
      <w:r>
        <w:t>Ttt</w:t>
      </w:r>
      <w:proofErr w:type="spellEnd"/>
      <w:r>
        <w:t xml:space="preserve"> : </w:t>
      </w:r>
    </w:p>
    <w:p w:rsidR="00000000" w:rsidRPr="00E618BC" w:rsidRDefault="004D6CE9" w:rsidP="00E618BC">
      <w:pPr>
        <w:pStyle w:val="Paragraphedeliste"/>
        <w:numPr>
          <w:ilvl w:val="4"/>
          <w:numId w:val="2"/>
        </w:numPr>
        <w:spacing w:after="0"/>
        <w:jc w:val="both"/>
      </w:pPr>
      <w:r w:rsidRPr="00E618BC">
        <w:t>Antimoine pentavalent SC ou IV</w:t>
      </w:r>
      <w:r w:rsidR="00E618BC">
        <w:t xml:space="preserve"> </w:t>
      </w:r>
      <w:r w:rsidRPr="00E618BC">
        <w:t>:</w:t>
      </w:r>
      <w:r w:rsidR="00E618BC">
        <w:t xml:space="preserve"> </w:t>
      </w:r>
      <w:proofErr w:type="spellStart"/>
      <w:r w:rsidRPr="00E618BC">
        <w:t>Glucantime</w:t>
      </w:r>
      <w:proofErr w:type="spellEnd"/>
      <w:r w:rsidR="00E618BC">
        <w:t xml:space="preserve">® ; </w:t>
      </w:r>
      <w:proofErr w:type="spellStart"/>
      <w:r w:rsidRPr="00E618BC">
        <w:t>Pentostam</w:t>
      </w:r>
      <w:proofErr w:type="spellEnd"/>
      <w:r w:rsidR="00E618BC">
        <w:t>®</w:t>
      </w:r>
    </w:p>
    <w:p w:rsidR="00000000" w:rsidRPr="00E618BC" w:rsidRDefault="004D6CE9" w:rsidP="00E618BC">
      <w:pPr>
        <w:pStyle w:val="Paragraphedeliste"/>
        <w:numPr>
          <w:ilvl w:val="4"/>
          <w:numId w:val="2"/>
        </w:numPr>
        <w:jc w:val="both"/>
      </w:pPr>
      <w:proofErr w:type="spellStart"/>
      <w:r w:rsidRPr="00E618BC">
        <w:t>Amphotéricine</w:t>
      </w:r>
      <w:proofErr w:type="spellEnd"/>
      <w:r w:rsidRPr="00E618BC">
        <w:t xml:space="preserve"> B IV</w:t>
      </w:r>
      <w:r w:rsidR="00E618BC">
        <w:t xml:space="preserve"> : </w:t>
      </w:r>
      <w:proofErr w:type="spellStart"/>
      <w:r w:rsidRPr="00E618BC">
        <w:t>Fungizone</w:t>
      </w:r>
      <w:proofErr w:type="spellEnd"/>
      <w:r w:rsidR="00E618BC">
        <w:t xml:space="preserve">® ; </w:t>
      </w:r>
      <w:proofErr w:type="spellStart"/>
      <w:r w:rsidRPr="00E618BC">
        <w:rPr>
          <w:b/>
          <w:bCs/>
        </w:rPr>
        <w:t>Ambisome</w:t>
      </w:r>
      <w:proofErr w:type="spellEnd"/>
      <w:r w:rsidR="00E618BC">
        <w:rPr>
          <w:b/>
          <w:bCs/>
        </w:rPr>
        <w:t>®</w:t>
      </w:r>
      <w:r w:rsidRPr="00E618BC">
        <w:t xml:space="preserve"> (liposomes)</w:t>
      </w:r>
      <w:r w:rsidR="00E618BC">
        <w:t xml:space="preserve"> mais /!\ </w:t>
      </w:r>
      <w:proofErr w:type="spellStart"/>
      <w:r w:rsidR="00E618BC">
        <w:t>néphrotoxique</w:t>
      </w:r>
      <w:proofErr w:type="spellEnd"/>
      <w:r w:rsidR="00E618BC">
        <w:t xml:space="preserve"> donc surveillance hospitalière.</w:t>
      </w:r>
    </w:p>
    <w:p w:rsidR="00000000" w:rsidRPr="00E618BC" w:rsidRDefault="004D6CE9" w:rsidP="00AF0748">
      <w:pPr>
        <w:pStyle w:val="Paragraphedeliste"/>
        <w:numPr>
          <w:ilvl w:val="4"/>
          <w:numId w:val="2"/>
        </w:numPr>
        <w:spacing w:after="0"/>
        <w:jc w:val="both"/>
      </w:pPr>
      <w:proofErr w:type="spellStart"/>
      <w:r w:rsidRPr="00E618BC">
        <w:t>Miltefosine</w:t>
      </w:r>
      <w:proofErr w:type="spellEnd"/>
      <w:r w:rsidRPr="00E618BC">
        <w:t xml:space="preserve"> PO</w:t>
      </w:r>
      <w:r w:rsidR="00E618BC">
        <w:t xml:space="preserve"> : </w:t>
      </w:r>
      <w:proofErr w:type="spellStart"/>
      <w:r w:rsidR="00E618BC">
        <w:t>Impavido</w:t>
      </w:r>
      <w:proofErr w:type="spellEnd"/>
      <w:r w:rsidR="00E618BC">
        <w:t>® (</w:t>
      </w:r>
      <w:r w:rsidRPr="00E618BC">
        <w:t>Inde)</w:t>
      </w:r>
      <w:r w:rsidR="00E618BC">
        <w:t xml:space="preserve"> ; </w:t>
      </w:r>
      <w:proofErr w:type="spellStart"/>
      <w:r w:rsidR="00E618BC">
        <w:t>Miltex</w:t>
      </w:r>
      <w:proofErr w:type="spellEnd"/>
      <w:r w:rsidR="00E618BC">
        <w:t>®</w:t>
      </w:r>
      <w:r w:rsidRPr="00E618BC">
        <w:t xml:space="preserve"> </w:t>
      </w:r>
      <w:r w:rsidR="00E618BC">
        <w:t>(</w:t>
      </w:r>
      <w:proofErr w:type="spellStart"/>
      <w:r w:rsidR="00E618BC">
        <w:t>F</w:t>
      </w:r>
      <w:r w:rsidRPr="00E618BC">
        <w:t>ce</w:t>
      </w:r>
      <w:proofErr w:type="spellEnd"/>
      <w:r w:rsidR="00E618BC">
        <w:t xml:space="preserve">, </w:t>
      </w:r>
      <w:r w:rsidRPr="00E618BC">
        <w:t>pas d’AMM)</w:t>
      </w:r>
    </w:p>
    <w:p w:rsidR="00E618BC" w:rsidRDefault="00E618BC" w:rsidP="00AF0748">
      <w:pPr>
        <w:spacing w:after="0"/>
        <w:jc w:val="both"/>
      </w:pPr>
    </w:p>
    <w:p w:rsidR="00690D30" w:rsidRDefault="00AF0748" w:rsidP="00690D30">
      <w:pPr>
        <w:pStyle w:val="Paragraphedeliste"/>
        <w:numPr>
          <w:ilvl w:val="1"/>
          <w:numId w:val="2"/>
        </w:numPr>
        <w:spacing w:after="0"/>
        <w:jc w:val="both"/>
      </w:pPr>
      <w:r>
        <w:rPr>
          <w:b/>
          <w:color w:val="FF0000"/>
        </w:rPr>
        <w:t>L</w:t>
      </w:r>
      <w:r w:rsidR="00690D30" w:rsidRPr="00AF0748">
        <w:rPr>
          <w:b/>
          <w:color w:val="FF0000"/>
        </w:rPr>
        <w:t>eishmaniose cutanée</w:t>
      </w:r>
      <w:r w:rsidR="00690D30" w:rsidRPr="00AF0748">
        <w:rPr>
          <w:color w:val="FF0000"/>
        </w:rPr>
        <w:t> </w:t>
      </w:r>
      <w:r w:rsidR="00690D30">
        <w:t>: 1-2cas/an à Nice, méconnue</w:t>
      </w:r>
    </w:p>
    <w:p w:rsidR="00AF0748" w:rsidRDefault="00AF0748" w:rsidP="002124FB">
      <w:pPr>
        <w:pStyle w:val="Paragraphedeliste"/>
        <w:numPr>
          <w:ilvl w:val="2"/>
          <w:numId w:val="2"/>
        </w:numPr>
        <w:spacing w:after="0"/>
        <w:jc w:val="both"/>
      </w:pPr>
      <w:r>
        <w:rPr>
          <w:noProof/>
          <w:lang w:eastAsia="fr-FR"/>
        </w:rPr>
        <w:drawing>
          <wp:anchor distT="0" distB="0" distL="114300" distR="114300" simplePos="0" relativeHeight="251663360" behindDoc="0" locked="0" layoutInCell="1" allowOverlap="1" wp14:anchorId="4B6A04D3" wp14:editId="3D480332">
            <wp:simplePos x="0" y="0"/>
            <wp:positionH relativeFrom="column">
              <wp:posOffset>4136390</wp:posOffset>
            </wp:positionH>
            <wp:positionV relativeFrom="paragraph">
              <wp:posOffset>3175</wp:posOffset>
            </wp:positionV>
            <wp:extent cx="2132330" cy="844550"/>
            <wp:effectExtent l="0" t="0" r="1270" b="0"/>
            <wp:wrapSquare wrapText="bothSides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2330" cy="84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Présentation clinique : notion de séjour en zone d’endémie, aspects très polymorphes : petit bouton parfois ulcéré qui siège en zone découverte et une persistance de plusieurs mois</w:t>
      </w:r>
      <w:r w:rsidR="002124FB">
        <w:t xml:space="preserve">. </w:t>
      </w:r>
      <w:r>
        <w:t xml:space="preserve">Guérison </w:t>
      </w:r>
      <w:proofErr w:type="spellStart"/>
      <w:r>
        <w:t>ap</w:t>
      </w:r>
      <w:proofErr w:type="spellEnd"/>
      <w:r>
        <w:t xml:space="preserve"> plu mois ou </w:t>
      </w:r>
      <w:proofErr w:type="spellStart"/>
      <w:r>
        <w:t>qq</w:t>
      </w:r>
      <w:proofErr w:type="spellEnd"/>
      <w:r>
        <w:t xml:space="preserve"> années, pas de </w:t>
      </w:r>
      <w:proofErr w:type="spellStart"/>
      <w:r>
        <w:t>viscéralisation</w:t>
      </w:r>
      <w:proofErr w:type="spellEnd"/>
      <w:r>
        <w:t>, cicatrice résiduelle si ulcération.</w:t>
      </w:r>
    </w:p>
    <w:p w:rsidR="002124FB" w:rsidRDefault="002124FB" w:rsidP="00AF0748">
      <w:pPr>
        <w:pStyle w:val="Paragraphedeliste"/>
        <w:numPr>
          <w:ilvl w:val="2"/>
          <w:numId w:val="2"/>
        </w:numPr>
        <w:spacing w:after="0"/>
        <w:jc w:val="both"/>
      </w:pPr>
      <w:r>
        <w:t>Diagnostic </w:t>
      </w:r>
      <w:proofErr w:type="spellStart"/>
      <w:r>
        <w:t>parasitologique</w:t>
      </w:r>
      <w:proofErr w:type="spellEnd"/>
      <w:r>
        <w:t xml:space="preserve"> : </w:t>
      </w:r>
      <w:proofErr w:type="spellStart"/>
      <w:r>
        <w:t>séro</w:t>
      </w:r>
      <w:proofErr w:type="spellEnd"/>
      <w:r>
        <w:t xml:space="preserve"> (WB) et ponction aspiration (colo MGG : amastigotes, culture : </w:t>
      </w:r>
      <w:proofErr w:type="spellStart"/>
      <w:r>
        <w:t>promastigotes</w:t>
      </w:r>
      <w:proofErr w:type="spellEnd"/>
      <w:r>
        <w:t xml:space="preserve">, inoculation au </w:t>
      </w:r>
      <w:proofErr w:type="spellStart"/>
      <w:r>
        <w:t>haster</w:t>
      </w:r>
      <w:proofErr w:type="spellEnd"/>
      <w:r>
        <w:t>, PCR)</w:t>
      </w:r>
    </w:p>
    <w:p w:rsidR="002124FB" w:rsidRDefault="002124FB" w:rsidP="00AF0748">
      <w:pPr>
        <w:pStyle w:val="Paragraphedeliste"/>
        <w:numPr>
          <w:ilvl w:val="2"/>
          <w:numId w:val="2"/>
        </w:numPr>
        <w:spacing w:after="0"/>
        <w:jc w:val="both"/>
      </w:pPr>
      <w:proofErr w:type="spellStart"/>
      <w:r>
        <w:t>Ttt</w:t>
      </w:r>
      <w:proofErr w:type="spellEnd"/>
      <w:r>
        <w:t xml:space="preserve"> : Antimoine pentavalent : injections locales intra-lésionnelles de </w:t>
      </w:r>
      <w:proofErr w:type="spellStart"/>
      <w:r>
        <w:t>Glucantime</w:t>
      </w:r>
      <w:proofErr w:type="spellEnd"/>
      <w:r>
        <w:t>®</w:t>
      </w:r>
    </w:p>
    <w:p w:rsidR="002124FB" w:rsidRDefault="002124FB" w:rsidP="002124FB">
      <w:pPr>
        <w:pStyle w:val="Paragraphedeliste"/>
        <w:numPr>
          <w:ilvl w:val="0"/>
          <w:numId w:val="2"/>
        </w:numPr>
        <w:spacing w:after="0"/>
        <w:jc w:val="both"/>
      </w:pPr>
      <w:r>
        <w:lastRenderedPageBreak/>
        <w:t xml:space="preserve">Prophylaxie : </w:t>
      </w:r>
    </w:p>
    <w:p w:rsidR="00AF0748" w:rsidRDefault="002124FB" w:rsidP="002124FB">
      <w:pPr>
        <w:pStyle w:val="Paragraphedeliste"/>
        <w:numPr>
          <w:ilvl w:val="1"/>
          <w:numId w:val="2"/>
        </w:numPr>
        <w:spacing w:after="0"/>
        <w:jc w:val="both"/>
      </w:pPr>
      <w:r>
        <w:t xml:space="preserve">Actions sur le réservoir : dépister et traiter les chiens atteints : </w:t>
      </w:r>
      <w:proofErr w:type="spellStart"/>
      <w:r>
        <w:t>cachexiques</w:t>
      </w:r>
      <w:proofErr w:type="spellEnd"/>
      <w:r>
        <w:t xml:space="preserve">, augmentation de la taille des griffes, dépigmentation </w:t>
      </w:r>
      <w:proofErr w:type="gramStart"/>
      <w:r>
        <w:t>des poil</w:t>
      </w:r>
      <w:proofErr w:type="gramEnd"/>
      <w:r>
        <w:t xml:space="preserve"> autour des yeux.</w:t>
      </w:r>
    </w:p>
    <w:p w:rsidR="002124FB" w:rsidRDefault="002124FB" w:rsidP="002124FB">
      <w:pPr>
        <w:pStyle w:val="Paragraphedeliste"/>
        <w:numPr>
          <w:ilvl w:val="1"/>
          <w:numId w:val="2"/>
        </w:numPr>
        <w:spacing w:after="0"/>
        <w:jc w:val="both"/>
      </w:pPr>
      <w:r>
        <w:t xml:space="preserve">Actions sur le vecteur : insecticides intra et </w:t>
      </w:r>
      <w:proofErr w:type="spellStart"/>
      <w:r>
        <w:t>péridomiciliaires</w:t>
      </w:r>
      <w:proofErr w:type="spellEnd"/>
      <w:r>
        <w:t xml:space="preserve">, colliers insecticides pour chien, </w:t>
      </w:r>
      <w:proofErr w:type="spellStart"/>
      <w:r>
        <w:t>repellents</w:t>
      </w:r>
      <w:proofErr w:type="spellEnd"/>
    </w:p>
    <w:p w:rsidR="002124FB" w:rsidRDefault="002124FB" w:rsidP="002124FB">
      <w:pPr>
        <w:spacing w:after="0"/>
        <w:jc w:val="both"/>
      </w:pPr>
    </w:p>
    <w:p w:rsidR="002124FB" w:rsidRDefault="002124FB" w:rsidP="002124FB">
      <w:pPr>
        <w:spacing w:after="0"/>
        <w:jc w:val="both"/>
      </w:pPr>
      <w:r>
        <w:t>Autres Leishmanioses :</w:t>
      </w:r>
    </w:p>
    <w:p w:rsidR="002124FB" w:rsidRDefault="002124FB" w:rsidP="002124FB">
      <w:pPr>
        <w:pStyle w:val="Paragraphedeliste"/>
        <w:numPr>
          <w:ilvl w:val="0"/>
          <w:numId w:val="2"/>
        </w:numPr>
        <w:spacing w:after="0"/>
        <w:jc w:val="both"/>
      </w:pPr>
      <w:proofErr w:type="spellStart"/>
      <w:r>
        <w:t>Kala</w:t>
      </w:r>
      <w:proofErr w:type="spellEnd"/>
      <w:r>
        <w:t xml:space="preserve"> </w:t>
      </w:r>
      <w:proofErr w:type="spellStart"/>
      <w:r>
        <w:t>Azar</w:t>
      </w:r>
      <w:proofErr w:type="spellEnd"/>
      <w:r>
        <w:t> : viscérale, séquelles = nodules cutanés (mains +++). Surtout en Inde (NE) et Afrique de l’Est</w:t>
      </w:r>
    </w:p>
    <w:p w:rsidR="00797DE4" w:rsidRDefault="002124FB" w:rsidP="002124FB">
      <w:pPr>
        <w:pStyle w:val="Paragraphedeliste"/>
        <w:numPr>
          <w:ilvl w:val="0"/>
          <w:numId w:val="2"/>
        </w:numPr>
        <w:spacing w:after="0"/>
        <w:jc w:val="both"/>
      </w:pPr>
      <w:r>
        <w:t xml:space="preserve">LCL, Bouton d’Orient, Pians-Bois : papules ulcérées (parasite en périphérie). </w:t>
      </w:r>
      <w:r w:rsidR="00797DE4">
        <w:t xml:space="preserve">Ancien et </w:t>
      </w:r>
      <w:proofErr w:type="spellStart"/>
      <w:r w:rsidR="00797DE4">
        <w:t>Nv</w:t>
      </w:r>
      <w:proofErr w:type="spellEnd"/>
      <w:r w:rsidR="00797DE4">
        <w:t xml:space="preserve"> Monde.</w:t>
      </w:r>
    </w:p>
    <w:p w:rsidR="002124FB" w:rsidRDefault="00797DE4" w:rsidP="002124FB">
      <w:pPr>
        <w:pStyle w:val="Paragraphedeliste"/>
        <w:numPr>
          <w:ilvl w:val="0"/>
          <w:numId w:val="2"/>
        </w:numPr>
        <w:spacing w:after="0"/>
        <w:jc w:val="both"/>
      </w:pPr>
      <w:r>
        <w:t>LCM : p</w:t>
      </w:r>
      <w:r w:rsidR="002124FB">
        <w:t xml:space="preserve">eut entraîner des nodules disséminés et </w:t>
      </w:r>
      <w:proofErr w:type="spellStart"/>
      <w:r w:rsidR="002124FB">
        <w:t>jsq</w:t>
      </w:r>
      <w:proofErr w:type="spellEnd"/>
      <w:r w:rsidR="002124FB">
        <w:t xml:space="preserve"> à une destruction du massif facial avec atteinte du cartilage ++</w:t>
      </w:r>
      <w:r>
        <w:t>, notamment de l’oreille. Amérique latine</w:t>
      </w:r>
    </w:p>
    <w:p w:rsidR="00797DE4" w:rsidRDefault="00797DE4" w:rsidP="002124FB">
      <w:pPr>
        <w:pStyle w:val="Paragraphedeliste"/>
        <w:numPr>
          <w:ilvl w:val="0"/>
          <w:numId w:val="2"/>
        </w:numPr>
        <w:spacing w:after="0"/>
        <w:jc w:val="both"/>
      </w:pPr>
      <w:r>
        <w:t>LCD</w:t>
      </w:r>
    </w:p>
    <w:p w:rsidR="00797DE4" w:rsidRDefault="00797DE4" w:rsidP="00797DE4">
      <w:pPr>
        <w:spacing w:after="0"/>
        <w:jc w:val="both"/>
      </w:pPr>
      <w:r>
        <w:rPr>
          <w:noProof/>
          <w:lang w:eastAsia="fr-FR"/>
        </w:rPr>
        <w:drawing>
          <wp:inline distT="0" distB="0" distL="0" distR="0">
            <wp:extent cx="2430147" cy="1863305"/>
            <wp:effectExtent l="0" t="0" r="8255" b="381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045" cy="1863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7DE4" w:rsidRDefault="00797DE4" w:rsidP="00797DE4">
      <w:pPr>
        <w:spacing w:after="0"/>
        <w:jc w:val="both"/>
      </w:pPr>
    </w:p>
    <w:p w:rsidR="00AF0748" w:rsidRPr="00AF3E44" w:rsidRDefault="00AF0748" w:rsidP="00AF0748">
      <w:pPr>
        <w:spacing w:after="0"/>
        <w:jc w:val="both"/>
      </w:pPr>
    </w:p>
    <w:sectPr w:rsidR="00AF0748" w:rsidRPr="00AF3E44"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6CE9" w:rsidRDefault="004D6CE9" w:rsidP="00797DE4">
      <w:pPr>
        <w:spacing w:after="0" w:line="240" w:lineRule="auto"/>
      </w:pPr>
      <w:r>
        <w:separator/>
      </w:r>
    </w:p>
  </w:endnote>
  <w:endnote w:type="continuationSeparator" w:id="0">
    <w:p w:rsidR="004D6CE9" w:rsidRDefault="004D6CE9" w:rsidP="00797D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87831261"/>
      <w:docPartObj>
        <w:docPartGallery w:val="Page Numbers (Bottom of Page)"/>
        <w:docPartUnique/>
      </w:docPartObj>
    </w:sdtPr>
    <w:sdtContent>
      <w:p w:rsidR="00797DE4" w:rsidRDefault="00797DE4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797DE4" w:rsidRDefault="00797DE4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6CE9" w:rsidRDefault="004D6CE9" w:rsidP="00797DE4">
      <w:pPr>
        <w:spacing w:after="0" w:line="240" w:lineRule="auto"/>
      </w:pPr>
      <w:r>
        <w:separator/>
      </w:r>
    </w:p>
  </w:footnote>
  <w:footnote w:type="continuationSeparator" w:id="0">
    <w:p w:rsidR="004D6CE9" w:rsidRDefault="004D6CE9" w:rsidP="00797D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963EE"/>
    <w:multiLevelType w:val="hybridMultilevel"/>
    <w:tmpl w:val="F9225022"/>
    <w:lvl w:ilvl="0" w:tplc="B532B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5036B4"/>
    <w:multiLevelType w:val="hybridMultilevel"/>
    <w:tmpl w:val="BBCC2D26"/>
    <w:lvl w:ilvl="0" w:tplc="54FE23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EF8946A">
      <w:start w:val="30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B7CF3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14D7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D1E25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52C3A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6A9F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7DE4F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160B4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5E0A62CC"/>
    <w:multiLevelType w:val="hybridMultilevel"/>
    <w:tmpl w:val="8B721E62"/>
    <w:lvl w:ilvl="0" w:tplc="6DB053A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E44"/>
    <w:rsid w:val="002124FB"/>
    <w:rsid w:val="002E01B6"/>
    <w:rsid w:val="003633EB"/>
    <w:rsid w:val="004D6CE9"/>
    <w:rsid w:val="00690D30"/>
    <w:rsid w:val="006D13C3"/>
    <w:rsid w:val="00797DE4"/>
    <w:rsid w:val="00885A33"/>
    <w:rsid w:val="00AF0748"/>
    <w:rsid w:val="00AF3E44"/>
    <w:rsid w:val="00B10749"/>
    <w:rsid w:val="00E618BC"/>
    <w:rsid w:val="00FE6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F3E44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2E01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E01B6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797D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797DE4"/>
  </w:style>
  <w:style w:type="paragraph" w:styleId="Pieddepage">
    <w:name w:val="footer"/>
    <w:basedOn w:val="Normal"/>
    <w:link w:val="PieddepageCar"/>
    <w:uiPriority w:val="99"/>
    <w:unhideWhenUsed/>
    <w:rsid w:val="00797D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97D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F3E44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2E01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E01B6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797D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797DE4"/>
  </w:style>
  <w:style w:type="paragraph" w:styleId="Pieddepage">
    <w:name w:val="footer"/>
    <w:basedOn w:val="Normal"/>
    <w:link w:val="PieddepageCar"/>
    <w:uiPriority w:val="99"/>
    <w:unhideWhenUsed/>
    <w:rsid w:val="00797D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97D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17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6768">
          <w:marLeft w:val="533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269709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17836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7179">
          <w:marLeft w:val="533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3590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0842">
          <w:marLeft w:val="1166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1023">
          <w:marLeft w:val="533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41650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55494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787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</dc:creator>
  <cp:lastModifiedBy>ju</cp:lastModifiedBy>
  <cp:revision>5</cp:revision>
  <dcterms:created xsi:type="dcterms:W3CDTF">2011-11-23T14:44:00Z</dcterms:created>
  <dcterms:modified xsi:type="dcterms:W3CDTF">2011-11-24T13:01:00Z</dcterms:modified>
</cp:coreProperties>
</file>