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BDD743" w14:textId="77777777" w:rsidR="001B038E" w:rsidRPr="00392CA2" w:rsidRDefault="00F30751" w:rsidP="001B038E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BA53389" wp14:editId="2BB6C2C5">
            <wp:simplePos x="0" y="0"/>
            <wp:positionH relativeFrom="column">
              <wp:posOffset>5748655</wp:posOffset>
            </wp:positionH>
            <wp:positionV relativeFrom="paragraph">
              <wp:posOffset>-239395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1D5ADBA8" wp14:editId="41A97893">
                <wp:simplePos x="0" y="0"/>
                <wp:positionH relativeFrom="column">
                  <wp:posOffset>-58420</wp:posOffset>
                </wp:positionH>
                <wp:positionV relativeFrom="paragraph">
                  <wp:posOffset>-15875</wp:posOffset>
                </wp:positionV>
                <wp:extent cx="6814185" cy="769620"/>
                <wp:effectExtent l="0" t="0" r="5715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9E2F91" id="Rectangle 2" o:spid="_x0000_s1026" style="position:absolute;margin-left:-4.6pt;margin-top:-1.25pt;width:536.55pt;height:60.6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" filled="f" strokecolor="#a6a6a6" strokeweight="2pt"/>
            </w:pict>
          </mc:Fallback>
        </mc:AlternateContent>
      </w:r>
      <w:r w:rsidR="001B038E" w:rsidRPr="0055059B">
        <w:rPr>
          <w:rFonts w:eastAsia="Times New Roman" w:cs="Calibri"/>
          <w:sz w:val="40"/>
          <w:szCs w:val="40"/>
        </w:rPr>
        <w:t>E</w:t>
      </w:r>
      <w:r w:rsidR="001B038E" w:rsidRPr="00392CA2">
        <w:rPr>
          <w:rFonts w:eastAsia="Times New Roman" w:cs="Calibri"/>
          <w:sz w:val="40"/>
          <w:szCs w:val="40"/>
        </w:rPr>
        <w:t>preuve</w:t>
      </w:r>
      <w:r w:rsidR="001B038E" w:rsidRPr="00392CA2">
        <w:rPr>
          <w:rFonts w:eastAsia="Times New Roman" w:cs="Calibri"/>
          <w:b/>
          <w:sz w:val="40"/>
          <w:szCs w:val="40"/>
        </w:rPr>
        <w:t xml:space="preserve"> </w:t>
      </w:r>
      <w:r w:rsidR="00FF0B3B" w:rsidRPr="00392CA2">
        <w:rPr>
          <w:rFonts w:eastAsia="Times New Roman" w:cs="Calibri"/>
          <w:b/>
          <w:sz w:val="40"/>
          <w:szCs w:val="40"/>
        </w:rPr>
        <w:t>UE</w:t>
      </w:r>
      <w:r w:rsidR="00392CA2" w:rsidRPr="00392CA2">
        <w:rPr>
          <w:rFonts w:eastAsia="Times New Roman" w:cs="Calibri"/>
          <w:b/>
          <w:sz w:val="40"/>
          <w:szCs w:val="40"/>
        </w:rPr>
        <w:t>9</w:t>
      </w:r>
      <w:r w:rsidR="00FF0B3B" w:rsidRPr="00392CA2">
        <w:rPr>
          <w:rFonts w:eastAsia="Times New Roman" w:cs="Calibri"/>
          <w:b/>
          <w:sz w:val="40"/>
          <w:szCs w:val="40"/>
        </w:rPr>
        <w:t xml:space="preserve"> </w:t>
      </w:r>
    </w:p>
    <w:p w14:paraId="22F7EFE5" w14:textId="77777777" w:rsidR="0055059B" w:rsidRPr="0055059B" w:rsidRDefault="00392CA2" w:rsidP="0055059B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 w:rsidRPr="00392CA2">
        <w:rPr>
          <w:rFonts w:eastAsia="Times New Roman" w:cs="Calibri"/>
          <w:sz w:val="36"/>
          <w:szCs w:val="40"/>
        </w:rPr>
        <w:t>Concours</w:t>
      </w:r>
      <w:r w:rsidR="007A2542" w:rsidRPr="00392CA2">
        <w:rPr>
          <w:rFonts w:eastAsia="Times New Roman" w:cs="Calibri"/>
          <w:sz w:val="36"/>
          <w:szCs w:val="40"/>
        </w:rPr>
        <w:t xml:space="preserve"> 201</w:t>
      </w:r>
      <w:r w:rsidR="00234A0D">
        <w:rPr>
          <w:rFonts w:eastAsia="Times New Roman" w:cs="Calibri"/>
          <w:sz w:val="36"/>
          <w:szCs w:val="40"/>
        </w:rPr>
        <w:t>6</w:t>
      </w:r>
      <w:r w:rsidR="00835C1B" w:rsidRPr="00392CA2">
        <w:rPr>
          <w:rFonts w:eastAsia="Times New Roman" w:cs="Calibri"/>
          <w:sz w:val="36"/>
          <w:szCs w:val="40"/>
        </w:rPr>
        <w:t>-</w:t>
      </w:r>
      <w:r w:rsidR="007A2542" w:rsidRPr="00392CA2">
        <w:rPr>
          <w:rFonts w:eastAsia="Times New Roman" w:cs="Calibri"/>
          <w:sz w:val="36"/>
          <w:szCs w:val="40"/>
        </w:rPr>
        <w:t>201</w:t>
      </w:r>
      <w:r w:rsidR="00234A0D">
        <w:rPr>
          <w:rFonts w:eastAsia="Times New Roman" w:cs="Calibri"/>
          <w:sz w:val="36"/>
          <w:szCs w:val="40"/>
        </w:rPr>
        <w:t>7</w:t>
      </w:r>
      <w:r w:rsidR="0055059B" w:rsidRPr="00392CA2">
        <w:rPr>
          <w:rFonts w:eastAsia="Times New Roman" w:cs="Calibri"/>
          <w:sz w:val="36"/>
          <w:szCs w:val="40"/>
        </w:rPr>
        <w:t> :</w:t>
      </w:r>
      <w:r w:rsidR="0055059B" w:rsidRPr="00392CA2">
        <w:rPr>
          <w:rFonts w:eastAsia="Times New Roman"/>
          <w:b/>
          <w:sz w:val="20"/>
        </w:rPr>
        <w:t xml:space="preserve"> </w:t>
      </w:r>
      <w:r w:rsidRPr="00392CA2">
        <w:rPr>
          <w:rFonts w:eastAsia="Times New Roman" w:cs="Calibri"/>
          <w:b/>
          <w:color w:val="000000"/>
          <w:sz w:val="28"/>
          <w:szCs w:val="28"/>
        </w:rPr>
        <w:t>15</w:t>
      </w:r>
      <w:r w:rsidR="0055059B" w:rsidRPr="00392CA2">
        <w:rPr>
          <w:rFonts w:eastAsia="Times New Roman" w:cs="Calibri"/>
          <w:b/>
          <w:color w:val="FF0000"/>
          <w:sz w:val="28"/>
          <w:szCs w:val="28"/>
        </w:rPr>
        <w:t xml:space="preserve"> </w:t>
      </w:r>
      <w:r w:rsidR="0055059B" w:rsidRPr="00392CA2">
        <w:rPr>
          <w:rFonts w:eastAsia="Times New Roman" w:cs="Calibri"/>
          <w:b/>
          <w:sz w:val="28"/>
          <w:szCs w:val="28"/>
        </w:rPr>
        <w:t>QCMS</w:t>
      </w:r>
      <w:r w:rsidR="00545DCF" w:rsidRPr="00392CA2">
        <w:rPr>
          <w:rFonts w:eastAsia="Times New Roman" w:cs="Calibri"/>
          <w:b/>
          <w:sz w:val="28"/>
          <w:szCs w:val="28"/>
        </w:rPr>
        <w:t xml:space="preserve"> </w:t>
      </w:r>
      <w:r w:rsidR="003B26C6" w:rsidRPr="00392CA2">
        <w:rPr>
          <w:rFonts w:eastAsia="Times New Roman" w:cs="Calibri"/>
          <w:b/>
          <w:sz w:val="28"/>
          <w:szCs w:val="28"/>
        </w:rPr>
        <w:t xml:space="preserve">– Durée : </w:t>
      </w:r>
      <w:r w:rsidRPr="00392CA2">
        <w:rPr>
          <w:rFonts w:eastAsia="Times New Roman" w:cs="Calibri"/>
          <w:b/>
          <w:sz w:val="28"/>
          <w:szCs w:val="28"/>
        </w:rPr>
        <w:t>20</w:t>
      </w:r>
      <w:r w:rsidR="003B26C6" w:rsidRPr="00392CA2">
        <w:rPr>
          <w:rFonts w:eastAsia="Times New Roman" w:cs="Calibri"/>
          <w:b/>
          <w:sz w:val="28"/>
          <w:szCs w:val="28"/>
        </w:rPr>
        <w:t xml:space="preserve">min – </w:t>
      </w:r>
      <w:r w:rsidR="00077C35" w:rsidRPr="00392CA2">
        <w:rPr>
          <w:rFonts w:eastAsia="Times New Roman" w:cs="Calibri"/>
          <w:b/>
          <w:sz w:val="28"/>
          <w:szCs w:val="28"/>
        </w:rPr>
        <w:t>Code épreuve : 00</w:t>
      </w:r>
      <w:r w:rsidR="00835C1B" w:rsidRPr="00392CA2">
        <w:rPr>
          <w:rFonts w:eastAsia="Times New Roman" w:cs="Calibri"/>
          <w:b/>
          <w:sz w:val="28"/>
          <w:szCs w:val="28"/>
        </w:rPr>
        <w:t>0</w:t>
      </w:r>
      <w:r w:rsidRPr="00392CA2">
        <w:rPr>
          <w:rFonts w:eastAsia="Times New Roman" w:cs="Calibri"/>
          <w:b/>
          <w:sz w:val="28"/>
          <w:szCs w:val="28"/>
        </w:rPr>
        <w:t>9</w:t>
      </w:r>
    </w:p>
    <w:p w14:paraId="1CBAF3C5" w14:textId="77777777" w:rsidR="007E4BB3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B267C4C" w14:textId="77777777" w:rsidR="0050312F" w:rsidRDefault="0050312F" w:rsidP="000B6DC2">
      <w:pPr>
        <w:pStyle w:val="Grillemoyenne21"/>
        <w:tabs>
          <w:tab w:val="left" w:pos="1020"/>
        </w:tabs>
        <w:spacing w:after="160"/>
        <w:rPr>
          <w:rFonts w:ascii="Arial" w:hAnsi="Arial" w:cs="Arial"/>
          <w:sz w:val="20"/>
          <w:szCs w:val="20"/>
        </w:rPr>
      </w:pPr>
    </w:p>
    <w:p w14:paraId="1E7B3E23" w14:textId="77777777" w:rsidR="00531C96" w:rsidRPr="00392CA2" w:rsidRDefault="00531C96" w:rsidP="00531C96">
      <w:pPr>
        <w:spacing w:after="120" w:line="240" w:lineRule="auto"/>
        <w:ind w:right="119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  <w:r w:rsidRPr="00392CA2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De la question 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</w:rPr>
        <w:t>6</w:t>
      </w:r>
      <w:r w:rsidRPr="00392CA2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 à la question 1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</w:rPr>
        <w:t>5</w:t>
      </w:r>
      <w:r w:rsidRPr="00392CA2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 </w:t>
      </w:r>
    </w:p>
    <w:p w14:paraId="790B85F9" w14:textId="77777777" w:rsidR="00FC08A8" w:rsidRDefault="00531C96" w:rsidP="00531C9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392CA2">
        <w:rPr>
          <w:rFonts w:ascii="Arial" w:eastAsia="Times New Roman" w:hAnsi="Arial" w:cs="Arial"/>
          <w:b/>
          <w:bCs/>
          <w:sz w:val="20"/>
          <w:szCs w:val="20"/>
        </w:rPr>
        <w:t>Quelle est ou quelles sont la ou les proposition(s) exacte(s) ?</w:t>
      </w:r>
    </w:p>
    <w:p w14:paraId="4A1FA9AD" w14:textId="77777777" w:rsidR="00391501" w:rsidRPr="00392CA2" w:rsidRDefault="00391501" w:rsidP="00391501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</w:p>
    <w:p w14:paraId="3BBD3461" w14:textId="77777777" w:rsidR="00545DCF" w:rsidRDefault="007A2542" w:rsidP="006E04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531C96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45DCF"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r w:rsidR="00531C96">
        <w:rPr>
          <w:rFonts w:ascii="Arial" w:eastAsia="Times New Roman" w:hAnsi="Arial" w:cs="Arial"/>
          <w:b/>
          <w:bCs/>
          <w:sz w:val="20"/>
          <w:szCs w:val="20"/>
        </w:rPr>
        <w:t xml:space="preserve">Parmi les muscles du périnée, on peut citer : </w:t>
      </w:r>
    </w:p>
    <w:p w14:paraId="648F419B" w14:textId="77777777" w:rsidR="00531C96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 w:rsidR="00531C96">
        <w:rPr>
          <w:rFonts w:ascii="Arial" w:eastAsia="Times New Roman" w:hAnsi="Arial" w:cs="Arial"/>
          <w:sz w:val="20"/>
          <w:szCs w:val="20"/>
        </w:rPr>
        <w:t xml:space="preserve"> Le muscle piriforme </w:t>
      </w:r>
      <w:r w:rsidR="007A2542">
        <w:rPr>
          <w:rFonts w:ascii="Arial" w:eastAsia="Times New Roman" w:hAnsi="Arial" w:cs="Arial"/>
          <w:sz w:val="20"/>
          <w:szCs w:val="20"/>
        </w:rPr>
        <w:t xml:space="preserve"> </w:t>
      </w:r>
    </w:p>
    <w:p w14:paraId="66D4C560" w14:textId="77777777" w:rsidR="00B725C8" w:rsidRPr="00F11A32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 w:rsidR="007A2542">
        <w:rPr>
          <w:rFonts w:ascii="Arial" w:eastAsia="Times New Roman" w:hAnsi="Arial" w:cs="Arial"/>
          <w:sz w:val="20"/>
          <w:szCs w:val="20"/>
        </w:rPr>
        <w:t xml:space="preserve"> </w:t>
      </w:r>
      <w:r w:rsidR="00531C96">
        <w:rPr>
          <w:rFonts w:ascii="Arial" w:eastAsia="Times New Roman" w:hAnsi="Arial" w:cs="Arial"/>
          <w:sz w:val="20"/>
          <w:szCs w:val="20"/>
        </w:rPr>
        <w:t xml:space="preserve">Le muscle obturateur médial </w:t>
      </w:r>
    </w:p>
    <w:p w14:paraId="0BA4ED90" w14:textId="77777777" w:rsidR="00B725C8" w:rsidRPr="00A837E0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531C96">
        <w:rPr>
          <w:rFonts w:ascii="Arial" w:eastAsia="Times New Roman" w:hAnsi="Arial" w:cs="Arial"/>
          <w:sz w:val="20"/>
          <w:szCs w:val="20"/>
        </w:rPr>
        <w:t xml:space="preserve">Le muscle obturateur latéral </w:t>
      </w:r>
    </w:p>
    <w:p w14:paraId="513A6030" w14:textId="77777777" w:rsidR="00B725C8" w:rsidRPr="00FC08A8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08A8">
        <w:rPr>
          <w:rFonts w:ascii="Arial" w:eastAsia="Times New Roman" w:hAnsi="Arial" w:cs="Arial"/>
          <w:sz w:val="20"/>
          <w:szCs w:val="20"/>
        </w:rPr>
        <w:t>D)</w:t>
      </w:r>
      <w:r w:rsidR="007A2542" w:rsidRPr="00FC08A8">
        <w:rPr>
          <w:rFonts w:ascii="Arial" w:eastAsia="Times New Roman" w:hAnsi="Arial" w:cs="Arial"/>
          <w:sz w:val="20"/>
          <w:szCs w:val="20"/>
        </w:rPr>
        <w:t xml:space="preserve"> </w:t>
      </w:r>
      <w:r w:rsidR="00531C96">
        <w:rPr>
          <w:rFonts w:ascii="Arial" w:eastAsia="Times New Roman" w:hAnsi="Arial" w:cs="Arial"/>
          <w:sz w:val="20"/>
          <w:szCs w:val="20"/>
        </w:rPr>
        <w:t xml:space="preserve">Le muscle transverse de l’abdomen </w:t>
      </w:r>
    </w:p>
    <w:p w14:paraId="4788F817" w14:textId="77777777" w:rsidR="00FC08A8" w:rsidRDefault="00B725C8" w:rsidP="00531C9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392CA2">
        <w:rPr>
          <w:rFonts w:ascii="Arial" w:eastAsia="Times New Roman" w:hAnsi="Arial" w:cs="Arial"/>
          <w:sz w:val="20"/>
          <w:szCs w:val="20"/>
        </w:rPr>
        <w:t>Les propositions A, B, C et D sont fausses</w:t>
      </w:r>
    </w:p>
    <w:p w14:paraId="6CA25E59" w14:textId="77777777" w:rsidR="00531C96" w:rsidRPr="00531C96" w:rsidRDefault="00531C96" w:rsidP="00531C9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C0A6DED" w14:textId="77777777" w:rsidR="00392CA2" w:rsidRDefault="000F028C" w:rsidP="000F028C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531C96"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531C96">
        <w:rPr>
          <w:rFonts w:ascii="Arial" w:eastAsia="Times New Roman" w:hAnsi="Arial" w:cs="Arial"/>
          <w:b/>
          <w:bCs/>
          <w:sz w:val="20"/>
          <w:szCs w:val="20"/>
        </w:rPr>
        <w:t xml:space="preserve">Sur le bord postérieur de l’os coxal on trouve : </w:t>
      </w:r>
    </w:p>
    <w:p w14:paraId="2727DEA9" w14:textId="77777777" w:rsidR="000F028C" w:rsidRPr="00F11A32" w:rsidRDefault="000F028C" w:rsidP="000F028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531C96">
        <w:rPr>
          <w:rFonts w:ascii="Arial" w:eastAsia="Times New Roman" w:hAnsi="Arial" w:cs="Arial"/>
          <w:sz w:val="20"/>
          <w:szCs w:val="20"/>
        </w:rPr>
        <w:t xml:space="preserve">L’épine ischiatique ou sciatique au-dessus de la grande échancrure sciatique ou ischiatique </w:t>
      </w:r>
    </w:p>
    <w:p w14:paraId="3F95D0C3" w14:textId="77777777" w:rsidR="000F028C" w:rsidRPr="00F11A32" w:rsidRDefault="000F028C" w:rsidP="000F028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531C96">
        <w:rPr>
          <w:rFonts w:ascii="Arial" w:eastAsia="Times New Roman" w:hAnsi="Arial" w:cs="Arial"/>
          <w:sz w:val="20"/>
          <w:szCs w:val="20"/>
        </w:rPr>
        <w:t xml:space="preserve">L’épine ischiatique au-dessous de la petite échancrure ischiatique </w:t>
      </w:r>
      <w:r w:rsidR="00DB1004">
        <w:rPr>
          <w:rFonts w:ascii="Arial" w:eastAsia="Times New Roman" w:hAnsi="Arial" w:cs="Arial"/>
          <w:sz w:val="20"/>
          <w:szCs w:val="20"/>
        </w:rPr>
        <w:t xml:space="preserve"> </w:t>
      </w:r>
      <w:r w:rsidR="00392CA2">
        <w:rPr>
          <w:rFonts w:ascii="Arial" w:eastAsia="Times New Roman" w:hAnsi="Arial" w:cs="Arial"/>
          <w:sz w:val="20"/>
          <w:szCs w:val="20"/>
        </w:rPr>
        <w:t xml:space="preserve"> </w:t>
      </w:r>
    </w:p>
    <w:p w14:paraId="71769ABC" w14:textId="77777777" w:rsidR="000F028C" w:rsidRPr="00A837E0" w:rsidRDefault="000F028C" w:rsidP="000F028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531C96">
        <w:rPr>
          <w:rFonts w:ascii="Arial" w:eastAsia="Times New Roman" w:hAnsi="Arial" w:cs="Arial"/>
          <w:sz w:val="20"/>
          <w:szCs w:val="20"/>
        </w:rPr>
        <w:t xml:space="preserve">La tubérosité de l’ischion au-dessous de la petite échancrure ischiatique </w:t>
      </w:r>
    </w:p>
    <w:p w14:paraId="6E1B0C97" w14:textId="77777777" w:rsidR="000F028C" w:rsidRPr="00A837E0" w:rsidRDefault="000F028C" w:rsidP="000F028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 w:rsidR="00531C96">
        <w:rPr>
          <w:rFonts w:ascii="Arial" w:eastAsia="Times New Roman" w:hAnsi="Arial" w:cs="Arial"/>
          <w:sz w:val="20"/>
          <w:szCs w:val="20"/>
        </w:rPr>
        <w:t xml:space="preserve"> L’épine iliaque postéro-inférieure au-dessus de la grande échancrure ischiatique </w:t>
      </w:r>
    </w:p>
    <w:p w14:paraId="1EBEE515" w14:textId="77777777" w:rsidR="000F028C" w:rsidRDefault="000F028C" w:rsidP="000F028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392CA2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1C672395" w14:textId="77777777" w:rsidR="002D5589" w:rsidRDefault="002D5589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BCCD383" w14:textId="77777777" w:rsidR="00392CA2" w:rsidRDefault="00392CA2" w:rsidP="00392CA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531C96">
        <w:rPr>
          <w:rFonts w:ascii="Arial" w:eastAsia="Times New Roman" w:hAnsi="Arial" w:cs="Arial"/>
          <w:b/>
          <w:bCs/>
          <w:sz w:val="20"/>
          <w:szCs w:val="20"/>
          <w:u w:val="single"/>
        </w:rPr>
        <w:t>3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531C96">
        <w:rPr>
          <w:rFonts w:ascii="Arial" w:eastAsia="Times New Roman" w:hAnsi="Arial" w:cs="Arial"/>
          <w:b/>
          <w:bCs/>
          <w:sz w:val="20"/>
          <w:szCs w:val="20"/>
        </w:rPr>
        <w:t xml:space="preserve">Sur le bord antérieur de l’os coxal on trouve : </w:t>
      </w:r>
    </w:p>
    <w:p w14:paraId="3BDB0DE6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531C96">
        <w:rPr>
          <w:rFonts w:ascii="Arial" w:eastAsia="Times New Roman" w:hAnsi="Arial" w:cs="Arial"/>
          <w:sz w:val="20"/>
          <w:szCs w:val="20"/>
        </w:rPr>
        <w:t xml:space="preserve">L’épine du pubis ou tubercule pubien </w:t>
      </w:r>
    </w:p>
    <w:p w14:paraId="5DB10B11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531C96">
        <w:rPr>
          <w:rFonts w:ascii="Arial" w:eastAsia="Times New Roman" w:hAnsi="Arial" w:cs="Arial"/>
          <w:sz w:val="20"/>
          <w:szCs w:val="20"/>
        </w:rPr>
        <w:t xml:space="preserve">La gouttière de passage du nerf obturateur au-dessous de la branche horizontale ou supérieure du pubis </w:t>
      </w:r>
      <w:r w:rsidR="00DB100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6C027532" w14:textId="77777777" w:rsidR="00531C96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531C96">
        <w:rPr>
          <w:rFonts w:ascii="Arial" w:eastAsia="Times New Roman" w:hAnsi="Arial" w:cs="Arial"/>
          <w:sz w:val="20"/>
          <w:szCs w:val="20"/>
        </w:rPr>
        <w:t xml:space="preserve">La gouttière de passage du nerf fémoral </w:t>
      </w:r>
      <w:r w:rsidR="006F1F60">
        <w:rPr>
          <w:rFonts w:ascii="Arial" w:eastAsia="Times New Roman" w:hAnsi="Arial" w:cs="Arial"/>
          <w:sz w:val="20"/>
          <w:szCs w:val="20"/>
        </w:rPr>
        <w:t xml:space="preserve">au-dessus de l’éminence ilio-pectinée </w:t>
      </w:r>
    </w:p>
    <w:p w14:paraId="35570031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6F1F60">
        <w:rPr>
          <w:rFonts w:ascii="Arial" w:eastAsia="Times New Roman" w:hAnsi="Arial" w:cs="Arial"/>
          <w:sz w:val="20"/>
          <w:szCs w:val="20"/>
        </w:rPr>
        <w:t>L’échancrure iliaque antérieure entre l’éminence ilio-pectinée et le tubercule pubien (épine du pubis)</w:t>
      </w:r>
      <w:r w:rsidR="00DB1004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65AF298C" w14:textId="77777777" w:rsidR="00392CA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0BD9C038" w14:textId="77777777" w:rsidR="00404444" w:rsidRDefault="00404444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BAFEE73" w14:textId="77777777" w:rsidR="00392CA2" w:rsidRDefault="00392CA2" w:rsidP="00392CA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6F1F60">
        <w:rPr>
          <w:rFonts w:ascii="Arial" w:eastAsia="Times New Roman" w:hAnsi="Arial" w:cs="Arial"/>
          <w:b/>
          <w:bCs/>
          <w:sz w:val="20"/>
          <w:szCs w:val="20"/>
          <w:u w:val="single"/>
        </w:rPr>
        <w:t>4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F1F60">
        <w:rPr>
          <w:rFonts w:ascii="Arial" w:eastAsia="Times New Roman" w:hAnsi="Arial" w:cs="Arial"/>
          <w:b/>
          <w:bCs/>
          <w:sz w:val="20"/>
          <w:szCs w:val="20"/>
        </w:rPr>
        <w:t xml:space="preserve">A propos de l’articulation entre le pubis droit et le pubis gauche on peut dire que : </w:t>
      </w:r>
      <w:r w:rsidR="00DB1004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675B7DE7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6F1F60">
        <w:rPr>
          <w:rFonts w:ascii="Arial" w:eastAsia="Times New Roman" w:hAnsi="Arial" w:cs="Arial"/>
          <w:sz w:val="20"/>
          <w:szCs w:val="20"/>
        </w:rPr>
        <w:t xml:space="preserve">C’est une articulation synoviale </w:t>
      </w:r>
      <w:r w:rsidR="00DB100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3BF9F5BD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6F1F60">
        <w:rPr>
          <w:rFonts w:ascii="Arial" w:eastAsia="Times New Roman" w:hAnsi="Arial" w:cs="Arial"/>
          <w:sz w:val="20"/>
          <w:szCs w:val="20"/>
        </w:rPr>
        <w:t xml:space="preserve">C’est une articulation fibreuse </w:t>
      </w:r>
      <w:r w:rsidR="00DB100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7F551FEF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6F1F60">
        <w:rPr>
          <w:rFonts w:ascii="Arial" w:eastAsia="Times New Roman" w:hAnsi="Arial" w:cs="Arial"/>
          <w:sz w:val="20"/>
          <w:szCs w:val="20"/>
        </w:rPr>
        <w:t xml:space="preserve">Elle a une capsule articulaire </w:t>
      </w:r>
      <w:r w:rsidR="00DB100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7FB71094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6F1F60">
        <w:rPr>
          <w:rFonts w:ascii="Arial" w:eastAsia="Times New Roman" w:hAnsi="Arial" w:cs="Arial"/>
          <w:sz w:val="20"/>
          <w:szCs w:val="20"/>
        </w:rPr>
        <w:t xml:space="preserve">Les surfaces articulaires sont encroutées de cartilage </w:t>
      </w:r>
      <w:r w:rsidR="00DB100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D03E83D" w14:textId="77777777" w:rsidR="00392CA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09F14A59" w14:textId="77777777" w:rsidR="00392CA2" w:rsidRDefault="00392CA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8BDF82D" w14:textId="77777777" w:rsidR="00392CA2" w:rsidRDefault="00392CA2" w:rsidP="00392CA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6F1F60">
        <w:rPr>
          <w:rFonts w:ascii="Arial" w:eastAsia="Times New Roman" w:hAnsi="Arial" w:cs="Arial"/>
          <w:b/>
          <w:bCs/>
          <w:sz w:val="20"/>
          <w:szCs w:val="20"/>
          <w:u w:val="single"/>
        </w:rPr>
        <w:t>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F1F60">
        <w:rPr>
          <w:rFonts w:ascii="Arial" w:eastAsia="Times New Roman" w:hAnsi="Arial" w:cs="Arial"/>
          <w:b/>
          <w:bCs/>
          <w:sz w:val="20"/>
          <w:szCs w:val="20"/>
        </w:rPr>
        <w:t xml:space="preserve">A propos du muscle élévateur de l’anus (levator ani) on peut dire que : </w:t>
      </w:r>
    </w:p>
    <w:p w14:paraId="7AE68087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6F1F60">
        <w:rPr>
          <w:rFonts w:ascii="Arial" w:eastAsia="Times New Roman" w:hAnsi="Arial" w:cs="Arial"/>
          <w:sz w:val="20"/>
          <w:szCs w:val="20"/>
        </w:rPr>
        <w:t xml:space="preserve">Il a la forme d’un cône à sommet inférieur centré sur le vagin </w:t>
      </w:r>
      <w:r w:rsidR="00DB100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77DDC55C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6F1F60">
        <w:rPr>
          <w:rFonts w:ascii="Arial" w:eastAsia="Times New Roman" w:hAnsi="Arial" w:cs="Arial"/>
          <w:sz w:val="20"/>
          <w:szCs w:val="20"/>
        </w:rPr>
        <w:t xml:space="preserve">Il présente en arrière une fente qui est la fente ou hiatus uro-anal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11E94041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6F1F60">
        <w:rPr>
          <w:rFonts w:ascii="Arial" w:eastAsia="Times New Roman" w:hAnsi="Arial" w:cs="Arial"/>
          <w:sz w:val="20"/>
          <w:szCs w:val="20"/>
        </w:rPr>
        <w:t xml:space="preserve">Il est innervé par le nerf obturateur </w:t>
      </w:r>
      <w:r w:rsidR="00DB100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3C52AB65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6F1F60">
        <w:rPr>
          <w:rFonts w:ascii="Arial" w:eastAsia="Times New Roman" w:hAnsi="Arial" w:cs="Arial"/>
          <w:sz w:val="20"/>
          <w:szCs w:val="20"/>
        </w:rPr>
        <w:t xml:space="preserve">Il présente un faisceau ilio-sacré et un faisceau pubo-sacré </w:t>
      </w:r>
      <w:r w:rsidR="00DB1004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4A861ADB" w14:textId="77777777" w:rsidR="00392CA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15C1233F" w14:textId="77777777" w:rsidR="00392CA2" w:rsidRDefault="00392CA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D71D9A4" w14:textId="77777777" w:rsidR="00392CA2" w:rsidRDefault="00392CA2" w:rsidP="00392CA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6F1F60">
        <w:rPr>
          <w:rFonts w:ascii="Arial" w:eastAsia="Times New Roman" w:hAnsi="Arial" w:cs="Arial"/>
          <w:b/>
          <w:bCs/>
          <w:sz w:val="20"/>
          <w:szCs w:val="20"/>
          <w:u w:val="single"/>
        </w:rPr>
        <w:t>6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2C43CE">
        <w:rPr>
          <w:rFonts w:ascii="Arial" w:eastAsia="Times New Roman" w:hAnsi="Arial" w:cs="Arial"/>
          <w:b/>
          <w:bCs/>
          <w:sz w:val="20"/>
          <w:szCs w:val="20"/>
        </w:rPr>
        <w:t xml:space="preserve">Parmi les myélomères qui reçoivent la sensibilité du périnée cutané on peut citer les myélomères suivants : </w:t>
      </w:r>
    </w:p>
    <w:p w14:paraId="03B7336F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C43CE">
        <w:rPr>
          <w:rFonts w:ascii="Arial" w:eastAsia="Times New Roman" w:hAnsi="Arial" w:cs="Arial"/>
          <w:sz w:val="20"/>
          <w:szCs w:val="20"/>
        </w:rPr>
        <w:t>L1</w:t>
      </w:r>
    </w:p>
    <w:p w14:paraId="263CEE69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C43CE">
        <w:rPr>
          <w:rFonts w:ascii="Arial" w:eastAsia="Times New Roman" w:hAnsi="Arial" w:cs="Arial"/>
          <w:sz w:val="20"/>
          <w:szCs w:val="20"/>
        </w:rPr>
        <w:t>L2</w:t>
      </w:r>
    </w:p>
    <w:p w14:paraId="0A92F7C2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2C43CE">
        <w:rPr>
          <w:rFonts w:ascii="Arial" w:eastAsia="Times New Roman" w:hAnsi="Arial" w:cs="Arial"/>
          <w:sz w:val="20"/>
          <w:szCs w:val="20"/>
        </w:rPr>
        <w:t>S2</w:t>
      </w:r>
    </w:p>
    <w:p w14:paraId="43377723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C43CE">
        <w:rPr>
          <w:rFonts w:ascii="Arial" w:eastAsia="Times New Roman" w:hAnsi="Arial" w:cs="Arial"/>
          <w:sz w:val="20"/>
          <w:szCs w:val="20"/>
        </w:rPr>
        <w:t>S3</w:t>
      </w:r>
    </w:p>
    <w:p w14:paraId="41E25341" w14:textId="77777777" w:rsidR="00392CA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22A0C0C7" w14:textId="77777777" w:rsidR="00392CA2" w:rsidRDefault="00392CA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C1055CF" w14:textId="77777777" w:rsidR="00392CA2" w:rsidRDefault="00392CA2" w:rsidP="00392CA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2C43CE">
        <w:rPr>
          <w:rFonts w:ascii="Arial" w:eastAsia="Times New Roman" w:hAnsi="Arial" w:cs="Arial"/>
          <w:b/>
          <w:bCs/>
          <w:sz w:val="20"/>
          <w:szCs w:val="20"/>
          <w:u w:val="single"/>
        </w:rPr>
        <w:t>7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DB1004">
        <w:rPr>
          <w:rFonts w:ascii="Arial" w:eastAsia="Times New Roman" w:hAnsi="Arial" w:cs="Arial"/>
          <w:b/>
          <w:bCs/>
          <w:sz w:val="20"/>
          <w:szCs w:val="20"/>
        </w:rPr>
        <w:t>A</w:t>
      </w:r>
      <w:r w:rsidR="002C43CE">
        <w:rPr>
          <w:rFonts w:ascii="Arial" w:eastAsia="Times New Roman" w:hAnsi="Arial" w:cs="Arial"/>
          <w:b/>
          <w:bCs/>
          <w:sz w:val="20"/>
          <w:szCs w:val="20"/>
        </w:rPr>
        <w:t xml:space="preserve"> propos des organes génitaux externes de la femme on peut dire que : </w:t>
      </w:r>
    </w:p>
    <w:p w14:paraId="69B88C8F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C43CE">
        <w:rPr>
          <w:rFonts w:ascii="Arial" w:eastAsia="Times New Roman" w:hAnsi="Arial" w:cs="Arial"/>
          <w:sz w:val="20"/>
          <w:szCs w:val="20"/>
        </w:rPr>
        <w:t xml:space="preserve">Les caroncules hyménéales sont visibles chez la femme vierge n’ayant pas subi de pénétration vaginale </w:t>
      </w:r>
      <w:r w:rsidR="00DB1004"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 </w:t>
      </w:r>
    </w:p>
    <w:p w14:paraId="67F54A26" w14:textId="77777777" w:rsidR="00392CA2" w:rsidRPr="00DB1004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B1004">
        <w:rPr>
          <w:rFonts w:ascii="Arial" w:eastAsia="Times New Roman" w:hAnsi="Arial" w:cs="Arial"/>
          <w:sz w:val="20"/>
          <w:szCs w:val="20"/>
        </w:rPr>
        <w:t xml:space="preserve">B) </w:t>
      </w:r>
      <w:r w:rsidR="002C43CE">
        <w:rPr>
          <w:rFonts w:ascii="Arial" w:eastAsia="Times New Roman" w:hAnsi="Arial" w:cs="Arial"/>
          <w:sz w:val="20"/>
          <w:szCs w:val="20"/>
        </w:rPr>
        <w:t xml:space="preserve">Le frein du clitoris provient des grandes lèvres </w:t>
      </w:r>
    </w:p>
    <w:p w14:paraId="482A8BD7" w14:textId="77777777" w:rsidR="00392CA2" w:rsidRPr="00DB1004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B1004">
        <w:rPr>
          <w:rFonts w:ascii="Arial" w:eastAsia="Times New Roman" w:hAnsi="Arial" w:cs="Arial"/>
          <w:sz w:val="20"/>
          <w:szCs w:val="20"/>
        </w:rPr>
        <w:t xml:space="preserve">C) </w:t>
      </w:r>
      <w:r w:rsidR="002C43CE">
        <w:rPr>
          <w:rFonts w:ascii="Arial" w:eastAsia="Times New Roman" w:hAnsi="Arial" w:cs="Arial"/>
          <w:sz w:val="20"/>
          <w:szCs w:val="20"/>
        </w:rPr>
        <w:t xml:space="preserve">Les petites lèvres présentent les caroncules myrtiformes après l’accouchement </w:t>
      </w:r>
      <w:r w:rsidR="00DB100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343907F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C43CE">
        <w:rPr>
          <w:rFonts w:ascii="Arial" w:eastAsia="Times New Roman" w:hAnsi="Arial" w:cs="Arial"/>
          <w:sz w:val="20"/>
          <w:szCs w:val="20"/>
        </w:rPr>
        <w:t xml:space="preserve">Les glandes vestibulaires majeures s’abouchent au niveau de l’orifice urétral </w:t>
      </w:r>
    </w:p>
    <w:p w14:paraId="720B265C" w14:textId="77777777" w:rsidR="00392CA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291D7C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30CB898A" w14:textId="77777777" w:rsidR="00392CA2" w:rsidRDefault="00392CA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B683F30" w14:textId="77777777" w:rsidR="002C43CE" w:rsidRDefault="002C43CE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94CD5ED" w14:textId="77777777" w:rsidR="002C43CE" w:rsidRDefault="002C43CE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3B7B57F" w14:textId="77777777" w:rsidR="002C43CE" w:rsidRDefault="002C43CE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9BA9F27" w14:textId="77777777" w:rsidR="002C43CE" w:rsidRDefault="002C43CE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7788917" w14:textId="77777777" w:rsidR="00392CA2" w:rsidRPr="002C43CE" w:rsidRDefault="00392CA2" w:rsidP="00392CA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 xml:space="preserve">QCM </w:t>
      </w:r>
      <w:r w:rsidR="002C43CE">
        <w:rPr>
          <w:rFonts w:ascii="Arial" w:eastAsia="Times New Roman" w:hAnsi="Arial" w:cs="Arial"/>
          <w:b/>
          <w:bCs/>
          <w:sz w:val="20"/>
          <w:szCs w:val="20"/>
          <w:u w:val="single"/>
        </w:rPr>
        <w:t>8</w:t>
      </w:r>
      <w:r w:rsidR="002C43CE">
        <w:rPr>
          <w:rFonts w:ascii="Arial" w:eastAsia="Times New Roman" w:hAnsi="Arial" w:cs="Arial"/>
          <w:b/>
          <w:bCs/>
          <w:sz w:val="20"/>
          <w:szCs w:val="20"/>
        </w:rPr>
        <w:t xml:space="preserve"> : A propos des muscles du périnée, on peut dire que : </w:t>
      </w:r>
    </w:p>
    <w:p w14:paraId="062FFCBE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C43CE">
        <w:rPr>
          <w:rFonts w:ascii="Arial" w:eastAsia="Times New Roman" w:hAnsi="Arial" w:cs="Arial"/>
          <w:sz w:val="20"/>
          <w:szCs w:val="20"/>
        </w:rPr>
        <w:t xml:space="preserve">Le muscle ischio-caverneux entoure le bulbe vestibulaire </w:t>
      </w:r>
    </w:p>
    <w:p w14:paraId="79FFC023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C43CE">
        <w:rPr>
          <w:rFonts w:ascii="Arial" w:eastAsia="Times New Roman" w:hAnsi="Arial" w:cs="Arial"/>
          <w:sz w:val="20"/>
          <w:szCs w:val="20"/>
        </w:rPr>
        <w:t xml:space="preserve">Le muscle constricteur de la vulve est déchiré après la première pénétration sexuelle du vagin </w:t>
      </w:r>
    </w:p>
    <w:p w14:paraId="637B0AFB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2C43CE">
        <w:rPr>
          <w:rFonts w:ascii="Arial" w:eastAsia="Times New Roman" w:hAnsi="Arial" w:cs="Arial"/>
          <w:sz w:val="20"/>
          <w:szCs w:val="20"/>
        </w:rPr>
        <w:t xml:space="preserve">Le muscle transverse superficiel du périnée est tendu entre l’ischion et le genou du clitoris </w:t>
      </w:r>
    </w:p>
    <w:p w14:paraId="02611A3A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C43CE">
        <w:rPr>
          <w:rFonts w:ascii="Arial" w:eastAsia="Times New Roman" w:hAnsi="Arial" w:cs="Arial"/>
          <w:sz w:val="20"/>
          <w:szCs w:val="20"/>
        </w:rPr>
        <w:t xml:space="preserve">Le muscle bulbo-spongieux entoure le corps caverneux du clitoris </w:t>
      </w:r>
    </w:p>
    <w:p w14:paraId="6237CAC8" w14:textId="77777777" w:rsidR="00392CA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291D7C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116B3ED7" w14:textId="77777777" w:rsidR="00392CA2" w:rsidRDefault="00392CA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A5682F7" w14:textId="77777777" w:rsidR="00392CA2" w:rsidRDefault="00392CA2" w:rsidP="00DB1004">
      <w:pPr>
        <w:spacing w:after="120" w:line="240" w:lineRule="auto"/>
        <w:ind w:right="119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967B8">
        <w:rPr>
          <w:rFonts w:ascii="Arial" w:eastAsia="Times New Roman" w:hAnsi="Arial" w:cs="Arial"/>
          <w:b/>
          <w:bCs/>
          <w:sz w:val="20"/>
          <w:szCs w:val="20"/>
          <w:u w:val="single"/>
        </w:rPr>
        <w:t>9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9967B8">
        <w:rPr>
          <w:rFonts w:ascii="Arial" w:eastAsia="Times New Roman" w:hAnsi="Arial" w:cs="Arial"/>
          <w:b/>
          <w:bCs/>
          <w:sz w:val="20"/>
          <w:szCs w:val="20"/>
        </w:rPr>
        <w:t xml:space="preserve">A propos du ligament large de l’utérus on peut dire que : </w:t>
      </w:r>
      <w:r w:rsidR="00DB1004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43EB14CC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967B8">
        <w:rPr>
          <w:rFonts w:ascii="Arial" w:eastAsia="Times New Roman" w:hAnsi="Arial" w:cs="Arial"/>
          <w:sz w:val="20"/>
          <w:szCs w:val="20"/>
        </w:rPr>
        <w:t xml:space="preserve">L’aileron antérieur est tendu par l’uretère </w:t>
      </w:r>
    </w:p>
    <w:p w14:paraId="2C89B27F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967B8">
        <w:rPr>
          <w:rFonts w:ascii="Arial" w:eastAsia="Times New Roman" w:hAnsi="Arial" w:cs="Arial"/>
          <w:sz w:val="20"/>
          <w:szCs w:val="20"/>
        </w:rPr>
        <w:t xml:space="preserve">Le mésosalpinx forme l’aileron supérieur </w:t>
      </w:r>
    </w:p>
    <w:p w14:paraId="39918A8E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9967B8">
        <w:rPr>
          <w:rFonts w:ascii="Arial" w:eastAsia="Times New Roman" w:hAnsi="Arial" w:cs="Arial"/>
          <w:sz w:val="20"/>
          <w:szCs w:val="20"/>
        </w:rPr>
        <w:t xml:space="preserve">Le mésovarium forme l’aileron postérieur </w:t>
      </w:r>
    </w:p>
    <w:p w14:paraId="1F7D29F4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967B8">
        <w:rPr>
          <w:rFonts w:ascii="Arial" w:eastAsia="Times New Roman" w:hAnsi="Arial" w:cs="Arial"/>
          <w:sz w:val="20"/>
          <w:szCs w:val="20"/>
        </w:rPr>
        <w:t xml:space="preserve">La base du ligament large s’élargit vers le bas </w:t>
      </w:r>
    </w:p>
    <w:p w14:paraId="1FBF2A3E" w14:textId="77777777" w:rsidR="00392CA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291D7C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03C453A2" w14:textId="77777777" w:rsidR="00392CA2" w:rsidRDefault="00392CA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DC92FCA" w14:textId="77777777" w:rsidR="009967B8" w:rsidRDefault="009967B8" w:rsidP="009967B8">
      <w:pPr>
        <w:spacing w:after="120" w:line="240" w:lineRule="auto"/>
        <w:ind w:right="119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10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de la vessie on peut dire que :  </w:t>
      </w:r>
    </w:p>
    <w:p w14:paraId="4A3B2C3A" w14:textId="77777777" w:rsidR="009967B8" w:rsidRPr="00F11A32" w:rsidRDefault="009967B8" w:rsidP="009967B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Son innervation parasympathique provient des myélomères S2, S3, S4 </w:t>
      </w:r>
    </w:p>
    <w:p w14:paraId="5B1C90B9" w14:textId="77777777" w:rsidR="009967B8" w:rsidRPr="00F11A32" w:rsidRDefault="009967B8" w:rsidP="009967B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Le détrusor forme le fascia externe de la vessie </w:t>
      </w:r>
    </w:p>
    <w:p w14:paraId="71E8F95F" w14:textId="77777777" w:rsidR="009967B8" w:rsidRPr="00A837E0" w:rsidRDefault="009967B8" w:rsidP="009967B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Le trigone vésical est tendu par les cornes de l’utérus  </w:t>
      </w:r>
    </w:p>
    <w:p w14:paraId="11B3AE7F" w14:textId="77777777" w:rsidR="009967B8" w:rsidRPr="00A837E0" w:rsidRDefault="009967B8" w:rsidP="009967B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Sa face interne est tapissée par le péritoine pariétal  </w:t>
      </w:r>
    </w:p>
    <w:p w14:paraId="3539F0B7" w14:textId="77777777" w:rsidR="00230106" w:rsidRDefault="009967B8" w:rsidP="0022507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0AD46743" w14:textId="77777777" w:rsidR="0022507F" w:rsidRDefault="0022507F" w:rsidP="0022507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18A3375" w14:textId="77777777" w:rsidR="00392CA2" w:rsidRDefault="00392CA2" w:rsidP="00392CA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291D7C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="0022507F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291D7C">
        <w:rPr>
          <w:rFonts w:ascii="Arial" w:eastAsia="Times New Roman" w:hAnsi="Arial" w:cs="Arial"/>
          <w:b/>
          <w:bCs/>
          <w:sz w:val="20"/>
          <w:szCs w:val="20"/>
        </w:rPr>
        <w:t xml:space="preserve">A propos du </w:t>
      </w:r>
      <w:r w:rsidR="00230106">
        <w:rPr>
          <w:rFonts w:ascii="Arial" w:eastAsia="Times New Roman" w:hAnsi="Arial" w:cs="Arial"/>
          <w:b/>
          <w:bCs/>
          <w:sz w:val="20"/>
          <w:szCs w:val="20"/>
        </w:rPr>
        <w:t xml:space="preserve">vagin, on peut dire que : </w:t>
      </w:r>
      <w:r w:rsidR="00291D7C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7DE4D93B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30106">
        <w:rPr>
          <w:rFonts w:ascii="Arial" w:eastAsia="Times New Roman" w:hAnsi="Arial" w:cs="Arial"/>
          <w:sz w:val="20"/>
          <w:szCs w:val="20"/>
        </w:rPr>
        <w:t xml:space="preserve">Il est </w:t>
      </w:r>
      <w:r w:rsidR="0022507F">
        <w:rPr>
          <w:rFonts w:ascii="Arial" w:eastAsia="Times New Roman" w:hAnsi="Arial" w:cs="Arial"/>
          <w:sz w:val="20"/>
          <w:szCs w:val="20"/>
        </w:rPr>
        <w:t xml:space="preserve">exclusivement vascularisé par des collatérales de l’artère iliaque interne </w:t>
      </w:r>
    </w:p>
    <w:p w14:paraId="4F6EA272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2507F">
        <w:rPr>
          <w:rFonts w:ascii="Arial" w:eastAsia="Times New Roman" w:hAnsi="Arial" w:cs="Arial"/>
          <w:sz w:val="20"/>
          <w:szCs w:val="20"/>
        </w:rPr>
        <w:t xml:space="preserve">Il se projette en regard de la tubérosité obturatrice </w:t>
      </w:r>
    </w:p>
    <w:p w14:paraId="625ACC8C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22507F">
        <w:rPr>
          <w:rFonts w:ascii="Arial" w:eastAsia="Times New Roman" w:hAnsi="Arial" w:cs="Arial"/>
          <w:sz w:val="20"/>
          <w:szCs w:val="20"/>
        </w:rPr>
        <w:t>Il est majoritairement sous le muscle élévateur de l’anus (levator ani)</w:t>
      </w:r>
    </w:p>
    <w:p w14:paraId="50660E98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2507F">
        <w:rPr>
          <w:rFonts w:ascii="Arial" w:eastAsia="Times New Roman" w:hAnsi="Arial" w:cs="Arial"/>
          <w:sz w:val="20"/>
          <w:szCs w:val="20"/>
        </w:rPr>
        <w:t xml:space="preserve">Le trigone de Pawlick vaginal répond au triangle rectal de Lieutaud </w:t>
      </w:r>
    </w:p>
    <w:p w14:paraId="764AC118" w14:textId="77777777" w:rsidR="00392CA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291D7C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2CDEBACB" w14:textId="77777777" w:rsidR="00392CA2" w:rsidRDefault="00392CA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7B0C7FF" w14:textId="77777777" w:rsidR="0022507F" w:rsidRDefault="0022507F" w:rsidP="0022507F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de l’utérus on peut dire que :</w:t>
      </w:r>
    </w:p>
    <w:p w14:paraId="53F58210" w14:textId="77777777" w:rsidR="0022507F" w:rsidRPr="00F11A32" w:rsidRDefault="0022507F" w:rsidP="0022507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L’angle d’antéversion utéro-vaginal est de 90° </w:t>
      </w:r>
    </w:p>
    <w:p w14:paraId="0C8B868B" w14:textId="77777777" w:rsidR="0022507F" w:rsidRPr="00F11A32" w:rsidRDefault="0022507F" w:rsidP="0022507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L’angle d’antéflexion utéro-vaginal est de 90°</w:t>
      </w:r>
    </w:p>
    <w:p w14:paraId="5FB53718" w14:textId="77777777" w:rsidR="0022507F" w:rsidRPr="00A837E0" w:rsidRDefault="0022507F" w:rsidP="0022507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La couche musculaire la plus interne est circulaire </w:t>
      </w:r>
    </w:p>
    <w:p w14:paraId="460F8130" w14:textId="77777777" w:rsidR="0022507F" w:rsidRPr="00A837E0" w:rsidRDefault="0022507F" w:rsidP="0022507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La couche musculaire intermédiaire est plexiforme </w:t>
      </w:r>
    </w:p>
    <w:p w14:paraId="5BDBF6BC" w14:textId="77777777" w:rsidR="0022507F" w:rsidRDefault="0022507F" w:rsidP="0022507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20958482" w14:textId="77777777" w:rsidR="001605B3" w:rsidRDefault="001605B3" w:rsidP="0022507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3092C85" w14:textId="77777777" w:rsidR="001605B3" w:rsidRDefault="001605B3" w:rsidP="001605B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13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du drainage lymphatique pelvien, on peut dire que : </w:t>
      </w:r>
    </w:p>
    <w:p w14:paraId="31FDB41F" w14:textId="77777777" w:rsidR="001605B3" w:rsidRPr="00F11A32" w:rsidRDefault="001605B3" w:rsidP="001605B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La vascularisation lymphatique du rectum périnéal (canal anal) se fait préférentiellement en direction des lymphonoeuds de la racine du membre inférieur  </w:t>
      </w:r>
    </w:p>
    <w:p w14:paraId="6CF3DFE0" w14:textId="77777777" w:rsidR="001605B3" w:rsidRPr="00F11A32" w:rsidRDefault="001605B3" w:rsidP="001605B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La vascularisation lymphatique du rectum périnéal (canal anal) se fait préférentiellement en direction des lymphonoeuds situés en dedans de la crosse de la veine grande saphène (saphène interne) </w:t>
      </w:r>
    </w:p>
    <w:p w14:paraId="62E093AD" w14:textId="77777777" w:rsidR="001605B3" w:rsidRPr="00A837E0" w:rsidRDefault="001605B3" w:rsidP="001605B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La vascularisation lymphatique du col de l’utérus se fait en direction des lymphonoeuds iliaques internes puis lombo-aortiques </w:t>
      </w:r>
    </w:p>
    <w:p w14:paraId="5C8E4510" w14:textId="77777777" w:rsidR="001605B3" w:rsidRPr="00A837E0" w:rsidRDefault="001605B3" w:rsidP="001605B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La vascularisation lymphatique de l’introït vaginal se fait préférentiellement en direction des lymphonoeuds situés en dedans de la crosse de la veine grande saphène (saphène interne) </w:t>
      </w:r>
    </w:p>
    <w:p w14:paraId="58FC6242" w14:textId="77777777" w:rsidR="001605B3" w:rsidRDefault="001605B3" w:rsidP="001605B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655269F2" w14:textId="77777777" w:rsidR="001605B3" w:rsidRDefault="001605B3" w:rsidP="0022507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5B75F4D" w14:textId="77777777" w:rsidR="001605B3" w:rsidRDefault="001605B3" w:rsidP="001605B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14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du rectum on peut dire que :  </w:t>
      </w:r>
    </w:p>
    <w:p w14:paraId="06CFE684" w14:textId="77777777" w:rsidR="001605B3" w:rsidRPr="00F11A32" w:rsidRDefault="001605B3" w:rsidP="001605B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La jonction recto-sigmoïdienne se situe pour les anatomistes en regard de la 4</w:t>
      </w:r>
      <w:r w:rsidRPr="001605B3">
        <w:rPr>
          <w:rFonts w:ascii="Arial" w:eastAsia="Times New Roman" w:hAnsi="Arial" w:cs="Arial"/>
          <w:sz w:val="20"/>
          <w:szCs w:val="20"/>
          <w:vertAlign w:val="superscript"/>
        </w:rPr>
        <w:t>ème</w:t>
      </w:r>
      <w:r>
        <w:rPr>
          <w:rFonts w:ascii="Arial" w:eastAsia="Times New Roman" w:hAnsi="Arial" w:cs="Arial"/>
          <w:sz w:val="20"/>
          <w:szCs w:val="20"/>
        </w:rPr>
        <w:t xml:space="preserve"> vertèbre sacrée   </w:t>
      </w:r>
    </w:p>
    <w:p w14:paraId="70CB0BC0" w14:textId="77777777" w:rsidR="001605B3" w:rsidRPr="00F11A32" w:rsidRDefault="001605B3" w:rsidP="001605B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La couche musculaire lisse longitudinale s’épaissit après la ligne ano-rectale pour former le sphincter interne  </w:t>
      </w:r>
    </w:p>
    <w:p w14:paraId="388EAEA0" w14:textId="77777777" w:rsidR="001605B3" w:rsidRPr="00A837E0" w:rsidRDefault="001605B3" w:rsidP="001605B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La couche musculaire lisse longitudinale s’unit au muscle élévateur de l’anus (levator ani) pour former le muscle currugator cutis ani qui explique la forme des plis radiés de l’anus </w:t>
      </w:r>
    </w:p>
    <w:p w14:paraId="54CDFCED" w14:textId="77777777" w:rsidR="001605B3" w:rsidRDefault="001605B3" w:rsidP="001605B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La zone columnaire est située entre la ligne ano-rectale et la ligne pectinée </w:t>
      </w:r>
    </w:p>
    <w:p w14:paraId="7D6CF0E7" w14:textId="77777777" w:rsidR="001605B3" w:rsidRDefault="001605B3" w:rsidP="001605B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5762C1D5" w14:textId="77777777" w:rsidR="001605B3" w:rsidRDefault="001605B3" w:rsidP="0022507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2B2E239" w14:textId="77777777" w:rsidR="00903066" w:rsidRDefault="00903066" w:rsidP="0090306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de l’ovaire on peut dire que : </w:t>
      </w:r>
    </w:p>
    <w:p w14:paraId="239D5005" w14:textId="77777777" w:rsidR="00903066" w:rsidRPr="00F11A32" w:rsidRDefault="00903066" w:rsidP="0090306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Il existe trois ligaments responsables des moyens de fixité de l’ovaire : lombo-ovarien, tubo-ovarien et utéro-ovarien </w:t>
      </w:r>
    </w:p>
    <w:p w14:paraId="651382D8" w14:textId="77777777" w:rsidR="00903066" w:rsidRPr="00F11A32" w:rsidRDefault="00903066" w:rsidP="0090306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L’ovaire est le seul organe entièrement péritonisé  </w:t>
      </w:r>
    </w:p>
    <w:p w14:paraId="388F7DB3" w14:textId="77777777" w:rsidR="00903066" w:rsidRPr="00A837E0" w:rsidRDefault="00903066" w:rsidP="0090306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La vascularisation artérielle de l’ovaire est assurée par l’artère ovarique, issue de l’aorte abdominale et par les rameaux tubaire et ovarien issus de l’artère utérine, elle-même issue de l’artère iliaque interne </w:t>
      </w:r>
    </w:p>
    <w:p w14:paraId="73D5FEB6" w14:textId="77777777" w:rsidR="00903066" w:rsidRDefault="00903066" w:rsidP="0090306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La veine ovarique droite se draine dans la veine rénale droite </w:t>
      </w:r>
    </w:p>
    <w:p w14:paraId="73997F47" w14:textId="77777777" w:rsidR="00903066" w:rsidRDefault="00903066" w:rsidP="0090306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62B4CE09" w14:textId="77777777" w:rsidR="00903066" w:rsidRDefault="00903066" w:rsidP="0022507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D512A3A" w14:textId="77777777" w:rsidR="0022507F" w:rsidRDefault="0022507F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DCDCFAF" w14:textId="77777777" w:rsidR="00391501" w:rsidRPr="00391501" w:rsidRDefault="00391501" w:rsidP="00391501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sectPr w:rsidR="00391501" w:rsidRPr="00391501" w:rsidSect="00AF2223">
      <w:footerReference w:type="default" r:id="rId9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A6E30A" w14:textId="77777777" w:rsidR="00921416" w:rsidRDefault="00921416" w:rsidP="00AE49CB">
      <w:pPr>
        <w:spacing w:after="0" w:line="240" w:lineRule="auto"/>
      </w:pPr>
      <w:r>
        <w:separator/>
      </w:r>
    </w:p>
  </w:endnote>
  <w:endnote w:type="continuationSeparator" w:id="0">
    <w:p w14:paraId="41319F73" w14:textId="77777777" w:rsidR="00921416" w:rsidRDefault="00921416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5AAC9F" w14:textId="77777777" w:rsidR="00DE474B" w:rsidRDefault="00234A0D" w:rsidP="00834825">
    <w:pPr>
      <w:pStyle w:val="Pieddepage"/>
      <w:pBdr>
        <w:top w:val="single" w:sz="4" w:space="1" w:color="auto"/>
      </w:pBdr>
    </w:pPr>
    <w:r>
      <w:rPr>
        <w:b/>
        <w:color w:val="404040"/>
      </w:rPr>
      <w:t>2016-2017</w:t>
    </w:r>
    <w:r w:rsidR="00DE474B" w:rsidRPr="003A31FA">
      <w:rPr>
        <w:b/>
        <w:color w:val="404040"/>
      </w:rPr>
      <w:t xml:space="preserve"> </w:t>
    </w:r>
    <w:r w:rsidR="00DE474B" w:rsidRPr="003A31FA">
      <w:rPr>
        <w:b/>
        <w:color w:val="404040"/>
      </w:rPr>
      <w:tab/>
      <w:t xml:space="preserve">                  Le tutorat est gratuit. Toute reproduction ou vente est interdite. </w:t>
    </w:r>
    <w:r w:rsidR="00DE474B" w:rsidRPr="003A31FA">
      <w:rPr>
        <w:b/>
        <w:color w:val="404040"/>
      </w:rPr>
      <w:tab/>
    </w:r>
    <w:r w:rsidR="00DE474B" w:rsidRPr="003A31FA">
      <w:rPr>
        <w:b/>
        <w:color w:val="404040"/>
      </w:rPr>
      <w:tab/>
    </w:r>
    <w:r w:rsidR="00DE474B" w:rsidRPr="003A31FA">
      <w:rPr>
        <w:color w:val="404040"/>
      </w:rPr>
      <w:t xml:space="preserve">Page </w:t>
    </w:r>
    <w:r w:rsidR="00DE474B" w:rsidRPr="003A31FA">
      <w:rPr>
        <w:b/>
        <w:color w:val="404040"/>
      </w:rPr>
      <w:fldChar w:fldCharType="begin"/>
    </w:r>
    <w:r w:rsidR="000C6AAC">
      <w:rPr>
        <w:b/>
        <w:color w:val="404040"/>
      </w:rPr>
      <w:instrText>PAGE</w:instrText>
    </w:r>
    <w:r w:rsidR="00DE474B" w:rsidRPr="003A31FA">
      <w:rPr>
        <w:b/>
        <w:color w:val="404040"/>
      </w:rPr>
      <w:fldChar w:fldCharType="separate"/>
    </w:r>
    <w:r w:rsidR="000F028C"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  <w:r w:rsidR="00DE474B" w:rsidRPr="003A31FA">
      <w:rPr>
        <w:color w:val="404040"/>
      </w:rPr>
      <w:t xml:space="preserve"> sur </w:t>
    </w:r>
    <w:r w:rsidR="00DE474B" w:rsidRPr="003A31FA">
      <w:rPr>
        <w:b/>
        <w:color w:val="404040"/>
      </w:rPr>
      <w:fldChar w:fldCharType="begin"/>
    </w:r>
    <w:r w:rsidR="000C6AAC">
      <w:rPr>
        <w:b/>
        <w:color w:val="404040"/>
      </w:rPr>
      <w:instrText>NUMPAGES</w:instrText>
    </w:r>
    <w:r w:rsidR="00DE474B" w:rsidRPr="003A31FA">
      <w:rPr>
        <w:b/>
        <w:color w:val="404040"/>
      </w:rPr>
      <w:fldChar w:fldCharType="separate"/>
    </w:r>
    <w:r w:rsidR="000F028C"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</w:p>
  <w:p w14:paraId="2D9D2A0D" w14:textId="77777777" w:rsidR="00DE474B" w:rsidRDefault="00DE474B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3904E6" w14:textId="77777777" w:rsidR="00921416" w:rsidRDefault="00921416" w:rsidP="00AE49CB">
      <w:pPr>
        <w:spacing w:after="0" w:line="240" w:lineRule="auto"/>
      </w:pPr>
      <w:r>
        <w:separator/>
      </w:r>
    </w:p>
  </w:footnote>
  <w:footnote w:type="continuationSeparator" w:id="0">
    <w:p w14:paraId="5E49C284" w14:textId="77777777" w:rsidR="00921416" w:rsidRDefault="00921416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17"/>
  </w:num>
  <w:num w:numId="5">
    <w:abstractNumId w:val="21"/>
  </w:num>
  <w:num w:numId="6">
    <w:abstractNumId w:val="6"/>
  </w:num>
  <w:num w:numId="7">
    <w:abstractNumId w:val="18"/>
  </w:num>
  <w:num w:numId="8">
    <w:abstractNumId w:val="13"/>
  </w:num>
  <w:num w:numId="9">
    <w:abstractNumId w:val="15"/>
  </w:num>
  <w:num w:numId="10">
    <w:abstractNumId w:val="8"/>
  </w:num>
  <w:num w:numId="11">
    <w:abstractNumId w:val="3"/>
  </w:num>
  <w:num w:numId="12">
    <w:abstractNumId w:val="19"/>
  </w:num>
  <w:num w:numId="13">
    <w:abstractNumId w:val="4"/>
  </w:num>
  <w:num w:numId="14">
    <w:abstractNumId w:val="0"/>
  </w:num>
  <w:num w:numId="15">
    <w:abstractNumId w:val="5"/>
  </w:num>
  <w:num w:numId="16">
    <w:abstractNumId w:val="22"/>
  </w:num>
  <w:num w:numId="17">
    <w:abstractNumId w:val="2"/>
  </w:num>
  <w:num w:numId="18">
    <w:abstractNumId w:val="9"/>
  </w:num>
  <w:num w:numId="19">
    <w:abstractNumId w:val="14"/>
  </w:num>
  <w:num w:numId="20">
    <w:abstractNumId w:val="1"/>
  </w:num>
  <w:num w:numId="21">
    <w:abstractNumId w:val="16"/>
  </w:num>
  <w:num w:numId="22">
    <w:abstractNumId w:val="10"/>
  </w:num>
  <w:num w:numId="23">
    <w:abstractNumId w:val="23"/>
  </w:num>
  <w:num w:numId="24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59B"/>
    <w:rsid w:val="00001CCF"/>
    <w:rsid w:val="000031DC"/>
    <w:rsid w:val="00007BA8"/>
    <w:rsid w:val="000167DF"/>
    <w:rsid w:val="00023FA5"/>
    <w:rsid w:val="00026299"/>
    <w:rsid w:val="00042080"/>
    <w:rsid w:val="0005754B"/>
    <w:rsid w:val="00072326"/>
    <w:rsid w:val="00072F6F"/>
    <w:rsid w:val="00072F98"/>
    <w:rsid w:val="00077C35"/>
    <w:rsid w:val="000A5653"/>
    <w:rsid w:val="000B10B2"/>
    <w:rsid w:val="000B4B7E"/>
    <w:rsid w:val="000B5E75"/>
    <w:rsid w:val="000B6DC2"/>
    <w:rsid w:val="000C2C2E"/>
    <w:rsid w:val="000C6AAC"/>
    <w:rsid w:val="000C7463"/>
    <w:rsid w:val="000D2EC2"/>
    <w:rsid w:val="000D585B"/>
    <w:rsid w:val="000E351D"/>
    <w:rsid w:val="000F028C"/>
    <w:rsid w:val="000F63E3"/>
    <w:rsid w:val="00103900"/>
    <w:rsid w:val="00125ED7"/>
    <w:rsid w:val="00135077"/>
    <w:rsid w:val="001413F9"/>
    <w:rsid w:val="00154B84"/>
    <w:rsid w:val="001605B3"/>
    <w:rsid w:val="001616C3"/>
    <w:rsid w:val="001617B1"/>
    <w:rsid w:val="0016602B"/>
    <w:rsid w:val="0017505E"/>
    <w:rsid w:val="00181386"/>
    <w:rsid w:val="001A0592"/>
    <w:rsid w:val="001A0C88"/>
    <w:rsid w:val="001A312C"/>
    <w:rsid w:val="001B038E"/>
    <w:rsid w:val="001D00A1"/>
    <w:rsid w:val="001D2FD7"/>
    <w:rsid w:val="001F2362"/>
    <w:rsid w:val="001F408E"/>
    <w:rsid w:val="00200E62"/>
    <w:rsid w:val="0020312A"/>
    <w:rsid w:val="00223509"/>
    <w:rsid w:val="002235BE"/>
    <w:rsid w:val="0022507F"/>
    <w:rsid w:val="00230106"/>
    <w:rsid w:val="00234A0D"/>
    <w:rsid w:val="002400A5"/>
    <w:rsid w:val="00247F4D"/>
    <w:rsid w:val="00256AA0"/>
    <w:rsid w:val="00280258"/>
    <w:rsid w:val="0028068A"/>
    <w:rsid w:val="00280B66"/>
    <w:rsid w:val="00291D7C"/>
    <w:rsid w:val="002936D7"/>
    <w:rsid w:val="00293ABF"/>
    <w:rsid w:val="002B014C"/>
    <w:rsid w:val="002B1D75"/>
    <w:rsid w:val="002C43CE"/>
    <w:rsid w:val="002C4CCA"/>
    <w:rsid w:val="002C5F95"/>
    <w:rsid w:val="002D5589"/>
    <w:rsid w:val="002E168E"/>
    <w:rsid w:val="002E5791"/>
    <w:rsid w:val="002E5F93"/>
    <w:rsid w:val="002E7123"/>
    <w:rsid w:val="002E7774"/>
    <w:rsid w:val="00302D31"/>
    <w:rsid w:val="00304362"/>
    <w:rsid w:val="003174B0"/>
    <w:rsid w:val="00331505"/>
    <w:rsid w:val="00332773"/>
    <w:rsid w:val="00333B1C"/>
    <w:rsid w:val="003403A9"/>
    <w:rsid w:val="00342A17"/>
    <w:rsid w:val="00346A20"/>
    <w:rsid w:val="003534E9"/>
    <w:rsid w:val="00353F6A"/>
    <w:rsid w:val="003552FF"/>
    <w:rsid w:val="003566AF"/>
    <w:rsid w:val="0035689C"/>
    <w:rsid w:val="003612EF"/>
    <w:rsid w:val="0037194D"/>
    <w:rsid w:val="003757E0"/>
    <w:rsid w:val="003773EB"/>
    <w:rsid w:val="00386CF1"/>
    <w:rsid w:val="00391501"/>
    <w:rsid w:val="00392CA2"/>
    <w:rsid w:val="003957C2"/>
    <w:rsid w:val="003A3135"/>
    <w:rsid w:val="003A31FA"/>
    <w:rsid w:val="003B075B"/>
    <w:rsid w:val="003B26C6"/>
    <w:rsid w:val="003B30C2"/>
    <w:rsid w:val="003B6308"/>
    <w:rsid w:val="003B75CB"/>
    <w:rsid w:val="003C11F5"/>
    <w:rsid w:val="003C2892"/>
    <w:rsid w:val="003E0292"/>
    <w:rsid w:val="003E49AA"/>
    <w:rsid w:val="003E5827"/>
    <w:rsid w:val="0040066F"/>
    <w:rsid w:val="00403073"/>
    <w:rsid w:val="00404444"/>
    <w:rsid w:val="004046B6"/>
    <w:rsid w:val="004211E0"/>
    <w:rsid w:val="00422308"/>
    <w:rsid w:val="00433C7C"/>
    <w:rsid w:val="0043740B"/>
    <w:rsid w:val="00446055"/>
    <w:rsid w:val="00446C92"/>
    <w:rsid w:val="0045333C"/>
    <w:rsid w:val="0045516D"/>
    <w:rsid w:val="00455DDF"/>
    <w:rsid w:val="0047193F"/>
    <w:rsid w:val="00475361"/>
    <w:rsid w:val="00477E5B"/>
    <w:rsid w:val="004824DE"/>
    <w:rsid w:val="00483481"/>
    <w:rsid w:val="00483768"/>
    <w:rsid w:val="00497258"/>
    <w:rsid w:val="004A42BB"/>
    <w:rsid w:val="004B3847"/>
    <w:rsid w:val="004B465D"/>
    <w:rsid w:val="004D1883"/>
    <w:rsid w:val="0050312F"/>
    <w:rsid w:val="00506C18"/>
    <w:rsid w:val="00513670"/>
    <w:rsid w:val="00516FEE"/>
    <w:rsid w:val="00517DE7"/>
    <w:rsid w:val="005223D0"/>
    <w:rsid w:val="00524FD1"/>
    <w:rsid w:val="00527A2A"/>
    <w:rsid w:val="00531BA4"/>
    <w:rsid w:val="00531C96"/>
    <w:rsid w:val="005322CE"/>
    <w:rsid w:val="00533ABC"/>
    <w:rsid w:val="00545DCF"/>
    <w:rsid w:val="0055059B"/>
    <w:rsid w:val="00551481"/>
    <w:rsid w:val="005601F2"/>
    <w:rsid w:val="0056096E"/>
    <w:rsid w:val="0056468E"/>
    <w:rsid w:val="00570275"/>
    <w:rsid w:val="005757A4"/>
    <w:rsid w:val="0057607E"/>
    <w:rsid w:val="0059334C"/>
    <w:rsid w:val="0059608C"/>
    <w:rsid w:val="005A5BD9"/>
    <w:rsid w:val="005B0E32"/>
    <w:rsid w:val="005B5FA0"/>
    <w:rsid w:val="005C6211"/>
    <w:rsid w:val="005D278E"/>
    <w:rsid w:val="005F6694"/>
    <w:rsid w:val="005F7786"/>
    <w:rsid w:val="00601129"/>
    <w:rsid w:val="00606B8D"/>
    <w:rsid w:val="0060734F"/>
    <w:rsid w:val="00611048"/>
    <w:rsid w:val="00613841"/>
    <w:rsid w:val="00623F66"/>
    <w:rsid w:val="00624A33"/>
    <w:rsid w:val="0063546C"/>
    <w:rsid w:val="006366BB"/>
    <w:rsid w:val="006372FE"/>
    <w:rsid w:val="00647BDE"/>
    <w:rsid w:val="00651242"/>
    <w:rsid w:val="00655814"/>
    <w:rsid w:val="00657729"/>
    <w:rsid w:val="00660144"/>
    <w:rsid w:val="00665143"/>
    <w:rsid w:val="00671BA1"/>
    <w:rsid w:val="00672093"/>
    <w:rsid w:val="00673808"/>
    <w:rsid w:val="0067625D"/>
    <w:rsid w:val="00676960"/>
    <w:rsid w:val="006857D2"/>
    <w:rsid w:val="006928A8"/>
    <w:rsid w:val="00694C32"/>
    <w:rsid w:val="006A050D"/>
    <w:rsid w:val="006A0A52"/>
    <w:rsid w:val="006A0AAC"/>
    <w:rsid w:val="006A3366"/>
    <w:rsid w:val="006A718C"/>
    <w:rsid w:val="006B355B"/>
    <w:rsid w:val="006B4EB4"/>
    <w:rsid w:val="006C0251"/>
    <w:rsid w:val="006C17FF"/>
    <w:rsid w:val="006D79C2"/>
    <w:rsid w:val="006E04CB"/>
    <w:rsid w:val="006E0544"/>
    <w:rsid w:val="006F1F60"/>
    <w:rsid w:val="006F2BF6"/>
    <w:rsid w:val="007018AD"/>
    <w:rsid w:val="007036BC"/>
    <w:rsid w:val="00705A7F"/>
    <w:rsid w:val="007204B5"/>
    <w:rsid w:val="00730AE8"/>
    <w:rsid w:val="0075034D"/>
    <w:rsid w:val="00752E97"/>
    <w:rsid w:val="00771290"/>
    <w:rsid w:val="007748BF"/>
    <w:rsid w:val="0078308C"/>
    <w:rsid w:val="00785915"/>
    <w:rsid w:val="00787344"/>
    <w:rsid w:val="00792B49"/>
    <w:rsid w:val="007A10B3"/>
    <w:rsid w:val="007A2542"/>
    <w:rsid w:val="007B779A"/>
    <w:rsid w:val="007C32A0"/>
    <w:rsid w:val="007C7734"/>
    <w:rsid w:val="007D17FF"/>
    <w:rsid w:val="007D4A85"/>
    <w:rsid w:val="007E19CD"/>
    <w:rsid w:val="007E4B46"/>
    <w:rsid w:val="007E4BB3"/>
    <w:rsid w:val="007E6BF2"/>
    <w:rsid w:val="007E7FC4"/>
    <w:rsid w:val="007F0613"/>
    <w:rsid w:val="007F387F"/>
    <w:rsid w:val="007F592A"/>
    <w:rsid w:val="007F6501"/>
    <w:rsid w:val="008007D7"/>
    <w:rsid w:val="00805127"/>
    <w:rsid w:val="00805EF2"/>
    <w:rsid w:val="0081699E"/>
    <w:rsid w:val="008242FB"/>
    <w:rsid w:val="008316A5"/>
    <w:rsid w:val="00832B3C"/>
    <w:rsid w:val="008343D9"/>
    <w:rsid w:val="00834825"/>
    <w:rsid w:val="00835C1B"/>
    <w:rsid w:val="00844068"/>
    <w:rsid w:val="008556C6"/>
    <w:rsid w:val="0086386C"/>
    <w:rsid w:val="00864053"/>
    <w:rsid w:val="0087083B"/>
    <w:rsid w:val="00871218"/>
    <w:rsid w:val="00882817"/>
    <w:rsid w:val="0088594B"/>
    <w:rsid w:val="008A2B89"/>
    <w:rsid w:val="008B5D2A"/>
    <w:rsid w:val="008B7D5D"/>
    <w:rsid w:val="008C65A8"/>
    <w:rsid w:val="008C7F8C"/>
    <w:rsid w:val="008D049A"/>
    <w:rsid w:val="008D2264"/>
    <w:rsid w:val="008D6206"/>
    <w:rsid w:val="008D70D3"/>
    <w:rsid w:val="008E0EB5"/>
    <w:rsid w:val="008E3F33"/>
    <w:rsid w:val="008F5A71"/>
    <w:rsid w:val="0090296B"/>
    <w:rsid w:val="00903066"/>
    <w:rsid w:val="00914B1C"/>
    <w:rsid w:val="00921416"/>
    <w:rsid w:val="00922302"/>
    <w:rsid w:val="00924468"/>
    <w:rsid w:val="009502B9"/>
    <w:rsid w:val="0095648D"/>
    <w:rsid w:val="00956500"/>
    <w:rsid w:val="00961674"/>
    <w:rsid w:val="00961EB2"/>
    <w:rsid w:val="00970B22"/>
    <w:rsid w:val="009715CF"/>
    <w:rsid w:val="00977641"/>
    <w:rsid w:val="009852D6"/>
    <w:rsid w:val="009967B8"/>
    <w:rsid w:val="009A42DA"/>
    <w:rsid w:val="009A612B"/>
    <w:rsid w:val="009A6788"/>
    <w:rsid w:val="009B2527"/>
    <w:rsid w:val="009C3031"/>
    <w:rsid w:val="009C57CB"/>
    <w:rsid w:val="009C5FCF"/>
    <w:rsid w:val="009C70CB"/>
    <w:rsid w:val="009D19A8"/>
    <w:rsid w:val="009D4AF3"/>
    <w:rsid w:val="009E2378"/>
    <w:rsid w:val="009F0170"/>
    <w:rsid w:val="009F37EE"/>
    <w:rsid w:val="009F42F4"/>
    <w:rsid w:val="009F56C8"/>
    <w:rsid w:val="00A05125"/>
    <w:rsid w:val="00A14ECF"/>
    <w:rsid w:val="00A1558B"/>
    <w:rsid w:val="00A340D2"/>
    <w:rsid w:val="00A44E7C"/>
    <w:rsid w:val="00A44F71"/>
    <w:rsid w:val="00A4774D"/>
    <w:rsid w:val="00A51181"/>
    <w:rsid w:val="00A603DB"/>
    <w:rsid w:val="00A65190"/>
    <w:rsid w:val="00A90883"/>
    <w:rsid w:val="00A9223B"/>
    <w:rsid w:val="00A93814"/>
    <w:rsid w:val="00AA5446"/>
    <w:rsid w:val="00AA5B9A"/>
    <w:rsid w:val="00AA7CDC"/>
    <w:rsid w:val="00AB51B7"/>
    <w:rsid w:val="00AC35D1"/>
    <w:rsid w:val="00AC7C30"/>
    <w:rsid w:val="00AD00A5"/>
    <w:rsid w:val="00AD3C2B"/>
    <w:rsid w:val="00AD6A8D"/>
    <w:rsid w:val="00AE1976"/>
    <w:rsid w:val="00AE4049"/>
    <w:rsid w:val="00AE49CB"/>
    <w:rsid w:val="00AE6993"/>
    <w:rsid w:val="00AF181F"/>
    <w:rsid w:val="00AF2223"/>
    <w:rsid w:val="00AF6870"/>
    <w:rsid w:val="00AF7149"/>
    <w:rsid w:val="00B00FBD"/>
    <w:rsid w:val="00B03A90"/>
    <w:rsid w:val="00B03F1B"/>
    <w:rsid w:val="00B05D1C"/>
    <w:rsid w:val="00B11650"/>
    <w:rsid w:val="00B23DDC"/>
    <w:rsid w:val="00B2554C"/>
    <w:rsid w:val="00B32606"/>
    <w:rsid w:val="00B45323"/>
    <w:rsid w:val="00B5017C"/>
    <w:rsid w:val="00B62DD7"/>
    <w:rsid w:val="00B725C8"/>
    <w:rsid w:val="00B736AB"/>
    <w:rsid w:val="00B82C03"/>
    <w:rsid w:val="00B96229"/>
    <w:rsid w:val="00BA20E2"/>
    <w:rsid w:val="00BA2273"/>
    <w:rsid w:val="00BB0E74"/>
    <w:rsid w:val="00BC276E"/>
    <w:rsid w:val="00BC7DE9"/>
    <w:rsid w:val="00BE7703"/>
    <w:rsid w:val="00C00CCD"/>
    <w:rsid w:val="00C16E12"/>
    <w:rsid w:val="00C26CED"/>
    <w:rsid w:val="00C34387"/>
    <w:rsid w:val="00C36D9A"/>
    <w:rsid w:val="00C460B9"/>
    <w:rsid w:val="00C536FB"/>
    <w:rsid w:val="00C563F7"/>
    <w:rsid w:val="00C82491"/>
    <w:rsid w:val="00C829CB"/>
    <w:rsid w:val="00C87FE1"/>
    <w:rsid w:val="00C9197D"/>
    <w:rsid w:val="00C970FC"/>
    <w:rsid w:val="00C97B6A"/>
    <w:rsid w:val="00CA24B7"/>
    <w:rsid w:val="00CA5EFD"/>
    <w:rsid w:val="00CB3032"/>
    <w:rsid w:val="00CC2102"/>
    <w:rsid w:val="00CC2C7C"/>
    <w:rsid w:val="00CC4175"/>
    <w:rsid w:val="00CD3D7D"/>
    <w:rsid w:val="00CD7EAB"/>
    <w:rsid w:val="00CE1C41"/>
    <w:rsid w:val="00CE49B4"/>
    <w:rsid w:val="00CF2B9B"/>
    <w:rsid w:val="00CF4734"/>
    <w:rsid w:val="00CF545D"/>
    <w:rsid w:val="00CF5804"/>
    <w:rsid w:val="00CF6C7D"/>
    <w:rsid w:val="00D03348"/>
    <w:rsid w:val="00D10BBF"/>
    <w:rsid w:val="00D126AD"/>
    <w:rsid w:val="00D2194B"/>
    <w:rsid w:val="00D226F6"/>
    <w:rsid w:val="00D27820"/>
    <w:rsid w:val="00D31EAC"/>
    <w:rsid w:val="00D42F36"/>
    <w:rsid w:val="00D44B41"/>
    <w:rsid w:val="00D52BD2"/>
    <w:rsid w:val="00D619BE"/>
    <w:rsid w:val="00D63FED"/>
    <w:rsid w:val="00D67CFE"/>
    <w:rsid w:val="00D7199F"/>
    <w:rsid w:val="00D72271"/>
    <w:rsid w:val="00D765C2"/>
    <w:rsid w:val="00D81059"/>
    <w:rsid w:val="00DB0E49"/>
    <w:rsid w:val="00DB1004"/>
    <w:rsid w:val="00DB748E"/>
    <w:rsid w:val="00DB76E8"/>
    <w:rsid w:val="00DC0A1B"/>
    <w:rsid w:val="00DC3B34"/>
    <w:rsid w:val="00DD6625"/>
    <w:rsid w:val="00DE2C07"/>
    <w:rsid w:val="00DE474B"/>
    <w:rsid w:val="00DE53B9"/>
    <w:rsid w:val="00DE6272"/>
    <w:rsid w:val="00DF16B3"/>
    <w:rsid w:val="00E0130C"/>
    <w:rsid w:val="00E03B7E"/>
    <w:rsid w:val="00E05117"/>
    <w:rsid w:val="00E10AD8"/>
    <w:rsid w:val="00E1539F"/>
    <w:rsid w:val="00E22A63"/>
    <w:rsid w:val="00E246FC"/>
    <w:rsid w:val="00E24C19"/>
    <w:rsid w:val="00E25260"/>
    <w:rsid w:val="00E2744B"/>
    <w:rsid w:val="00E33ECC"/>
    <w:rsid w:val="00E41819"/>
    <w:rsid w:val="00E55A3B"/>
    <w:rsid w:val="00E7001E"/>
    <w:rsid w:val="00E7073D"/>
    <w:rsid w:val="00E723D9"/>
    <w:rsid w:val="00E825D5"/>
    <w:rsid w:val="00E96F9B"/>
    <w:rsid w:val="00E972F6"/>
    <w:rsid w:val="00EA02BE"/>
    <w:rsid w:val="00EA4A0E"/>
    <w:rsid w:val="00EC03E1"/>
    <w:rsid w:val="00EC0B5D"/>
    <w:rsid w:val="00EC3A32"/>
    <w:rsid w:val="00ED2166"/>
    <w:rsid w:val="00ED727F"/>
    <w:rsid w:val="00EE3F08"/>
    <w:rsid w:val="00EF73F3"/>
    <w:rsid w:val="00F00468"/>
    <w:rsid w:val="00F022CC"/>
    <w:rsid w:val="00F03835"/>
    <w:rsid w:val="00F043DC"/>
    <w:rsid w:val="00F11A32"/>
    <w:rsid w:val="00F12F6B"/>
    <w:rsid w:val="00F13A6B"/>
    <w:rsid w:val="00F161F9"/>
    <w:rsid w:val="00F238A2"/>
    <w:rsid w:val="00F24B68"/>
    <w:rsid w:val="00F30011"/>
    <w:rsid w:val="00F30751"/>
    <w:rsid w:val="00F32485"/>
    <w:rsid w:val="00F32592"/>
    <w:rsid w:val="00F41357"/>
    <w:rsid w:val="00F43A84"/>
    <w:rsid w:val="00F43CDC"/>
    <w:rsid w:val="00F44B94"/>
    <w:rsid w:val="00F60301"/>
    <w:rsid w:val="00F6381A"/>
    <w:rsid w:val="00F70EE0"/>
    <w:rsid w:val="00F73E17"/>
    <w:rsid w:val="00F7660E"/>
    <w:rsid w:val="00F77632"/>
    <w:rsid w:val="00F85F92"/>
    <w:rsid w:val="00FA229F"/>
    <w:rsid w:val="00FB38B8"/>
    <w:rsid w:val="00FB6D9A"/>
    <w:rsid w:val="00FC08A8"/>
    <w:rsid w:val="00FC5FDC"/>
    <w:rsid w:val="00FC63C2"/>
    <w:rsid w:val="00FD0ACC"/>
    <w:rsid w:val="00FD244D"/>
    <w:rsid w:val="00FD7CC7"/>
    <w:rsid w:val="00FE5CF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65531B"/>
  <w15:docId w15:val="{C0D69DEB-6D4E-4B22-858F-0336641B7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fr-F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AA5B9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sz w:val="22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B7CF4-BF1E-46AC-9CDF-EF33FE7A6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</Pages>
  <Words>977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</dc:creator>
  <cp:keywords/>
  <cp:lastModifiedBy>Sacha H-k</cp:lastModifiedBy>
  <cp:revision>19</cp:revision>
  <cp:lastPrinted>2020-05-22T12:03:00Z</cp:lastPrinted>
  <dcterms:created xsi:type="dcterms:W3CDTF">2020-04-02T11:28:00Z</dcterms:created>
  <dcterms:modified xsi:type="dcterms:W3CDTF">2020-05-22T19:59:00Z</dcterms:modified>
</cp:coreProperties>
</file>