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F3EA" w14:textId="77777777" w:rsidR="001B038E" w:rsidRPr="00392CA2" w:rsidRDefault="00C75779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F9813C" wp14:editId="08DFA68E">
            <wp:simplePos x="0" y="0"/>
            <wp:positionH relativeFrom="column">
              <wp:posOffset>5748655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7053B34" wp14:editId="6EBCF468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5715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CDE504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" filled="f" strokecolor="#a6a6a6" strokeweight="2pt"/>
            </w:pict>
          </mc:Fallback>
        </mc:AlternateContent>
      </w:r>
      <w:r w:rsidR="001B038E" w:rsidRPr="0055059B">
        <w:rPr>
          <w:rFonts w:eastAsia="Times New Roman" w:cs="Calibri"/>
          <w:sz w:val="40"/>
          <w:szCs w:val="40"/>
        </w:rPr>
        <w:t>E</w:t>
      </w:r>
      <w:r w:rsidR="001B038E" w:rsidRPr="00392CA2">
        <w:rPr>
          <w:rFonts w:eastAsia="Times New Roman" w:cs="Calibri"/>
          <w:sz w:val="40"/>
          <w:szCs w:val="40"/>
        </w:rPr>
        <w:t>preuve</w:t>
      </w:r>
      <w:r w:rsidR="001B038E" w:rsidRPr="00392CA2">
        <w:rPr>
          <w:rFonts w:eastAsia="Times New Roman" w:cs="Calibri"/>
          <w:b/>
          <w:sz w:val="40"/>
          <w:szCs w:val="40"/>
        </w:rPr>
        <w:t xml:space="preserve"> </w:t>
      </w:r>
      <w:r w:rsidR="00FF0B3B" w:rsidRPr="00392CA2">
        <w:rPr>
          <w:rFonts w:eastAsia="Times New Roman" w:cs="Calibri"/>
          <w:b/>
          <w:sz w:val="40"/>
          <w:szCs w:val="40"/>
        </w:rPr>
        <w:t>UE</w:t>
      </w:r>
      <w:r w:rsidR="00392CA2" w:rsidRPr="00392CA2">
        <w:rPr>
          <w:rFonts w:eastAsia="Times New Roman" w:cs="Calibri"/>
          <w:b/>
          <w:sz w:val="40"/>
          <w:szCs w:val="40"/>
        </w:rPr>
        <w:t>9</w:t>
      </w:r>
      <w:r w:rsidR="00FF0B3B" w:rsidRPr="00392CA2">
        <w:rPr>
          <w:rFonts w:eastAsia="Times New Roman" w:cs="Calibri"/>
          <w:b/>
          <w:sz w:val="40"/>
          <w:szCs w:val="40"/>
        </w:rPr>
        <w:t xml:space="preserve"> </w:t>
      </w:r>
    </w:p>
    <w:p w14:paraId="73BF3331" w14:textId="77777777" w:rsidR="0055059B" w:rsidRPr="0055059B" w:rsidRDefault="00392CA2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392CA2">
        <w:rPr>
          <w:rFonts w:eastAsia="Times New Roman" w:cs="Calibri"/>
          <w:sz w:val="36"/>
          <w:szCs w:val="40"/>
        </w:rPr>
        <w:t>Concours</w:t>
      </w:r>
      <w:r w:rsidR="007A2542" w:rsidRPr="00392CA2">
        <w:rPr>
          <w:rFonts w:eastAsia="Times New Roman" w:cs="Calibri"/>
          <w:sz w:val="36"/>
          <w:szCs w:val="40"/>
        </w:rPr>
        <w:t xml:space="preserve"> 2017</w:t>
      </w:r>
      <w:r w:rsidR="00835C1B" w:rsidRPr="00392CA2">
        <w:rPr>
          <w:rFonts w:eastAsia="Times New Roman" w:cs="Calibri"/>
          <w:sz w:val="36"/>
          <w:szCs w:val="40"/>
        </w:rPr>
        <w:t>-</w:t>
      </w:r>
      <w:r w:rsidR="007A2542" w:rsidRPr="00392CA2">
        <w:rPr>
          <w:rFonts w:eastAsia="Times New Roman" w:cs="Calibri"/>
          <w:sz w:val="36"/>
          <w:szCs w:val="40"/>
        </w:rPr>
        <w:t>2018</w:t>
      </w:r>
      <w:r w:rsidR="0055059B" w:rsidRPr="00392CA2">
        <w:rPr>
          <w:rFonts w:eastAsia="Times New Roman" w:cs="Calibri"/>
          <w:sz w:val="36"/>
          <w:szCs w:val="40"/>
        </w:rPr>
        <w:t> :</w:t>
      </w:r>
      <w:r w:rsidR="0055059B" w:rsidRPr="00392CA2">
        <w:rPr>
          <w:rFonts w:eastAsia="Times New Roman"/>
          <w:b/>
          <w:sz w:val="20"/>
        </w:rPr>
        <w:t xml:space="preserve"> </w:t>
      </w:r>
      <w:r w:rsidRPr="00392CA2">
        <w:rPr>
          <w:rFonts w:eastAsia="Times New Roman" w:cs="Calibri"/>
          <w:b/>
          <w:color w:val="000000"/>
          <w:sz w:val="28"/>
          <w:szCs w:val="28"/>
        </w:rPr>
        <w:t>15</w:t>
      </w:r>
      <w:r w:rsidR="0055059B" w:rsidRPr="00392CA2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392CA2">
        <w:rPr>
          <w:rFonts w:eastAsia="Times New Roman" w:cs="Calibri"/>
          <w:b/>
          <w:sz w:val="28"/>
          <w:szCs w:val="28"/>
        </w:rPr>
        <w:t>QCMS</w:t>
      </w:r>
      <w:r w:rsidR="00545DCF" w:rsidRPr="00392CA2">
        <w:rPr>
          <w:rFonts w:eastAsia="Times New Roman" w:cs="Calibri"/>
          <w:b/>
          <w:sz w:val="28"/>
          <w:szCs w:val="28"/>
        </w:rPr>
        <w:t xml:space="preserve"> 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– Durée : </w:t>
      </w:r>
      <w:r w:rsidRPr="00392CA2">
        <w:rPr>
          <w:rFonts w:eastAsia="Times New Roman" w:cs="Calibri"/>
          <w:b/>
          <w:sz w:val="28"/>
          <w:szCs w:val="28"/>
        </w:rPr>
        <w:t>20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min – </w:t>
      </w:r>
      <w:r w:rsidR="00077C35" w:rsidRPr="00392CA2">
        <w:rPr>
          <w:rFonts w:eastAsia="Times New Roman" w:cs="Calibri"/>
          <w:b/>
          <w:sz w:val="28"/>
          <w:szCs w:val="28"/>
        </w:rPr>
        <w:t>Code épreuve : 00</w:t>
      </w:r>
      <w:r w:rsidR="00835C1B" w:rsidRPr="00392CA2">
        <w:rPr>
          <w:rFonts w:eastAsia="Times New Roman" w:cs="Calibri"/>
          <w:b/>
          <w:sz w:val="28"/>
          <w:szCs w:val="28"/>
        </w:rPr>
        <w:t>0</w:t>
      </w:r>
      <w:r w:rsidRPr="00392CA2">
        <w:rPr>
          <w:rFonts w:eastAsia="Times New Roman" w:cs="Calibri"/>
          <w:b/>
          <w:sz w:val="28"/>
          <w:szCs w:val="28"/>
        </w:rPr>
        <w:t>9</w:t>
      </w:r>
    </w:p>
    <w:p w14:paraId="091BE12E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D9A574A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7513607C" w14:textId="77777777" w:rsidR="00392CA2" w:rsidRP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De la question 1 à la question 11 </w:t>
      </w:r>
    </w:p>
    <w:p w14:paraId="03697481" w14:textId="77777777" w:rsidR="00392CA2" w:rsidRDefault="00392CA2" w:rsidP="00D06AB6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sz w:val="20"/>
          <w:szCs w:val="20"/>
        </w:rPr>
        <w:t>Quelle est ou quelles sont la ou les proposition(s) exacte(s) ?</w:t>
      </w:r>
    </w:p>
    <w:p w14:paraId="7FA72B49" w14:textId="77777777" w:rsidR="00391501" w:rsidRPr="00392CA2" w:rsidRDefault="00391501" w:rsidP="00D06AB6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4B349916" w14:textId="77777777" w:rsidR="00545DCF" w:rsidRDefault="007A254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92CA2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392CA2">
        <w:rPr>
          <w:rFonts w:ascii="Arial" w:eastAsia="Times New Roman" w:hAnsi="Arial" w:cs="Arial"/>
          <w:b/>
          <w:bCs/>
          <w:sz w:val="20"/>
          <w:szCs w:val="20"/>
        </w:rPr>
        <w:t>A propos de l’os coxal, on peut dire que :</w:t>
      </w:r>
    </w:p>
    <w:p w14:paraId="3BE1CDB7" w14:textId="77777777" w:rsidR="00B725C8" w:rsidRPr="00F11A32" w:rsidRDefault="00B725C8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>La grande échancrure sciatique est au-dessus de l’épine sciatique ou ischiatique</w:t>
      </w:r>
    </w:p>
    <w:p w14:paraId="609DAE75" w14:textId="77777777" w:rsidR="00B725C8" w:rsidRPr="00F11A32" w:rsidRDefault="00B725C8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L’épine sciatique est sur le bord antérieur de l’os coxal </w:t>
      </w:r>
    </w:p>
    <w:p w14:paraId="1C3ABB90" w14:textId="77777777" w:rsidR="00B725C8" w:rsidRPr="00A837E0" w:rsidRDefault="00B725C8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L’éminence iliopectinée ou iliopubienne est sur le bord postérieur de l’os coxal </w:t>
      </w:r>
    </w:p>
    <w:p w14:paraId="143A3CDC" w14:textId="77777777" w:rsidR="00B725C8" w:rsidRPr="00A837E0" w:rsidRDefault="00B725C8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Le promontoire est sur le bord antérieur de l’os coxal </w:t>
      </w:r>
    </w:p>
    <w:p w14:paraId="193D8A95" w14:textId="77777777" w:rsidR="00805EF2" w:rsidRDefault="00B725C8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392CA2">
        <w:rPr>
          <w:rFonts w:ascii="Arial" w:eastAsia="Times New Roman" w:hAnsi="Arial" w:cs="Arial"/>
          <w:sz w:val="20"/>
          <w:szCs w:val="20"/>
        </w:rPr>
        <w:t>Les propositions A, B, C et D sont fausses</w:t>
      </w:r>
    </w:p>
    <w:p w14:paraId="68FA349E" w14:textId="77777777" w:rsidR="000F028C" w:rsidRDefault="000F028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1C17DF8" w14:textId="77777777" w:rsidR="00392CA2" w:rsidRDefault="000F028C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92CA2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92CA2">
        <w:rPr>
          <w:rFonts w:ascii="Arial" w:eastAsia="Times New Roman" w:hAnsi="Arial" w:cs="Arial"/>
          <w:b/>
          <w:bCs/>
          <w:sz w:val="20"/>
          <w:szCs w:val="20"/>
        </w:rPr>
        <w:t xml:space="preserve">Quel est ou quels sont le(s) élément(s) qui participent à la formation du détroit supérieur du bassin : </w:t>
      </w:r>
    </w:p>
    <w:p w14:paraId="570A7480" w14:textId="77777777" w:rsidR="000F028C" w:rsidRPr="00F11A32" w:rsidRDefault="000F028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>Le bord inférieur de la symphyse pubienne</w:t>
      </w:r>
    </w:p>
    <w:p w14:paraId="4724316F" w14:textId="77777777" w:rsidR="000F028C" w:rsidRPr="00F11A32" w:rsidRDefault="000F028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La surface auriculaire ou incisure sacrée de l’os coxal </w:t>
      </w:r>
    </w:p>
    <w:p w14:paraId="52894E7B" w14:textId="77777777" w:rsidR="000F028C" w:rsidRPr="00A837E0" w:rsidRDefault="000F028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L’épine sciatique </w:t>
      </w:r>
    </w:p>
    <w:p w14:paraId="7894B8BF" w14:textId="77777777" w:rsidR="000F028C" w:rsidRPr="00A837E0" w:rsidRDefault="000F028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 xml:space="preserve">Le promontoire </w:t>
      </w:r>
    </w:p>
    <w:p w14:paraId="7C805F16" w14:textId="77777777" w:rsidR="000F028C" w:rsidRDefault="000F028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392CA2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63CCB7D1" w14:textId="77777777" w:rsidR="002D5589" w:rsidRDefault="002D5589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FB4AB43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du foramen obturé (ou trou obturateur) de l’os coxal, on peut dire que : </w:t>
      </w:r>
    </w:p>
    <w:p w14:paraId="111AF71E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Il est au-dessous de la surface quadrilatère </w:t>
      </w:r>
    </w:p>
    <w:p w14:paraId="52870234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La gouttière du pédicule obturateur est sur son bord inférieur </w:t>
      </w:r>
    </w:p>
    <w:p w14:paraId="206C6999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La vessie se projette sur l’aire du foramen obturé </w:t>
      </w:r>
    </w:p>
    <w:p w14:paraId="7A1BCADA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Il est au-dessus du rameau ischio-pubien de l’os coxal </w:t>
      </w:r>
    </w:p>
    <w:p w14:paraId="1741F6D9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58A79ACD" w14:textId="77777777" w:rsidR="00404444" w:rsidRDefault="00404444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0EA9E9D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des articulations de la ceinture pelvienne, on peut dire que : </w:t>
      </w:r>
    </w:p>
    <w:p w14:paraId="33D3B558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symphyse pubienne est une articulation fibreuse </w:t>
      </w:r>
    </w:p>
    <w:p w14:paraId="5BE0AF4F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Le fibrocartilage ou disque intra-articulaire de la symphyse pubienne contient chez la femme jeune une cavité</w:t>
      </w:r>
    </w:p>
    <w:p w14:paraId="55B24855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L’articulation sacro-iliaque est une articulation cartilagineuse </w:t>
      </w:r>
    </w:p>
    <w:p w14:paraId="338DCE87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L’articulation sacro-iliaque est une articulation en selle</w:t>
      </w:r>
    </w:p>
    <w:p w14:paraId="6238EF3A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3D3E6A46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E7FCFFB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des vaisseaux du petit bassin et de leur origine, on peut dire que : </w:t>
      </w:r>
    </w:p>
    <w:p w14:paraId="285A8DC7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L’artère iliaque interne prend son origine en regard du corps de L5</w:t>
      </w:r>
    </w:p>
    <w:p w14:paraId="34FDCA9C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L’artère iliaque externe se projette sur l’articulation sacro-iliaque </w:t>
      </w:r>
    </w:p>
    <w:p w14:paraId="075288CF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L’artère iliaque primitive provient de la division de l’aorte en regard du corps de L5 </w:t>
      </w:r>
    </w:p>
    <w:p w14:paraId="04572147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L’artère obturatrice est un rameau de l’artère iliaque externe </w:t>
      </w:r>
    </w:p>
    <w:p w14:paraId="1DA45D7D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45A33CD5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261889A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propos des nerfs du petit bassin chez la femme, on peut dire que : </w:t>
      </w:r>
    </w:p>
    <w:p w14:paraId="12C251E4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Les nerfs érecteurs proviennent des myélomères L2, L3 et L4</w:t>
      </w:r>
    </w:p>
    <w:p w14:paraId="43CC586B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Le nerf pudendal provient de l’union du tronc lombo-sacré et du rameau antérieur du premier nerf spinal sacré </w:t>
      </w:r>
    </w:p>
    <w:p w14:paraId="1168CA61" w14:textId="1FE34D74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Le nerf pudendal crois</w:t>
      </w:r>
      <w:r w:rsidR="00AA0BC9">
        <w:rPr>
          <w:rFonts w:ascii="Arial" w:eastAsia="Times New Roman" w:hAnsi="Arial" w:cs="Arial"/>
          <w:sz w:val="20"/>
          <w:szCs w:val="20"/>
        </w:rPr>
        <w:t>e</w:t>
      </w:r>
      <w:r>
        <w:rPr>
          <w:rFonts w:ascii="Arial" w:eastAsia="Times New Roman" w:hAnsi="Arial" w:cs="Arial"/>
          <w:sz w:val="20"/>
          <w:szCs w:val="20"/>
        </w:rPr>
        <w:t xml:space="preserve"> par en dedans et en avant le ligament sacro-épineux </w:t>
      </w:r>
    </w:p>
    <w:p w14:paraId="7C28A5FB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Le nerf pudendal sort du petit bassin en passant en arrière du ligament sacro-tubéral puis rentre à nouveau dans le petit bassin </w:t>
      </w:r>
    </w:p>
    <w:p w14:paraId="3E74779C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151D6508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3B990B7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>Lequel ou lesquels de ces muscles n’a ou n’ont pas d’insertion sur le noyau fibreux central du périnée :</w:t>
      </w:r>
    </w:p>
    <w:p w14:paraId="20F187C9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Muscle pubo-coccygien </w:t>
      </w:r>
    </w:p>
    <w:p w14:paraId="6CF2F28C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Muscle ilio-coccygien </w:t>
      </w:r>
    </w:p>
    <w:p w14:paraId="3F4FDE78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Muscle coccygien </w:t>
      </w:r>
    </w:p>
    <w:p w14:paraId="761673F0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Muscles transverses superficiel et profond du périnée </w:t>
      </w:r>
    </w:p>
    <w:p w14:paraId="566AAFED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55EC0D1C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BBFC83B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7717033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EA3C88" w14:textId="77777777" w:rsidR="004F56A6" w:rsidRDefault="004F56A6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620E562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>A propos du vagin, on peut dire que :</w:t>
      </w:r>
    </w:p>
    <w:p w14:paraId="370C8804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La paroi antérieure et supérieure est comparable au palais d’un chien </w:t>
      </w:r>
    </w:p>
    <w:p w14:paraId="76CAC9C2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crêtes transversales des parois sont bien visibles chez la femme nullipare </w:t>
      </w:r>
    </w:p>
    <w:p w14:paraId="5CAAFC2E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 fornix est le lac spermatique </w:t>
      </w:r>
    </w:p>
    <w:p w14:paraId="26994F59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L’axe du col de l’utérus fait un angle de 90° avec l’axe du vagin </w:t>
      </w:r>
    </w:p>
    <w:p w14:paraId="6285CC9E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4207A795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AB4E555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A propos de l’utérus, on peut dire que : </w:t>
      </w:r>
    </w:p>
    <w:p w14:paraId="48CEBE6D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>La couleur naturelle du col est violette ou acajou</w:t>
      </w:r>
    </w:p>
    <w:p w14:paraId="3E6C3F8D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plis palmés sont les plis muqueux à l’intérieur du corps de l’utérus </w:t>
      </w:r>
    </w:p>
    <w:p w14:paraId="59CEE9E6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L’utérus est rétroversé et rétrofléchi </w:t>
      </w:r>
    </w:p>
    <w:p w14:paraId="71F0090C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 myomètre est composé uniquement par des fibres plexiformes </w:t>
      </w:r>
    </w:p>
    <w:p w14:paraId="2098122A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4FD9207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D7D5F0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10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A propos du rectum, on peut dire que : </w:t>
      </w:r>
    </w:p>
    <w:p w14:paraId="0936FEEE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>Les artères rectales supérieures proviennent des artères mésentériques supérieure et inférieure</w:t>
      </w:r>
    </w:p>
    <w:p w14:paraId="1DDEA06B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 pédicule lymphatique rectal supérieur présente un nœud lymphatique principal au niveau de la division de l’artère mésentérique inférieure </w:t>
      </w:r>
    </w:p>
    <w:p w14:paraId="00BCE5F1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valvules anales sont au-dessus de la ligne ano-cutanée </w:t>
      </w:r>
    </w:p>
    <w:p w14:paraId="69CE0373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 canal anal est dirigé en bas et en arrière </w:t>
      </w:r>
    </w:p>
    <w:p w14:paraId="1F6735C3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558636C1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EF7DCE" w14:textId="77777777" w:rsidR="00392CA2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11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Parmi les voies de drainage de l’utérus, on peut citer : </w:t>
      </w:r>
    </w:p>
    <w:p w14:paraId="36BA0CB2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nœuds lymphatiques iliaques externes </w:t>
      </w:r>
    </w:p>
    <w:p w14:paraId="1A85DFBC" w14:textId="77777777" w:rsidR="00392CA2" w:rsidRPr="00F11A3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nœuds lymphatiques iliaques internes </w:t>
      </w:r>
    </w:p>
    <w:p w14:paraId="1CE4E553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nœuds superficiels inguinaux </w:t>
      </w:r>
    </w:p>
    <w:p w14:paraId="143E5335" w14:textId="77777777" w:rsidR="00392CA2" w:rsidRPr="00A837E0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Les nœuds lymphatiques sacrés </w:t>
      </w:r>
    </w:p>
    <w:p w14:paraId="5925005C" w14:textId="14B4A55D" w:rsidR="00446C9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7B8BB6E4" w14:textId="77777777" w:rsidR="00B141F4" w:rsidRDefault="00B141F4" w:rsidP="00D06AB6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</w:p>
    <w:p w14:paraId="39F43121" w14:textId="77777777" w:rsidR="00291D7C" w:rsidRPr="00291D7C" w:rsidRDefault="00291D7C" w:rsidP="00D06AB6">
      <w:pPr>
        <w:spacing w:after="12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De la question 12 à la question 15 </w:t>
      </w:r>
    </w:p>
    <w:p w14:paraId="680D92D5" w14:textId="77777777" w:rsidR="00291D7C" w:rsidRPr="00291D7C" w:rsidRDefault="00291D7C" w:rsidP="00D06AB6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 xml:space="preserve">Relation de cause à effet </w:t>
      </w:r>
    </w:p>
    <w:p w14:paraId="6BC6D908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A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proposés sont tous deux exacts et liés par une relation de cause à effet </w:t>
      </w:r>
    </w:p>
    <w:p w14:paraId="4680F813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B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proposés sont tous deux exacts mais ne sont pas liés par une relation de cause à effet </w:t>
      </w:r>
    </w:p>
    <w:p w14:paraId="5CB9C798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C</w:t>
      </w:r>
      <w:r>
        <w:rPr>
          <w:rFonts w:ascii="Arial" w:eastAsia="Times New Roman" w:hAnsi="Arial" w:cs="Arial"/>
          <w:sz w:val="20"/>
          <w:szCs w:val="20"/>
        </w:rPr>
        <w:t xml:space="preserve"> : si le fait est exact mais la raison proposée est fausse </w:t>
      </w:r>
    </w:p>
    <w:p w14:paraId="5E2AF220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D</w:t>
      </w:r>
      <w:r>
        <w:rPr>
          <w:rFonts w:ascii="Arial" w:eastAsia="Times New Roman" w:hAnsi="Arial" w:cs="Arial"/>
          <w:sz w:val="20"/>
          <w:szCs w:val="20"/>
        </w:rPr>
        <w:t xml:space="preserve"> : si le fait est faux mais la raison proposée est exacte </w:t>
      </w:r>
    </w:p>
    <w:p w14:paraId="3097A2A6" w14:textId="77777777" w:rsidR="00291D7C" w:rsidRDefault="00291D7C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E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sont tous les deux faux </w:t>
      </w:r>
    </w:p>
    <w:p w14:paraId="444778CC" w14:textId="77777777" w:rsidR="002C1289" w:rsidRDefault="002C1289" w:rsidP="00D06AB6">
      <w:pPr>
        <w:spacing w:after="0" w:line="240" w:lineRule="auto"/>
        <w:ind w:right="119"/>
        <w:rPr>
          <w:rFonts w:ascii="Arial" w:eastAsia="Times New Roman" w:hAnsi="Arial" w:cs="Arial"/>
          <w:sz w:val="20"/>
          <w:szCs w:val="20"/>
        </w:rPr>
      </w:pPr>
    </w:p>
    <w:p w14:paraId="04F1F052" w14:textId="77777777" w:rsidR="002C1289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91501">
        <w:rPr>
          <w:rFonts w:ascii="Arial" w:eastAsia="Times New Roman" w:hAnsi="Arial" w:cs="Arial"/>
          <w:b/>
          <w:bCs/>
          <w:sz w:val="20"/>
          <w:szCs w:val="20"/>
          <w:u w:val="single"/>
        </w:rPr>
        <w:t>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509D34D5" w14:textId="77777777" w:rsidR="00392CA2" w:rsidRPr="002C1289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L’ovaire est un organe intra-péritonéal non péritonisé</w:t>
      </w:r>
    </w:p>
    <w:p w14:paraId="3A00AE50" w14:textId="77777777" w:rsidR="00391501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472C1239" w14:textId="77777777" w:rsidR="00391501" w:rsidRPr="002C1289" w:rsidRDefault="00391501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L’ovaire est dans la grande cavité péritonéale et que sa surface n’est pas recouverte de péritoine</w:t>
      </w:r>
    </w:p>
    <w:p w14:paraId="00C3E269" w14:textId="77777777" w:rsidR="00392CA2" w:rsidRDefault="00392CA2" w:rsidP="00D06AB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5D1977B" w14:textId="77777777" w:rsidR="002C1289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91501">
        <w:rPr>
          <w:rFonts w:ascii="Arial" w:eastAsia="Times New Roman" w:hAnsi="Arial" w:cs="Arial"/>
          <w:b/>
          <w:bCs/>
          <w:sz w:val="20"/>
          <w:szCs w:val="20"/>
          <w:u w:val="single"/>
        </w:rPr>
        <w:t>13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04AD3283" w14:textId="77777777" w:rsidR="00392CA2" w:rsidRPr="002C1289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Les cancers de l’ovaire peuvent rapidement envahir le péritoine de la grande cavité péritonéale</w:t>
      </w:r>
    </w:p>
    <w:p w14:paraId="03778F1B" w14:textId="77777777" w:rsidR="00391501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1CB9A52D" w14:textId="77777777" w:rsidR="00391501" w:rsidRPr="002C1289" w:rsidRDefault="00391501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L’ovaire n’est pas recouvert par le péritoine viscéral permettant ainsi aux cellules cancéreuses d’envahir rapidement la grande cavité péritonéale</w:t>
      </w:r>
    </w:p>
    <w:p w14:paraId="190262D3" w14:textId="77777777" w:rsidR="00392CA2" w:rsidRDefault="00392CA2" w:rsidP="00D06AB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960A54" w14:textId="77777777" w:rsidR="002C1289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91501"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1616EB8B" w14:textId="77777777" w:rsidR="00392CA2" w:rsidRPr="002C1289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La vascularisation artérielle de l’ovaire est exclusivement dépendante de l’artère gonadique issue de l’aorte descendante</w:t>
      </w:r>
    </w:p>
    <w:p w14:paraId="085701BA" w14:textId="77777777" w:rsidR="00391501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7316A683" w14:textId="3DF4487A" w:rsidR="00D06AB6" w:rsidRDefault="00391501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Il n’y a pas d’anastomose entre l’artère gonadique, l’artère de l’oviducte et l’artère qui suit le ligament utéro-ovarien</w:t>
      </w:r>
    </w:p>
    <w:p w14:paraId="5F8D375A" w14:textId="47915907" w:rsidR="00D06AB6" w:rsidRDefault="00D06AB6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2E113983" w14:textId="65D81381" w:rsidR="00D06AB6" w:rsidRDefault="00D06AB6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2D712F8E" w14:textId="6A3A1F71" w:rsidR="00D06AB6" w:rsidRDefault="00D06AB6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52D52F7B" w14:textId="578B5E12" w:rsidR="00D06AB6" w:rsidRDefault="00D06AB6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18A4B0F5" w14:textId="0125675F" w:rsidR="00D06AB6" w:rsidRDefault="00D06AB6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12FB5C1D" w14:textId="77777777" w:rsidR="00D06AB6" w:rsidRPr="00D06AB6" w:rsidRDefault="00D06AB6" w:rsidP="00D06AB6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</w:p>
    <w:p w14:paraId="1447F320" w14:textId="77777777" w:rsidR="002C1289" w:rsidRDefault="00392CA2" w:rsidP="00D06AB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391501">
        <w:rPr>
          <w:rFonts w:ascii="Arial" w:eastAsia="Times New Roman" w:hAnsi="Arial" w:cs="Arial"/>
          <w:b/>
          <w:bCs/>
          <w:sz w:val="20"/>
          <w:szCs w:val="20"/>
          <w:u w:val="single"/>
        </w:rPr>
        <w:t>15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2746DDB4" w14:textId="77777777" w:rsidR="00392CA2" w:rsidRPr="002C1289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Le ligament large de l’utérus présente trois ailerons péritonéaux</w:t>
      </w:r>
    </w:p>
    <w:p w14:paraId="64B41C61" w14:textId="77777777" w:rsidR="00391501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6CB194D8" w14:textId="77777777" w:rsidR="00392CA2" w:rsidRPr="002C1289" w:rsidRDefault="00391501" w:rsidP="00D06AB6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2C1289">
        <w:rPr>
          <w:rFonts w:ascii="Arial" w:eastAsia="Times New Roman" w:hAnsi="Arial" w:cs="Arial"/>
          <w:sz w:val="20"/>
          <w:szCs w:val="20"/>
        </w:rPr>
        <w:t>Il existe un aileron supérieur sous-tendu par le ligament rond, un aileron antérieur sous-tendu par le ligament utéro-ovarien et un aileron postérieur sous-tendu par l’oviducte</w:t>
      </w:r>
    </w:p>
    <w:p w14:paraId="73A819FA" w14:textId="77777777" w:rsidR="00391501" w:rsidRPr="00391501" w:rsidRDefault="00391501" w:rsidP="00391501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391501" w:rsidRPr="00391501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815C1" w14:textId="77777777" w:rsidR="00305A12" w:rsidRDefault="00305A12" w:rsidP="00AE49CB">
      <w:pPr>
        <w:spacing w:after="0" w:line="240" w:lineRule="auto"/>
      </w:pPr>
      <w:r>
        <w:separator/>
      </w:r>
    </w:p>
  </w:endnote>
  <w:endnote w:type="continuationSeparator" w:id="0">
    <w:p w14:paraId="0F2ECC9F" w14:textId="77777777" w:rsidR="00305A12" w:rsidRDefault="00305A12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D2043" w14:textId="77777777" w:rsidR="00DE474B" w:rsidRDefault="006833DD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2017-2018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14:paraId="241B8EF8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80449" w14:textId="77777777" w:rsidR="00305A12" w:rsidRDefault="00305A12" w:rsidP="00AE49CB">
      <w:pPr>
        <w:spacing w:after="0" w:line="240" w:lineRule="auto"/>
      </w:pPr>
      <w:r>
        <w:separator/>
      </w:r>
    </w:p>
  </w:footnote>
  <w:footnote w:type="continuationSeparator" w:id="0">
    <w:p w14:paraId="66A04868" w14:textId="77777777" w:rsidR="00305A12" w:rsidRDefault="00305A12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6F"/>
    <w:rsid w:val="00072F98"/>
    <w:rsid w:val="00077C35"/>
    <w:rsid w:val="000A5653"/>
    <w:rsid w:val="000B10B2"/>
    <w:rsid w:val="000B4B7E"/>
    <w:rsid w:val="000B5E75"/>
    <w:rsid w:val="000B6DC2"/>
    <w:rsid w:val="000C2C2E"/>
    <w:rsid w:val="000C6AAC"/>
    <w:rsid w:val="000C7463"/>
    <w:rsid w:val="000D2EC2"/>
    <w:rsid w:val="000D585B"/>
    <w:rsid w:val="000E351D"/>
    <w:rsid w:val="000F028C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C75D1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1D7C"/>
    <w:rsid w:val="002936D7"/>
    <w:rsid w:val="00293ABF"/>
    <w:rsid w:val="002B014C"/>
    <w:rsid w:val="002B1D75"/>
    <w:rsid w:val="002C1289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05A12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773EB"/>
    <w:rsid w:val="00386CF1"/>
    <w:rsid w:val="00391501"/>
    <w:rsid w:val="00392CA2"/>
    <w:rsid w:val="003957C2"/>
    <w:rsid w:val="003A3135"/>
    <w:rsid w:val="003A31FA"/>
    <w:rsid w:val="003B075B"/>
    <w:rsid w:val="003B26C6"/>
    <w:rsid w:val="003B30C2"/>
    <w:rsid w:val="003B6308"/>
    <w:rsid w:val="003B75CB"/>
    <w:rsid w:val="003C11F5"/>
    <w:rsid w:val="003C2892"/>
    <w:rsid w:val="003E0292"/>
    <w:rsid w:val="003E49AA"/>
    <w:rsid w:val="003E5827"/>
    <w:rsid w:val="0040066F"/>
    <w:rsid w:val="00403073"/>
    <w:rsid w:val="00404444"/>
    <w:rsid w:val="004046B6"/>
    <w:rsid w:val="004211E0"/>
    <w:rsid w:val="00422308"/>
    <w:rsid w:val="00433C7C"/>
    <w:rsid w:val="0043740B"/>
    <w:rsid w:val="00446055"/>
    <w:rsid w:val="00446C92"/>
    <w:rsid w:val="0045333C"/>
    <w:rsid w:val="0045516D"/>
    <w:rsid w:val="00455DDF"/>
    <w:rsid w:val="0047193F"/>
    <w:rsid w:val="00475361"/>
    <w:rsid w:val="00477E5B"/>
    <w:rsid w:val="004824DE"/>
    <w:rsid w:val="00483481"/>
    <w:rsid w:val="00483768"/>
    <w:rsid w:val="00497258"/>
    <w:rsid w:val="004A42BB"/>
    <w:rsid w:val="004B3847"/>
    <w:rsid w:val="004B465D"/>
    <w:rsid w:val="004D1883"/>
    <w:rsid w:val="004F56A6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1F2"/>
    <w:rsid w:val="0056096E"/>
    <w:rsid w:val="0056468E"/>
    <w:rsid w:val="00570275"/>
    <w:rsid w:val="005757A4"/>
    <w:rsid w:val="0057607E"/>
    <w:rsid w:val="00577BF2"/>
    <w:rsid w:val="0059334C"/>
    <w:rsid w:val="0059608C"/>
    <w:rsid w:val="005A5BD9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33DD"/>
    <w:rsid w:val="006857D2"/>
    <w:rsid w:val="006928A8"/>
    <w:rsid w:val="00694C32"/>
    <w:rsid w:val="006A050D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4CB"/>
    <w:rsid w:val="006E0544"/>
    <w:rsid w:val="006F2BF6"/>
    <w:rsid w:val="007018AD"/>
    <w:rsid w:val="007036BC"/>
    <w:rsid w:val="00705A7F"/>
    <w:rsid w:val="007178A7"/>
    <w:rsid w:val="007204B5"/>
    <w:rsid w:val="00730AE8"/>
    <w:rsid w:val="00734C59"/>
    <w:rsid w:val="0075034D"/>
    <w:rsid w:val="00752E97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7F6501"/>
    <w:rsid w:val="008007D7"/>
    <w:rsid w:val="00805127"/>
    <w:rsid w:val="00805EF2"/>
    <w:rsid w:val="0081699E"/>
    <w:rsid w:val="0082096B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0EB5"/>
    <w:rsid w:val="008E3F33"/>
    <w:rsid w:val="008F5A71"/>
    <w:rsid w:val="0090296B"/>
    <w:rsid w:val="00914B1C"/>
    <w:rsid w:val="00922302"/>
    <w:rsid w:val="00924468"/>
    <w:rsid w:val="00927FF7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C70CB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0BC9"/>
    <w:rsid w:val="00AA5B9A"/>
    <w:rsid w:val="00AA7CDC"/>
    <w:rsid w:val="00AB51B7"/>
    <w:rsid w:val="00AC35D1"/>
    <w:rsid w:val="00AC7C30"/>
    <w:rsid w:val="00AD00A5"/>
    <w:rsid w:val="00AD3C2B"/>
    <w:rsid w:val="00AD6A8D"/>
    <w:rsid w:val="00AE02A5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141F4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E7703"/>
    <w:rsid w:val="00C00CCD"/>
    <w:rsid w:val="00C16E12"/>
    <w:rsid w:val="00C26CED"/>
    <w:rsid w:val="00C34387"/>
    <w:rsid w:val="00C36D9A"/>
    <w:rsid w:val="00C460B9"/>
    <w:rsid w:val="00C536FB"/>
    <w:rsid w:val="00C563F7"/>
    <w:rsid w:val="00C75779"/>
    <w:rsid w:val="00C82491"/>
    <w:rsid w:val="00C829CB"/>
    <w:rsid w:val="00C87FE1"/>
    <w:rsid w:val="00C9197D"/>
    <w:rsid w:val="00C970FC"/>
    <w:rsid w:val="00C97B6A"/>
    <w:rsid w:val="00CA24B7"/>
    <w:rsid w:val="00CA5EFD"/>
    <w:rsid w:val="00CB303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06AB6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B0E49"/>
    <w:rsid w:val="00DB748E"/>
    <w:rsid w:val="00DB76E8"/>
    <w:rsid w:val="00DC0A1B"/>
    <w:rsid w:val="00DC3B34"/>
    <w:rsid w:val="00DD6625"/>
    <w:rsid w:val="00DE474B"/>
    <w:rsid w:val="00DE4B8F"/>
    <w:rsid w:val="00DE53B9"/>
    <w:rsid w:val="00DE6272"/>
    <w:rsid w:val="00DF16B3"/>
    <w:rsid w:val="00E0130C"/>
    <w:rsid w:val="00E03B7E"/>
    <w:rsid w:val="00E05117"/>
    <w:rsid w:val="00E10AD8"/>
    <w:rsid w:val="00E1539F"/>
    <w:rsid w:val="00E22495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0FBF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32DF63"/>
  <w15:docId w15:val="{0F521AA2-21D1-44BF-AE73-FD3A2A5D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4BDE1-B5D2-4758-83C0-B02DF1296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893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Sacha H-k</cp:lastModifiedBy>
  <cp:revision>22</cp:revision>
  <cp:lastPrinted>2020-04-25T12:36:00Z</cp:lastPrinted>
  <dcterms:created xsi:type="dcterms:W3CDTF">2020-04-02T11:21:00Z</dcterms:created>
  <dcterms:modified xsi:type="dcterms:W3CDTF">2020-04-25T12:36:00Z</dcterms:modified>
</cp:coreProperties>
</file>