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E217D" w14:textId="0D7924A4" w:rsidR="00577D58" w:rsidRDefault="00425CF9" w:rsidP="00425CF9">
      <w:pPr>
        <w:jc w:val="center"/>
        <w:rPr>
          <w:b/>
          <w:bCs/>
          <w:color w:val="FF0000"/>
          <w:sz w:val="28"/>
          <w:szCs w:val="28"/>
          <w:u w:val="single"/>
        </w:rPr>
      </w:pPr>
      <w:r w:rsidRPr="00425CF9">
        <w:rPr>
          <w:b/>
          <w:bCs/>
          <w:color w:val="FF0000"/>
          <w:sz w:val="28"/>
          <w:szCs w:val="28"/>
          <w:u w:val="single"/>
        </w:rPr>
        <w:t>Expression des gènes</w:t>
      </w:r>
    </w:p>
    <w:p w14:paraId="70E7CE04" w14:textId="6D2898D0" w:rsidR="00425CF9" w:rsidRDefault="00425CF9" w:rsidP="00425CF9">
      <w:pPr>
        <w:rPr>
          <w:sz w:val="28"/>
          <w:szCs w:val="28"/>
          <w:u w:val="single"/>
        </w:rPr>
      </w:pPr>
      <w:r w:rsidRPr="00425CF9">
        <w:rPr>
          <w:sz w:val="28"/>
          <w:szCs w:val="28"/>
          <w:u w:val="single"/>
        </w:rPr>
        <w:t>I-Généralités :</w:t>
      </w:r>
    </w:p>
    <w:p w14:paraId="497B560D" w14:textId="473B2333" w:rsidR="00425CF9" w:rsidRDefault="00425CF9" w:rsidP="00425CF9">
      <w:pPr>
        <w:jc w:val="center"/>
        <w:rPr>
          <w:b/>
          <w:bCs/>
        </w:rPr>
      </w:pPr>
      <w:r w:rsidRPr="00956EC5">
        <w:rPr>
          <w:b/>
          <w:bCs/>
        </w:rPr>
        <w:t xml:space="preserve">Selon la théorie du dogme central de la biologie ayant été énoncé par </w:t>
      </w:r>
      <w:proofErr w:type="spellStart"/>
      <w:proofErr w:type="gramStart"/>
      <w:r w:rsidRPr="00956EC5">
        <w:rPr>
          <w:b/>
          <w:bCs/>
        </w:rPr>
        <w:t>F.Crick</w:t>
      </w:r>
      <w:proofErr w:type="spellEnd"/>
      <w:proofErr w:type="gramEnd"/>
      <w:r w:rsidRPr="00956EC5">
        <w:rPr>
          <w:b/>
          <w:bCs/>
        </w:rPr>
        <w:t xml:space="preserve"> en 1958 : « le flux de l’information génétique est unidirectionnel ».</w:t>
      </w:r>
    </w:p>
    <w:p w14:paraId="7F69FCD2" w14:textId="77777777" w:rsidR="00425CF9" w:rsidRDefault="00425CF9" w:rsidP="00425CF9">
      <w:pPr>
        <w:jc w:val="center"/>
        <w:rPr>
          <w:u w:val="single"/>
        </w:rPr>
      </w:pPr>
    </w:p>
    <w:p w14:paraId="7BDA3259" w14:textId="7CCA7EA8" w:rsidR="00425CF9" w:rsidRPr="00425CF9" w:rsidRDefault="00425CF9" w:rsidP="00425CF9">
      <w:pPr>
        <w:jc w:val="center"/>
        <w:rPr>
          <w:u w:val="single"/>
        </w:rPr>
      </w:pPr>
      <w:r w:rsidRPr="00425CF9">
        <w:rPr>
          <w:u w:val="single"/>
        </w:rPr>
        <w:t>Le matériel génétique ou génome contient les gènes :</w:t>
      </w:r>
    </w:p>
    <w:p w14:paraId="4AD78819" w14:textId="160D2AC4" w:rsidR="00425CF9" w:rsidRPr="001306CC" w:rsidRDefault="00425CF9" w:rsidP="001306CC">
      <w:pPr>
        <w:jc w:val="center"/>
        <w:rPr>
          <w:color w:val="FF0000"/>
          <w:sz w:val="24"/>
          <w:szCs w:val="24"/>
        </w:rPr>
      </w:pPr>
      <w:r w:rsidRPr="001306CC">
        <w:rPr>
          <w:color w:val="FF0000"/>
          <w:sz w:val="24"/>
          <w:szCs w:val="24"/>
        </w:rPr>
        <w:t>Un gène contient une information : il s’agit d’un enchainement linéaire de nucléotides formant une séquence d’ADN délimitée par un signal de début (START) et un signal de fin (STOP).</w:t>
      </w:r>
    </w:p>
    <w:tbl>
      <w:tblPr>
        <w:tblStyle w:val="Grilledutableau"/>
        <w:tblW w:w="0" w:type="auto"/>
        <w:tblLook w:val="04A0" w:firstRow="1" w:lastRow="0" w:firstColumn="1" w:lastColumn="0" w:noHBand="0" w:noVBand="1"/>
      </w:tblPr>
      <w:tblGrid>
        <w:gridCol w:w="4531"/>
        <w:gridCol w:w="4531"/>
      </w:tblGrid>
      <w:tr w:rsidR="00425CF9" w14:paraId="38ECBFA5" w14:textId="77777777" w:rsidTr="00AE6768">
        <w:tc>
          <w:tcPr>
            <w:tcW w:w="9062" w:type="dxa"/>
            <w:gridSpan w:val="2"/>
          </w:tcPr>
          <w:p w14:paraId="69DF5C81" w14:textId="6CE8CF38" w:rsidR="00425CF9" w:rsidRPr="00425CF9" w:rsidRDefault="00425CF9" w:rsidP="00425CF9">
            <w:pPr>
              <w:jc w:val="center"/>
              <w:rPr>
                <w:sz w:val="24"/>
                <w:szCs w:val="24"/>
              </w:rPr>
            </w:pPr>
            <w:r w:rsidRPr="00CF5E75">
              <w:rPr>
                <w:sz w:val="24"/>
                <w:szCs w:val="24"/>
              </w:rPr>
              <w:t>Le génome contient des gènes codants et non codants</w:t>
            </w:r>
            <w:r>
              <w:rPr>
                <w:sz w:val="24"/>
                <w:szCs w:val="24"/>
              </w:rPr>
              <w:t>.</w:t>
            </w:r>
          </w:p>
        </w:tc>
      </w:tr>
      <w:tr w:rsidR="00425CF9" w14:paraId="17FB553B" w14:textId="77777777" w:rsidTr="00425CF9">
        <w:tc>
          <w:tcPr>
            <w:tcW w:w="4531" w:type="dxa"/>
          </w:tcPr>
          <w:p w14:paraId="6D80DD4D" w14:textId="37146953" w:rsidR="00425CF9" w:rsidRPr="00425CF9" w:rsidRDefault="00425CF9" w:rsidP="00425CF9">
            <w:pPr>
              <w:jc w:val="center"/>
              <w:rPr>
                <w:sz w:val="24"/>
                <w:szCs w:val="24"/>
              </w:rPr>
            </w:pPr>
            <w:r>
              <w:rPr>
                <w:sz w:val="24"/>
                <w:szCs w:val="24"/>
              </w:rPr>
              <w:t>Les gènes codant</w:t>
            </w:r>
          </w:p>
        </w:tc>
        <w:tc>
          <w:tcPr>
            <w:tcW w:w="4531" w:type="dxa"/>
          </w:tcPr>
          <w:p w14:paraId="03B6D44E" w14:textId="14B6569E" w:rsidR="00425CF9" w:rsidRPr="00425CF9" w:rsidRDefault="00425CF9" w:rsidP="00425CF9">
            <w:pPr>
              <w:rPr>
                <w:sz w:val="24"/>
                <w:szCs w:val="24"/>
              </w:rPr>
            </w:pPr>
            <w:r>
              <w:rPr>
                <w:sz w:val="24"/>
                <w:szCs w:val="24"/>
              </w:rPr>
              <w:t>Transcrits en ARNm puis traduits en protéines.</w:t>
            </w:r>
          </w:p>
        </w:tc>
      </w:tr>
      <w:tr w:rsidR="00425CF9" w14:paraId="55B31060" w14:textId="77777777" w:rsidTr="00425CF9">
        <w:tc>
          <w:tcPr>
            <w:tcW w:w="4531" w:type="dxa"/>
          </w:tcPr>
          <w:p w14:paraId="2001884F" w14:textId="34B63FA6" w:rsidR="00425CF9" w:rsidRPr="00425CF9" w:rsidRDefault="00425CF9" w:rsidP="00425CF9">
            <w:pPr>
              <w:jc w:val="center"/>
              <w:rPr>
                <w:sz w:val="24"/>
                <w:szCs w:val="24"/>
              </w:rPr>
            </w:pPr>
            <w:r>
              <w:rPr>
                <w:sz w:val="24"/>
                <w:szCs w:val="24"/>
              </w:rPr>
              <w:t>Les gène non codant</w:t>
            </w:r>
          </w:p>
        </w:tc>
        <w:tc>
          <w:tcPr>
            <w:tcW w:w="4531" w:type="dxa"/>
          </w:tcPr>
          <w:p w14:paraId="7C114E37" w14:textId="77777777" w:rsidR="00425CF9" w:rsidRDefault="00425CF9" w:rsidP="00425CF9">
            <w:pPr>
              <w:rPr>
                <w:sz w:val="24"/>
                <w:szCs w:val="24"/>
              </w:rPr>
            </w:pPr>
            <w:r>
              <w:rPr>
                <w:sz w:val="24"/>
                <w:szCs w:val="24"/>
              </w:rPr>
              <w:t>Sert à la synthèse d’ARNs non codants (ARN ribosomiaux, ARNs de transferts, petits ARNs nucléaires…).</w:t>
            </w:r>
          </w:p>
          <w:p w14:paraId="75D70A4D" w14:textId="777F3C26" w:rsidR="00425CF9" w:rsidRPr="00425CF9" w:rsidRDefault="00425CF9" w:rsidP="00425CF9">
            <w:pPr>
              <w:rPr>
                <w:sz w:val="24"/>
                <w:szCs w:val="24"/>
              </w:rPr>
            </w:pPr>
            <w:r>
              <w:rPr>
                <w:sz w:val="24"/>
                <w:szCs w:val="24"/>
              </w:rPr>
              <w:t>Ils sont TRANSCRITS mais JAMAIS TRADUITS</w:t>
            </w:r>
            <w:r w:rsidR="001306CC">
              <w:rPr>
                <w:sz w:val="24"/>
                <w:szCs w:val="24"/>
              </w:rPr>
              <w:t>.</w:t>
            </w:r>
          </w:p>
        </w:tc>
      </w:tr>
    </w:tbl>
    <w:p w14:paraId="22EDAA1F" w14:textId="77777777" w:rsidR="00425CF9" w:rsidRPr="00425CF9" w:rsidRDefault="00425CF9" w:rsidP="00425CF9">
      <w:pPr>
        <w:rPr>
          <w:sz w:val="28"/>
          <w:szCs w:val="28"/>
          <w:u w:val="single"/>
        </w:rPr>
      </w:pPr>
    </w:p>
    <w:p w14:paraId="7EBCA577" w14:textId="77777777" w:rsidR="001306CC" w:rsidRPr="00956EC5" w:rsidRDefault="001306CC" w:rsidP="001306CC">
      <w:pPr>
        <w:rPr>
          <w:sz w:val="28"/>
          <w:szCs w:val="28"/>
          <w:u w:val="single"/>
        </w:rPr>
      </w:pPr>
      <w:r w:rsidRPr="00956EC5">
        <w:rPr>
          <w:sz w:val="28"/>
          <w:szCs w:val="28"/>
          <w:u w:val="single"/>
        </w:rPr>
        <w:t>II- Transcription</w:t>
      </w:r>
    </w:p>
    <w:p w14:paraId="711DA898" w14:textId="77777777" w:rsidR="001306CC" w:rsidRPr="001306CC" w:rsidRDefault="001306CC" w:rsidP="001306CC">
      <w:pPr>
        <w:jc w:val="center"/>
        <w:rPr>
          <w:sz w:val="24"/>
          <w:szCs w:val="24"/>
          <w:u w:val="single"/>
        </w:rPr>
      </w:pPr>
      <w:r w:rsidRPr="001306CC">
        <w:rPr>
          <w:sz w:val="24"/>
          <w:szCs w:val="24"/>
          <w:u w:val="single"/>
        </w:rPr>
        <w:t>L’expression d’un gène débute par sa transcription dans le noyau :</w:t>
      </w:r>
    </w:p>
    <w:p w14:paraId="7B7F5505" w14:textId="57E782C1" w:rsidR="00425CF9" w:rsidRDefault="001306CC" w:rsidP="001306CC">
      <w:pPr>
        <w:rPr>
          <w:sz w:val="24"/>
          <w:szCs w:val="24"/>
        </w:rPr>
      </w:pPr>
      <w:r>
        <w:rPr>
          <w:sz w:val="24"/>
          <w:szCs w:val="24"/>
        </w:rPr>
        <w:t>Mais c’est quoi ?</w:t>
      </w:r>
    </w:p>
    <w:p w14:paraId="3EC7AB7D" w14:textId="77777777" w:rsidR="001306CC" w:rsidRPr="001306CC" w:rsidRDefault="001306CC" w:rsidP="001306CC">
      <w:pPr>
        <w:jc w:val="center"/>
        <w:rPr>
          <w:color w:val="FF0000"/>
          <w:sz w:val="24"/>
          <w:szCs w:val="24"/>
        </w:rPr>
      </w:pPr>
      <w:r w:rsidRPr="001306CC">
        <w:rPr>
          <w:color w:val="FF0000"/>
          <w:sz w:val="24"/>
          <w:szCs w:val="24"/>
        </w:rPr>
        <w:t>La transcription consiste à retranscrire la séquence de désoxyribonucléotides en ribonucléotides.</w:t>
      </w:r>
    </w:p>
    <w:tbl>
      <w:tblPr>
        <w:tblStyle w:val="Grilledutableau"/>
        <w:tblW w:w="0" w:type="auto"/>
        <w:tblLook w:val="04A0" w:firstRow="1" w:lastRow="0" w:firstColumn="1" w:lastColumn="0" w:noHBand="0" w:noVBand="1"/>
      </w:tblPr>
      <w:tblGrid>
        <w:gridCol w:w="4531"/>
        <w:gridCol w:w="4531"/>
      </w:tblGrid>
      <w:tr w:rsidR="001306CC" w14:paraId="35D33A3E" w14:textId="77777777" w:rsidTr="005328EF">
        <w:tc>
          <w:tcPr>
            <w:tcW w:w="9062" w:type="dxa"/>
            <w:gridSpan w:val="2"/>
          </w:tcPr>
          <w:p w14:paraId="3A464BB5" w14:textId="7D07DA3B" w:rsidR="001306CC" w:rsidRPr="00425CF9" w:rsidRDefault="001306CC" w:rsidP="005328EF">
            <w:pPr>
              <w:jc w:val="center"/>
              <w:rPr>
                <w:sz w:val="24"/>
                <w:szCs w:val="24"/>
              </w:rPr>
            </w:pPr>
            <w:r>
              <w:rPr>
                <w:sz w:val="24"/>
                <w:szCs w:val="24"/>
              </w:rPr>
              <w:t>La molécule d’ADN est constituée de 2 brins.</w:t>
            </w:r>
          </w:p>
        </w:tc>
      </w:tr>
      <w:tr w:rsidR="001306CC" w14:paraId="755AFB07" w14:textId="77777777" w:rsidTr="005328EF">
        <w:tc>
          <w:tcPr>
            <w:tcW w:w="4531" w:type="dxa"/>
          </w:tcPr>
          <w:p w14:paraId="036E2E0D" w14:textId="6B814B61" w:rsidR="001306CC" w:rsidRPr="00425CF9" w:rsidRDefault="001306CC" w:rsidP="005328EF">
            <w:pPr>
              <w:jc w:val="center"/>
              <w:rPr>
                <w:sz w:val="24"/>
                <w:szCs w:val="24"/>
              </w:rPr>
            </w:pPr>
            <w:r>
              <w:rPr>
                <w:sz w:val="24"/>
                <w:szCs w:val="24"/>
              </w:rPr>
              <w:t>Le brin codant</w:t>
            </w:r>
          </w:p>
        </w:tc>
        <w:tc>
          <w:tcPr>
            <w:tcW w:w="4531" w:type="dxa"/>
          </w:tcPr>
          <w:p w14:paraId="34E94DD0" w14:textId="77FA6E44" w:rsidR="001306CC" w:rsidRPr="00425CF9" w:rsidRDefault="001306CC" w:rsidP="005328EF">
            <w:pPr>
              <w:rPr>
                <w:sz w:val="24"/>
                <w:szCs w:val="24"/>
              </w:rPr>
            </w:pPr>
            <w:r>
              <w:rPr>
                <w:sz w:val="24"/>
                <w:szCs w:val="24"/>
              </w:rPr>
              <w:t>Contient l’information génétique nécessaire à retranscrire en ARNm</w:t>
            </w:r>
          </w:p>
        </w:tc>
      </w:tr>
      <w:tr w:rsidR="001306CC" w14:paraId="785A0012" w14:textId="77777777" w:rsidTr="005328EF">
        <w:tc>
          <w:tcPr>
            <w:tcW w:w="4531" w:type="dxa"/>
          </w:tcPr>
          <w:p w14:paraId="3E5D2CE9" w14:textId="20164670" w:rsidR="001306CC" w:rsidRPr="00425CF9" w:rsidRDefault="001306CC" w:rsidP="005328EF">
            <w:pPr>
              <w:jc w:val="center"/>
              <w:rPr>
                <w:sz w:val="24"/>
                <w:szCs w:val="24"/>
              </w:rPr>
            </w:pPr>
            <w:r>
              <w:rPr>
                <w:sz w:val="24"/>
                <w:szCs w:val="24"/>
              </w:rPr>
              <w:t>Le brin non codant.</w:t>
            </w:r>
          </w:p>
        </w:tc>
        <w:tc>
          <w:tcPr>
            <w:tcW w:w="4531" w:type="dxa"/>
          </w:tcPr>
          <w:p w14:paraId="2632725C" w14:textId="759ADDC5" w:rsidR="001306CC" w:rsidRPr="00425CF9" w:rsidRDefault="001306CC" w:rsidP="005328EF">
            <w:pPr>
              <w:rPr>
                <w:sz w:val="24"/>
                <w:szCs w:val="24"/>
              </w:rPr>
            </w:pPr>
            <w:r>
              <w:t>Va servir de matrice pour transcrire à l’identique l’information du brin codant dans l’ARN messager. Cela est dû au principe de complémentarité.</w:t>
            </w:r>
          </w:p>
        </w:tc>
      </w:tr>
    </w:tbl>
    <w:p w14:paraId="472259EF" w14:textId="58ADD94C" w:rsidR="001306CC" w:rsidRDefault="00544F61" w:rsidP="001306CC">
      <w:pPr>
        <w:rPr>
          <w:noProof/>
          <w:sz w:val="24"/>
          <w:szCs w:val="24"/>
        </w:rPr>
      </w:pPr>
      <w:r>
        <w:rPr>
          <w:noProof/>
          <w:sz w:val="24"/>
          <w:szCs w:val="24"/>
        </w:rPr>
        <w:drawing>
          <wp:anchor distT="0" distB="0" distL="114300" distR="114300" simplePos="0" relativeHeight="251659264" behindDoc="0" locked="0" layoutInCell="1" allowOverlap="1" wp14:anchorId="24D3EBA0" wp14:editId="6345B935">
            <wp:simplePos x="0" y="0"/>
            <wp:positionH relativeFrom="column">
              <wp:posOffset>149667</wp:posOffset>
            </wp:positionH>
            <wp:positionV relativeFrom="paragraph">
              <wp:posOffset>12838</wp:posOffset>
            </wp:positionV>
            <wp:extent cx="5471160" cy="1908175"/>
            <wp:effectExtent l="0" t="0" r="0" b="0"/>
            <wp:wrapNone/>
            <wp:docPr id="1" name="Image 1"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able&#10;&#10;Description générée automatiquement"/>
                    <pic:cNvPicPr/>
                  </pic:nvPicPr>
                  <pic:blipFill>
                    <a:blip r:embed="rId5">
                      <a:extLst>
                        <a:ext uri="{28A0092B-C50C-407E-A947-70E740481C1C}">
                          <a14:useLocalDpi xmlns:a14="http://schemas.microsoft.com/office/drawing/2010/main" val="0"/>
                        </a:ext>
                      </a:extLst>
                    </a:blip>
                    <a:stretch>
                      <a:fillRect/>
                    </a:stretch>
                  </pic:blipFill>
                  <pic:spPr>
                    <a:xfrm>
                      <a:off x="0" y="0"/>
                      <a:ext cx="5471160" cy="1908175"/>
                    </a:xfrm>
                    <a:prstGeom prst="rect">
                      <a:avLst/>
                    </a:prstGeom>
                  </pic:spPr>
                </pic:pic>
              </a:graphicData>
            </a:graphic>
          </wp:anchor>
        </w:drawing>
      </w:r>
    </w:p>
    <w:p w14:paraId="780ED12E" w14:textId="6F3ED63D" w:rsidR="001306CC" w:rsidRDefault="001306CC" w:rsidP="001306CC">
      <w:pPr>
        <w:rPr>
          <w:noProof/>
          <w:sz w:val="24"/>
          <w:szCs w:val="24"/>
        </w:rPr>
      </w:pPr>
    </w:p>
    <w:p w14:paraId="47F76CF3" w14:textId="7A1B7D7E" w:rsidR="001306CC" w:rsidRDefault="001306CC" w:rsidP="001306CC">
      <w:pPr>
        <w:jc w:val="center"/>
        <w:rPr>
          <w:noProof/>
          <w:sz w:val="24"/>
          <w:szCs w:val="24"/>
        </w:rPr>
      </w:pPr>
    </w:p>
    <w:p w14:paraId="0BAA351A" w14:textId="1BC3D055" w:rsidR="001306CC" w:rsidRDefault="001306CC" w:rsidP="001306CC">
      <w:pPr>
        <w:jc w:val="center"/>
        <w:rPr>
          <w:noProof/>
          <w:sz w:val="24"/>
          <w:szCs w:val="24"/>
        </w:rPr>
      </w:pPr>
    </w:p>
    <w:p w14:paraId="421C14F6" w14:textId="4A5CF12A" w:rsidR="001306CC" w:rsidRDefault="001306CC" w:rsidP="001306CC">
      <w:pPr>
        <w:jc w:val="center"/>
        <w:rPr>
          <w:noProof/>
          <w:sz w:val="24"/>
          <w:szCs w:val="24"/>
        </w:rPr>
      </w:pPr>
    </w:p>
    <w:p w14:paraId="6A9CC341" w14:textId="1AFB7D24" w:rsidR="001306CC" w:rsidRDefault="001306CC" w:rsidP="001306CC">
      <w:pPr>
        <w:jc w:val="center"/>
        <w:rPr>
          <w:noProof/>
          <w:sz w:val="24"/>
          <w:szCs w:val="24"/>
        </w:rPr>
      </w:pPr>
    </w:p>
    <w:p w14:paraId="4D96C6FF" w14:textId="62CF4033" w:rsidR="00544F61" w:rsidRDefault="00544F61" w:rsidP="00544F61">
      <w:pPr>
        <w:jc w:val="center"/>
        <w:rPr>
          <w:sz w:val="24"/>
          <w:szCs w:val="24"/>
          <w:u w:val="single"/>
        </w:rPr>
      </w:pPr>
      <w:r w:rsidRPr="00544F61">
        <w:rPr>
          <w:sz w:val="24"/>
          <w:szCs w:val="24"/>
          <w:u w:val="single"/>
        </w:rPr>
        <w:lastRenderedPageBreak/>
        <w:t>L’ARN polymérase débute la transcription en amont de la séquence codante et l’achève en aval</w:t>
      </w:r>
      <w:r>
        <w:rPr>
          <w:sz w:val="24"/>
          <w:szCs w:val="24"/>
          <w:u w:val="single"/>
        </w:rPr>
        <w:t>.</w:t>
      </w:r>
    </w:p>
    <w:p w14:paraId="535CE62C" w14:textId="626EB341" w:rsidR="00544F61" w:rsidRPr="00544F61" w:rsidRDefault="00544F61" w:rsidP="00544F61">
      <w:r>
        <w:t>A quoi ça sert ?</w:t>
      </w:r>
    </w:p>
    <w:p w14:paraId="43DEBFA4" w14:textId="609F1E5E" w:rsidR="00544F61" w:rsidRPr="00F70F33" w:rsidRDefault="00544F61" w:rsidP="00544F61">
      <w:pPr>
        <w:jc w:val="center"/>
      </w:pPr>
      <w:r w:rsidRPr="00F70F33">
        <w:t xml:space="preserve">Cette enzyme se fixe à l’ADN au niveau du gène à transcrire après que les brins </w:t>
      </w:r>
      <w:proofErr w:type="gramStart"/>
      <w:r w:rsidRPr="00F70F33">
        <w:t>soient</w:t>
      </w:r>
      <w:proofErr w:type="gramEnd"/>
      <w:r w:rsidRPr="00F70F33">
        <w:t xml:space="preserve"> dissociés.</w:t>
      </w:r>
    </w:p>
    <w:p w14:paraId="75EB827E" w14:textId="4BDFB275" w:rsidR="00544F61" w:rsidRPr="00F70F33" w:rsidRDefault="00544F61" w:rsidP="00544F61">
      <w:pPr>
        <w:jc w:val="center"/>
      </w:pPr>
      <w:r w:rsidRPr="00F70F33">
        <w:t>Elle sélectionne et relie entre eux un à un dans le sens 5’-3’ les ribonucléotides complémentaires du brin non codant, sans avoir besoin pour cela d’amorce nucléotidique.</w:t>
      </w:r>
    </w:p>
    <w:p w14:paraId="5FCE1748" w14:textId="29B635B4" w:rsidR="00544F61" w:rsidRDefault="00544F61" w:rsidP="00544F61">
      <w:pPr>
        <w:rPr>
          <w:sz w:val="24"/>
          <w:szCs w:val="24"/>
          <w:u w:val="single"/>
        </w:rPr>
      </w:pPr>
    </w:p>
    <w:p w14:paraId="2F7DAAB9" w14:textId="2013A95C" w:rsidR="00544F61" w:rsidRDefault="00544F61" w:rsidP="00544F61">
      <w:pPr>
        <w:ind w:left="360"/>
        <w:jc w:val="center"/>
        <w:rPr>
          <w:sz w:val="24"/>
          <w:szCs w:val="24"/>
          <w:u w:val="single"/>
        </w:rPr>
      </w:pPr>
      <w:r w:rsidRPr="00544F61">
        <w:rPr>
          <w:sz w:val="24"/>
          <w:szCs w:val="24"/>
          <w:u w:val="single"/>
        </w:rPr>
        <w:t>Un gène contient également des séquences dites « non codantes »</w:t>
      </w:r>
      <w:r>
        <w:rPr>
          <w:sz w:val="24"/>
          <w:szCs w:val="24"/>
          <w:u w:val="single"/>
        </w:rPr>
        <w:t>.</w:t>
      </w:r>
    </w:p>
    <w:p w14:paraId="2D54FD06" w14:textId="7BC49B10" w:rsidR="00544F61" w:rsidRDefault="00544F61" w:rsidP="00544F61">
      <w:pPr>
        <w:ind w:left="360"/>
        <w:jc w:val="center"/>
      </w:pPr>
      <w:r>
        <w:t>Ces séquences encadrent en 5’ et en 3’ la séquence codante. Cependant elles ne seront pas traduites.</w:t>
      </w:r>
    </w:p>
    <w:p w14:paraId="30C73583" w14:textId="1ECB3642" w:rsidR="00544F61" w:rsidRDefault="00544F61" w:rsidP="00544F61">
      <w:pPr>
        <w:jc w:val="center"/>
      </w:pPr>
      <w:r>
        <w:t>Elles seront appelées « 5’-UTR et 3’-UTR (</w:t>
      </w:r>
      <w:proofErr w:type="spellStart"/>
      <w:r>
        <w:t>Untranslated</w:t>
      </w:r>
      <w:proofErr w:type="spellEnd"/>
      <w:r>
        <w:t>) »</w:t>
      </w:r>
    </w:p>
    <w:p w14:paraId="74ED33E0" w14:textId="4AEC1787" w:rsidR="00544F61" w:rsidRDefault="00544F61" w:rsidP="00544F61">
      <w:pPr>
        <w:jc w:val="center"/>
      </w:pPr>
    </w:p>
    <w:p w14:paraId="5E4F7952" w14:textId="2EB23542" w:rsidR="00544F61" w:rsidRDefault="00544F61" w:rsidP="00544F61">
      <w:pPr>
        <w:jc w:val="center"/>
        <w:rPr>
          <w:sz w:val="24"/>
          <w:szCs w:val="24"/>
          <w:u w:val="single"/>
        </w:rPr>
      </w:pPr>
      <w:bookmarkStart w:id="0" w:name="_Hlk79661349"/>
      <w:r w:rsidRPr="00544F61">
        <w:rPr>
          <w:sz w:val="24"/>
          <w:szCs w:val="24"/>
          <w:u w:val="single"/>
        </w:rPr>
        <w:t>L’ARN polymérase débute la transcription en amont de la séquence codante et l’achève en aval</w:t>
      </w:r>
      <w:bookmarkEnd w:id="0"/>
      <w:r w:rsidRPr="00544F61">
        <w:rPr>
          <w:sz w:val="24"/>
          <w:szCs w:val="24"/>
          <w:u w:val="single"/>
        </w:rPr>
        <w:t xml:space="preserve"> :</w:t>
      </w:r>
    </w:p>
    <w:p w14:paraId="15BAC9EF" w14:textId="5A745FC7" w:rsidR="00544F61" w:rsidRDefault="00544F61" w:rsidP="00544F61">
      <w:pPr>
        <w:jc w:val="center"/>
      </w:pPr>
      <w:r>
        <w:t>Elle produit un ARN plus grand que celui qui correspond à la séquence codante du gène.</w:t>
      </w:r>
    </w:p>
    <w:p w14:paraId="1B772AFE" w14:textId="6E831A06" w:rsidR="00544F61" w:rsidRDefault="00544F61" w:rsidP="00544F61">
      <w:pPr>
        <w:ind w:left="360"/>
        <w:jc w:val="center"/>
      </w:pPr>
      <w:r>
        <w:t>Le transcrit obtenu également appelé transcrit primaire sera utilisé tel quel que chez les procaryotes mais devra subir des modifications (maturation) chez les eucaryotes.</w:t>
      </w:r>
    </w:p>
    <w:p w14:paraId="055EB47F" w14:textId="368A47D3" w:rsidR="00F70F33" w:rsidRDefault="00F70F33" w:rsidP="00544F61">
      <w:pPr>
        <w:ind w:left="360"/>
        <w:jc w:val="center"/>
      </w:pPr>
      <w:r>
        <w:rPr>
          <w:noProof/>
        </w:rPr>
        <w:drawing>
          <wp:anchor distT="0" distB="0" distL="114300" distR="114300" simplePos="0" relativeHeight="251660288" behindDoc="1" locked="0" layoutInCell="1" allowOverlap="1" wp14:anchorId="56464005" wp14:editId="32DC53C4">
            <wp:simplePos x="0" y="0"/>
            <wp:positionH relativeFrom="column">
              <wp:posOffset>-9663</wp:posOffset>
            </wp:positionH>
            <wp:positionV relativeFrom="paragraph">
              <wp:posOffset>57867</wp:posOffset>
            </wp:positionV>
            <wp:extent cx="6083569" cy="2119727"/>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a:extLst>
                        <a:ext uri="{28A0092B-C50C-407E-A947-70E740481C1C}">
                          <a14:useLocalDpi xmlns:a14="http://schemas.microsoft.com/office/drawing/2010/main" val="0"/>
                        </a:ext>
                      </a:extLst>
                    </a:blip>
                    <a:stretch>
                      <a:fillRect/>
                    </a:stretch>
                  </pic:blipFill>
                  <pic:spPr>
                    <a:xfrm>
                      <a:off x="0" y="0"/>
                      <a:ext cx="6083569" cy="2119727"/>
                    </a:xfrm>
                    <a:prstGeom prst="rect">
                      <a:avLst/>
                    </a:prstGeom>
                  </pic:spPr>
                </pic:pic>
              </a:graphicData>
            </a:graphic>
          </wp:anchor>
        </w:drawing>
      </w:r>
    </w:p>
    <w:p w14:paraId="17765530" w14:textId="49F6D129" w:rsidR="00F70F33" w:rsidRDefault="00F70F33" w:rsidP="00544F61">
      <w:pPr>
        <w:ind w:left="360"/>
        <w:jc w:val="center"/>
      </w:pPr>
    </w:p>
    <w:p w14:paraId="19C8C9B9" w14:textId="77777777" w:rsidR="00F70F33" w:rsidRDefault="00F70F33" w:rsidP="00544F61">
      <w:pPr>
        <w:ind w:left="360"/>
        <w:jc w:val="center"/>
      </w:pPr>
    </w:p>
    <w:p w14:paraId="05B1EC16" w14:textId="77777777" w:rsidR="00544F61" w:rsidRPr="00544F61" w:rsidRDefault="00544F61" w:rsidP="00544F61">
      <w:pPr>
        <w:jc w:val="center"/>
        <w:rPr>
          <w:sz w:val="24"/>
          <w:szCs w:val="24"/>
          <w:u w:val="single"/>
        </w:rPr>
      </w:pPr>
    </w:p>
    <w:p w14:paraId="407DAF9F" w14:textId="77777777" w:rsidR="00544F61" w:rsidRPr="00544F61" w:rsidRDefault="00544F61" w:rsidP="00544F61">
      <w:pPr>
        <w:ind w:left="360"/>
        <w:jc w:val="center"/>
        <w:rPr>
          <w:sz w:val="24"/>
          <w:szCs w:val="24"/>
          <w:u w:val="single"/>
        </w:rPr>
      </w:pPr>
    </w:p>
    <w:p w14:paraId="4E370312" w14:textId="498642D2" w:rsidR="00544F61" w:rsidRDefault="00544F61" w:rsidP="00544F61">
      <w:pPr>
        <w:rPr>
          <w:sz w:val="24"/>
          <w:szCs w:val="24"/>
          <w:u w:val="single"/>
        </w:rPr>
      </w:pPr>
    </w:p>
    <w:p w14:paraId="3EBE4A1B" w14:textId="63FB05AD" w:rsidR="00F70F33" w:rsidRDefault="00F70F33" w:rsidP="00544F61">
      <w:pPr>
        <w:rPr>
          <w:sz w:val="24"/>
          <w:szCs w:val="24"/>
          <w:u w:val="single"/>
        </w:rPr>
      </w:pPr>
    </w:p>
    <w:p w14:paraId="30159D15" w14:textId="4838034C" w:rsidR="00F70F33" w:rsidRDefault="00F70F33" w:rsidP="00544F61">
      <w:pPr>
        <w:rPr>
          <w:sz w:val="24"/>
          <w:szCs w:val="24"/>
          <w:u w:val="single"/>
        </w:rPr>
      </w:pPr>
    </w:p>
    <w:p w14:paraId="27E35E31" w14:textId="77777777" w:rsidR="00F70F33" w:rsidRPr="00544F61" w:rsidRDefault="00F70F33" w:rsidP="00544F61">
      <w:pPr>
        <w:rPr>
          <w:sz w:val="24"/>
          <w:szCs w:val="24"/>
          <w:u w:val="single"/>
        </w:rPr>
      </w:pPr>
    </w:p>
    <w:p w14:paraId="05E36846" w14:textId="77777777" w:rsidR="00544F61" w:rsidRDefault="00544F61" w:rsidP="00544F61">
      <w:pPr>
        <w:rPr>
          <w:sz w:val="28"/>
          <w:szCs w:val="28"/>
          <w:u w:val="single"/>
        </w:rPr>
      </w:pPr>
    </w:p>
    <w:p w14:paraId="7E477701" w14:textId="77777777" w:rsidR="00544F61" w:rsidRDefault="00544F61" w:rsidP="00544F61">
      <w:pPr>
        <w:rPr>
          <w:sz w:val="28"/>
          <w:szCs w:val="28"/>
          <w:u w:val="single"/>
        </w:rPr>
      </w:pPr>
    </w:p>
    <w:p w14:paraId="11B07867" w14:textId="77777777" w:rsidR="00544F61" w:rsidRDefault="00544F61" w:rsidP="00544F61">
      <w:pPr>
        <w:rPr>
          <w:sz w:val="28"/>
          <w:szCs w:val="28"/>
          <w:u w:val="single"/>
        </w:rPr>
      </w:pPr>
    </w:p>
    <w:p w14:paraId="56434D3B" w14:textId="77777777" w:rsidR="00544F61" w:rsidRDefault="00544F61" w:rsidP="00544F61">
      <w:pPr>
        <w:rPr>
          <w:sz w:val="28"/>
          <w:szCs w:val="28"/>
          <w:u w:val="single"/>
        </w:rPr>
      </w:pPr>
    </w:p>
    <w:p w14:paraId="0BAC460A" w14:textId="77777777" w:rsidR="00544F61" w:rsidRDefault="00544F61" w:rsidP="00544F61">
      <w:pPr>
        <w:rPr>
          <w:sz w:val="28"/>
          <w:szCs w:val="28"/>
          <w:u w:val="single"/>
        </w:rPr>
      </w:pPr>
    </w:p>
    <w:p w14:paraId="3BB6659B" w14:textId="6EF6C339" w:rsidR="00544F61" w:rsidRDefault="00544F61" w:rsidP="00544F61">
      <w:pPr>
        <w:rPr>
          <w:sz w:val="28"/>
          <w:szCs w:val="28"/>
          <w:u w:val="single"/>
        </w:rPr>
      </w:pPr>
      <w:r w:rsidRPr="00956EC5">
        <w:rPr>
          <w:sz w:val="28"/>
          <w:szCs w:val="28"/>
          <w:u w:val="single"/>
        </w:rPr>
        <w:lastRenderedPageBreak/>
        <w:t>III- Traduction</w:t>
      </w:r>
    </w:p>
    <w:p w14:paraId="3CFC9077" w14:textId="77189FEC" w:rsidR="001306CC" w:rsidRDefault="00544F61" w:rsidP="00544F61">
      <w:pPr>
        <w:rPr>
          <w:sz w:val="28"/>
          <w:szCs w:val="28"/>
          <w:u w:val="single"/>
        </w:rPr>
      </w:pPr>
      <w:r>
        <w:rPr>
          <w:sz w:val="28"/>
          <w:szCs w:val="28"/>
          <w:u w:val="single"/>
        </w:rPr>
        <w:t>A-Généralités :</w:t>
      </w:r>
    </w:p>
    <w:p w14:paraId="44503863" w14:textId="77777777" w:rsidR="00544F61" w:rsidRPr="00544F61" w:rsidRDefault="00544F61" w:rsidP="00544F61">
      <w:pPr>
        <w:jc w:val="center"/>
        <w:rPr>
          <w:color w:val="000000" w:themeColor="text1"/>
          <w:sz w:val="24"/>
          <w:szCs w:val="24"/>
          <w:u w:val="single"/>
        </w:rPr>
      </w:pPr>
      <w:r w:rsidRPr="00544F61">
        <w:rPr>
          <w:color w:val="000000" w:themeColor="text1"/>
          <w:sz w:val="24"/>
          <w:szCs w:val="24"/>
          <w:u w:val="single"/>
        </w:rPr>
        <w:t>L’expression d’un gène se termine par sa traduction dans le cytoplasme.</w:t>
      </w:r>
    </w:p>
    <w:p w14:paraId="06BC0AFD" w14:textId="24FC05A1" w:rsidR="00544F61" w:rsidRDefault="00544F61" w:rsidP="00544F61">
      <w:pPr>
        <w:rPr>
          <w:noProof/>
          <w:sz w:val="24"/>
          <w:szCs w:val="24"/>
        </w:rPr>
      </w:pPr>
      <w:r>
        <w:rPr>
          <w:noProof/>
          <w:sz w:val="24"/>
          <w:szCs w:val="24"/>
        </w:rPr>
        <w:t>C’est quoi ?</w:t>
      </w:r>
    </w:p>
    <w:p w14:paraId="7370A782" w14:textId="091B67D9" w:rsidR="00544F61" w:rsidRPr="00F70F33" w:rsidRDefault="00544F61" w:rsidP="00F70F33">
      <w:pPr>
        <w:pStyle w:val="Paragraphedeliste"/>
        <w:rPr>
          <w:color w:val="FF0000"/>
          <w:sz w:val="24"/>
          <w:szCs w:val="24"/>
        </w:rPr>
      </w:pPr>
      <w:r w:rsidRPr="00544F61">
        <w:rPr>
          <w:color w:val="FF0000"/>
          <w:sz w:val="24"/>
          <w:szCs w:val="24"/>
        </w:rPr>
        <w:t>La traduction consiste à décoder le message de l’ARNm afin de former une protéine</w:t>
      </w:r>
      <w:r>
        <w:rPr>
          <w:color w:val="FF0000"/>
          <w:sz w:val="24"/>
          <w:szCs w:val="24"/>
        </w:rPr>
        <w:t>.</w:t>
      </w:r>
    </w:p>
    <w:p w14:paraId="1573E38F" w14:textId="058623E0" w:rsidR="00F70F33" w:rsidRPr="00F70F33" w:rsidRDefault="00F70F33" w:rsidP="00F70F33">
      <w:pPr>
        <w:jc w:val="center"/>
        <w:rPr>
          <w:sz w:val="24"/>
          <w:szCs w:val="24"/>
        </w:rPr>
      </w:pPr>
      <w:r w:rsidRPr="00F70F33">
        <w:rPr>
          <w:sz w:val="24"/>
          <w:szCs w:val="24"/>
        </w:rPr>
        <w:t>Les ribonucléotides sont lus trois par trois, chaque triplet de nucléotides forme un codon.</w:t>
      </w:r>
    </w:p>
    <w:p w14:paraId="19ED914F" w14:textId="061B0B24" w:rsidR="00F70F33" w:rsidRPr="00F70F33" w:rsidRDefault="00F70F33" w:rsidP="00F70F33">
      <w:pPr>
        <w:jc w:val="center"/>
        <w:rPr>
          <w:sz w:val="24"/>
          <w:szCs w:val="24"/>
        </w:rPr>
      </w:pPr>
      <w:r w:rsidRPr="00F70F33">
        <w:rPr>
          <w:sz w:val="24"/>
          <w:szCs w:val="24"/>
        </w:rPr>
        <w:t>La traduction débute au niveau d’un codon appelé codon start pour s’achever au niveau d’un codon stop.</w:t>
      </w:r>
    </w:p>
    <w:p w14:paraId="49EC4B8E" w14:textId="77777777" w:rsidR="00F70F33" w:rsidRPr="00F70F33" w:rsidRDefault="00F70F33" w:rsidP="00F70F33">
      <w:pPr>
        <w:jc w:val="center"/>
        <w:rPr>
          <w:sz w:val="24"/>
          <w:szCs w:val="24"/>
        </w:rPr>
      </w:pPr>
      <w:r w:rsidRPr="00F70F33">
        <w:rPr>
          <w:sz w:val="24"/>
          <w:szCs w:val="24"/>
        </w:rPr>
        <w:t>Elle repose sur le code génétique qui indique à quel acide aminé correspond chaque codon de l’ARNm (donc 3 nucléotides codent un acide aminé).</w:t>
      </w:r>
    </w:p>
    <w:p w14:paraId="4B6A6B9C" w14:textId="4CAF0BB9" w:rsidR="001306CC" w:rsidRDefault="001306CC" w:rsidP="001306CC">
      <w:pPr>
        <w:jc w:val="center"/>
        <w:rPr>
          <w:noProof/>
          <w:sz w:val="24"/>
          <w:szCs w:val="24"/>
        </w:rPr>
      </w:pPr>
    </w:p>
    <w:p w14:paraId="181C40F4" w14:textId="2204A7EE" w:rsidR="00F70F33" w:rsidRDefault="00F70F33" w:rsidP="00F70F33">
      <w:pPr>
        <w:jc w:val="center"/>
        <w:rPr>
          <w:sz w:val="24"/>
          <w:szCs w:val="24"/>
          <w:u w:val="single"/>
        </w:rPr>
      </w:pPr>
      <w:r w:rsidRPr="00F70F33">
        <w:rPr>
          <w:sz w:val="24"/>
          <w:szCs w:val="24"/>
          <w:u w:val="single"/>
        </w:rPr>
        <w:t>Donc le code génétique permet de déchiffrer l’information de l’ARNm</w:t>
      </w:r>
      <w:r>
        <w:rPr>
          <w:sz w:val="24"/>
          <w:szCs w:val="24"/>
          <w:u w:val="single"/>
        </w:rPr>
        <w:t>.</w:t>
      </w:r>
    </w:p>
    <w:p w14:paraId="6C2CB092" w14:textId="097EBD3D" w:rsidR="00F70F33" w:rsidRDefault="00F70F33" w:rsidP="00F70F33">
      <w:pPr>
        <w:jc w:val="center"/>
        <w:rPr>
          <w:sz w:val="24"/>
          <w:szCs w:val="24"/>
        </w:rPr>
      </w:pPr>
      <w:r w:rsidRPr="00F70F33">
        <w:rPr>
          <w:sz w:val="24"/>
          <w:szCs w:val="24"/>
        </w:rPr>
        <w:t>Le sens d’un codon donné (ex : CAA) se trouve à l’intersection de 3 coordonnées sur le tableau du code génétique :</w:t>
      </w:r>
    </w:p>
    <w:p w14:paraId="7A312ED3" w14:textId="71C5CEA0" w:rsidR="00F70F33" w:rsidRDefault="00F70F33" w:rsidP="00F70F33">
      <w:pPr>
        <w:rPr>
          <w:sz w:val="24"/>
          <w:szCs w:val="24"/>
        </w:rPr>
      </w:pPr>
      <w:r>
        <w:rPr>
          <w:noProof/>
        </w:rPr>
        <w:drawing>
          <wp:anchor distT="0" distB="0" distL="114300" distR="114300" simplePos="0" relativeHeight="251662336" behindDoc="1" locked="0" layoutInCell="1" allowOverlap="1" wp14:anchorId="4C94CADB" wp14:editId="033721C8">
            <wp:simplePos x="0" y="0"/>
            <wp:positionH relativeFrom="column">
              <wp:posOffset>0</wp:posOffset>
            </wp:positionH>
            <wp:positionV relativeFrom="paragraph">
              <wp:posOffset>301625</wp:posOffset>
            </wp:positionV>
            <wp:extent cx="3235960" cy="3131185"/>
            <wp:effectExtent l="0" t="0" r="2540" b="0"/>
            <wp:wrapSquare wrapText="bothSides"/>
            <wp:docPr id="3" name="Image 3" descr="Une image contenant texte, tableau blanc&#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tableau blanc&#10;&#10;Description générée automatiquement"/>
                    <pic:cNvPicPr/>
                  </pic:nvPicPr>
                  <pic:blipFill>
                    <a:blip r:embed="rId7">
                      <a:extLst>
                        <a:ext uri="{28A0092B-C50C-407E-A947-70E740481C1C}">
                          <a14:useLocalDpi xmlns:a14="http://schemas.microsoft.com/office/drawing/2010/main" val="0"/>
                        </a:ext>
                      </a:extLst>
                    </a:blip>
                    <a:stretch>
                      <a:fillRect/>
                    </a:stretch>
                  </pic:blipFill>
                  <pic:spPr>
                    <a:xfrm>
                      <a:off x="0" y="0"/>
                      <a:ext cx="3235960" cy="3131185"/>
                    </a:xfrm>
                    <a:prstGeom prst="rect">
                      <a:avLst/>
                    </a:prstGeom>
                  </pic:spPr>
                </pic:pic>
              </a:graphicData>
            </a:graphic>
          </wp:anchor>
        </w:drawing>
      </w:r>
    </w:p>
    <w:p w14:paraId="2D3052E0" w14:textId="31E8166B" w:rsidR="00F70F33" w:rsidRDefault="00F70F33" w:rsidP="001306CC">
      <w:pPr>
        <w:jc w:val="center"/>
        <w:rPr>
          <w:sz w:val="24"/>
          <w:szCs w:val="24"/>
        </w:rPr>
      </w:pPr>
    </w:p>
    <w:p w14:paraId="2FB0E5CE" w14:textId="2E707A98" w:rsidR="00F70F33" w:rsidRDefault="00F70F33" w:rsidP="001306CC">
      <w:pPr>
        <w:jc w:val="center"/>
        <w:rPr>
          <w:sz w:val="24"/>
          <w:szCs w:val="24"/>
        </w:rPr>
      </w:pPr>
      <w:r>
        <w:rPr>
          <w:noProof/>
        </w:rPr>
        <w:drawing>
          <wp:anchor distT="0" distB="0" distL="114300" distR="114300" simplePos="0" relativeHeight="251664384" behindDoc="1" locked="0" layoutInCell="1" allowOverlap="1" wp14:anchorId="667B6C58" wp14:editId="5546601D">
            <wp:simplePos x="0" y="0"/>
            <wp:positionH relativeFrom="column">
              <wp:posOffset>3233116</wp:posOffset>
            </wp:positionH>
            <wp:positionV relativeFrom="paragraph">
              <wp:posOffset>302260</wp:posOffset>
            </wp:positionV>
            <wp:extent cx="2809875" cy="1514475"/>
            <wp:effectExtent l="0" t="0" r="9525" b="952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a:extLst>
                        <a:ext uri="{28A0092B-C50C-407E-A947-70E740481C1C}">
                          <a14:useLocalDpi xmlns:a14="http://schemas.microsoft.com/office/drawing/2010/main" val="0"/>
                        </a:ext>
                      </a:extLst>
                    </a:blip>
                    <a:stretch>
                      <a:fillRect/>
                    </a:stretch>
                  </pic:blipFill>
                  <pic:spPr>
                    <a:xfrm>
                      <a:off x="0" y="0"/>
                      <a:ext cx="2809875" cy="1514475"/>
                    </a:xfrm>
                    <a:prstGeom prst="rect">
                      <a:avLst/>
                    </a:prstGeom>
                  </pic:spPr>
                </pic:pic>
              </a:graphicData>
            </a:graphic>
          </wp:anchor>
        </w:drawing>
      </w:r>
    </w:p>
    <w:p w14:paraId="5E197A56" w14:textId="5FB556B5" w:rsidR="00F70F33" w:rsidRDefault="00F70F33" w:rsidP="001306CC">
      <w:pPr>
        <w:jc w:val="center"/>
        <w:rPr>
          <w:sz w:val="24"/>
          <w:szCs w:val="24"/>
        </w:rPr>
      </w:pPr>
    </w:p>
    <w:p w14:paraId="4ACC4F6B" w14:textId="16376123" w:rsidR="00F70F33" w:rsidRDefault="00F70F33" w:rsidP="001306CC">
      <w:pPr>
        <w:jc w:val="center"/>
        <w:rPr>
          <w:sz w:val="24"/>
          <w:szCs w:val="24"/>
        </w:rPr>
      </w:pPr>
    </w:p>
    <w:p w14:paraId="659628F8" w14:textId="4CAEA735" w:rsidR="00F70F33" w:rsidRDefault="00F70F33" w:rsidP="001306CC">
      <w:pPr>
        <w:jc w:val="center"/>
        <w:rPr>
          <w:sz w:val="24"/>
          <w:szCs w:val="24"/>
        </w:rPr>
      </w:pPr>
    </w:p>
    <w:p w14:paraId="6351726B" w14:textId="469F6EBA" w:rsidR="00F70F33" w:rsidRDefault="00F70F33" w:rsidP="001306CC">
      <w:pPr>
        <w:jc w:val="center"/>
        <w:rPr>
          <w:sz w:val="24"/>
          <w:szCs w:val="24"/>
        </w:rPr>
      </w:pPr>
    </w:p>
    <w:p w14:paraId="6D67B913" w14:textId="3F33F022" w:rsidR="00F70F33" w:rsidRDefault="00F70F33" w:rsidP="001306CC">
      <w:pPr>
        <w:jc w:val="center"/>
        <w:rPr>
          <w:sz w:val="24"/>
          <w:szCs w:val="24"/>
        </w:rPr>
      </w:pPr>
    </w:p>
    <w:p w14:paraId="46902749" w14:textId="233FFAAE" w:rsidR="00F70F33" w:rsidRDefault="00F70F33" w:rsidP="001306CC">
      <w:pPr>
        <w:jc w:val="center"/>
        <w:rPr>
          <w:sz w:val="24"/>
          <w:szCs w:val="24"/>
        </w:rPr>
      </w:pPr>
    </w:p>
    <w:p w14:paraId="6880B2E9" w14:textId="2C5C7C59" w:rsidR="00F70F33" w:rsidRDefault="00F70F33" w:rsidP="001306CC">
      <w:pPr>
        <w:jc w:val="center"/>
        <w:rPr>
          <w:sz w:val="24"/>
          <w:szCs w:val="24"/>
        </w:rPr>
      </w:pPr>
    </w:p>
    <w:p w14:paraId="050E67BF" w14:textId="77777777" w:rsidR="00F70F33" w:rsidRDefault="00F70F33" w:rsidP="00F70F33">
      <w:pPr>
        <w:rPr>
          <w:sz w:val="24"/>
          <w:szCs w:val="24"/>
        </w:rPr>
      </w:pPr>
    </w:p>
    <w:p w14:paraId="21AB3953" w14:textId="77777777" w:rsidR="00F70F33" w:rsidRDefault="00F70F33" w:rsidP="00F70F33">
      <w:pPr>
        <w:jc w:val="center"/>
        <w:rPr>
          <w:sz w:val="24"/>
          <w:szCs w:val="24"/>
        </w:rPr>
      </w:pPr>
    </w:p>
    <w:p w14:paraId="7E383E0E" w14:textId="6121A323" w:rsidR="00F70F33" w:rsidRDefault="00F70F33" w:rsidP="00F70F33">
      <w:pPr>
        <w:rPr>
          <w:noProof/>
        </w:rPr>
      </w:pPr>
      <w:r w:rsidRPr="000D1C56">
        <w:rPr>
          <w:noProof/>
        </w:rPr>
        <w:t>Ce tableau liste toutes les possibilités de codons différents et donne leur correspondance</w:t>
      </w:r>
      <w:r>
        <w:rPr>
          <w:noProof/>
        </w:rPr>
        <w:t>.</w:t>
      </w:r>
    </w:p>
    <w:p w14:paraId="627C4D61" w14:textId="55B17002" w:rsidR="00F70F33" w:rsidRDefault="00F70F33" w:rsidP="00F70F33">
      <w:pPr>
        <w:rPr>
          <w:noProof/>
        </w:rPr>
      </w:pPr>
    </w:p>
    <w:p w14:paraId="5AC4A1F9" w14:textId="77777777" w:rsidR="00F70F33" w:rsidRDefault="00F70F33" w:rsidP="00F70F33">
      <w:pPr>
        <w:jc w:val="center"/>
        <w:rPr>
          <w:u w:val="single"/>
        </w:rPr>
      </w:pPr>
    </w:p>
    <w:p w14:paraId="7D6AF92A" w14:textId="77777777" w:rsidR="00F70F33" w:rsidRDefault="00F70F33" w:rsidP="00F70F33">
      <w:pPr>
        <w:jc w:val="center"/>
        <w:rPr>
          <w:u w:val="single"/>
        </w:rPr>
      </w:pPr>
    </w:p>
    <w:p w14:paraId="37C1533A" w14:textId="4486AB6B" w:rsidR="00F70F33" w:rsidRPr="00072385" w:rsidRDefault="00F70F33" w:rsidP="00F70F33">
      <w:pPr>
        <w:jc w:val="center"/>
        <w:rPr>
          <w:sz w:val="24"/>
          <w:szCs w:val="24"/>
          <w:u w:val="single"/>
        </w:rPr>
      </w:pPr>
      <w:r w:rsidRPr="00072385">
        <w:rPr>
          <w:sz w:val="24"/>
          <w:szCs w:val="24"/>
          <w:u w:val="single"/>
        </w:rPr>
        <w:lastRenderedPageBreak/>
        <w:t>Au total, il existe 43 = 64 combinaisons de trois nucléotides pouvant former un codon.</w:t>
      </w:r>
    </w:p>
    <w:p w14:paraId="65BB5338" w14:textId="5BA0BD0A" w:rsidR="00F70F33" w:rsidRPr="00072385" w:rsidRDefault="00F70F33" w:rsidP="00F70F33">
      <w:pPr>
        <w:jc w:val="center"/>
        <w:rPr>
          <w:color w:val="FF0000"/>
          <w:sz w:val="24"/>
          <w:szCs w:val="24"/>
        </w:rPr>
      </w:pPr>
      <w:r w:rsidRPr="00072385">
        <w:rPr>
          <w:color w:val="FF0000"/>
          <w:sz w:val="24"/>
          <w:szCs w:val="24"/>
        </w:rPr>
        <w:t>Parmi ces 64 combinaisons, quatre d’entre elles restent assez particulières :</w:t>
      </w:r>
    </w:p>
    <w:p w14:paraId="77CD2DF0" w14:textId="6D71C67B" w:rsidR="00F70F33" w:rsidRDefault="00F70F33" w:rsidP="00F70F33">
      <w:pPr>
        <w:jc w:val="center"/>
      </w:pPr>
      <w:r>
        <w:t xml:space="preserve">Le codon AUG qui code pour la </w:t>
      </w:r>
      <w:r w:rsidRPr="00F70F33">
        <w:rPr>
          <w:b/>
          <w:bCs/>
        </w:rPr>
        <w:t>méthionine</w:t>
      </w:r>
      <w:r>
        <w:t xml:space="preserve"> initie toujours la traduction et joue donc le rôle de codon START. Il peut également se trouver ailleurs dans la séquence d’un ARNm où il prendra alors le même sens.</w:t>
      </w:r>
    </w:p>
    <w:p w14:paraId="65E5F190" w14:textId="41711EE4" w:rsidR="00F70F33" w:rsidRPr="00F70F33" w:rsidRDefault="00F70F33" w:rsidP="00F70F33">
      <w:pPr>
        <w:jc w:val="center"/>
        <w:rPr>
          <w:noProof/>
          <w:u w:val="single"/>
        </w:rPr>
      </w:pPr>
      <w:r>
        <w:t>Trois codons : UAA ; UAG ; UGA ne codent pour aucun acide aminé et indiquent la fin de la traduction de la protéine (codon STOP).</w:t>
      </w:r>
    </w:p>
    <w:p w14:paraId="1322DA8A" w14:textId="33A9A6D7" w:rsidR="00F70F33" w:rsidRDefault="00F70F33" w:rsidP="00F70F33">
      <w:pPr>
        <w:rPr>
          <w:noProof/>
          <w:sz w:val="24"/>
          <w:szCs w:val="24"/>
          <w:u w:val="single"/>
        </w:rPr>
      </w:pPr>
    </w:p>
    <w:p w14:paraId="0E7245F3" w14:textId="3B72CBA0" w:rsidR="00072385" w:rsidRPr="00F70F33" w:rsidRDefault="00072385" w:rsidP="00B3166C">
      <w:pPr>
        <w:jc w:val="center"/>
        <w:rPr>
          <w:sz w:val="24"/>
          <w:szCs w:val="24"/>
          <w:u w:val="single"/>
        </w:rPr>
      </w:pPr>
      <w:r w:rsidRPr="00072385">
        <w:rPr>
          <w:sz w:val="24"/>
          <w:szCs w:val="24"/>
          <w:u w:val="single"/>
        </w:rPr>
        <w:t>Le code génétique possède 4 caractéristiques majeures :</w:t>
      </w:r>
    </w:p>
    <w:tbl>
      <w:tblPr>
        <w:tblStyle w:val="Grilledutableau"/>
        <w:tblW w:w="0" w:type="auto"/>
        <w:tblLook w:val="04A0" w:firstRow="1" w:lastRow="0" w:firstColumn="1" w:lastColumn="0" w:noHBand="0" w:noVBand="1"/>
      </w:tblPr>
      <w:tblGrid>
        <w:gridCol w:w="4531"/>
        <w:gridCol w:w="4531"/>
      </w:tblGrid>
      <w:tr w:rsidR="00072385" w14:paraId="07B83D91" w14:textId="77777777" w:rsidTr="004723E5">
        <w:tc>
          <w:tcPr>
            <w:tcW w:w="4531" w:type="dxa"/>
          </w:tcPr>
          <w:p w14:paraId="1470487E" w14:textId="2267FC02" w:rsidR="00072385" w:rsidRPr="00072385" w:rsidRDefault="00072385" w:rsidP="005328EF">
            <w:pPr>
              <w:jc w:val="center"/>
              <w:rPr>
                <w:sz w:val="24"/>
                <w:szCs w:val="24"/>
              </w:rPr>
            </w:pPr>
            <w:r w:rsidRPr="00072385">
              <w:rPr>
                <w:sz w:val="24"/>
                <w:szCs w:val="24"/>
              </w:rPr>
              <w:t>Quasi-universel</w:t>
            </w:r>
          </w:p>
        </w:tc>
        <w:tc>
          <w:tcPr>
            <w:tcW w:w="4531" w:type="dxa"/>
          </w:tcPr>
          <w:p w14:paraId="595407B3" w14:textId="65D164DB" w:rsidR="00072385" w:rsidRPr="00072385" w:rsidRDefault="00072385" w:rsidP="005328EF">
            <w:pPr>
              <w:jc w:val="center"/>
              <w:rPr>
                <w:sz w:val="24"/>
                <w:szCs w:val="24"/>
              </w:rPr>
            </w:pPr>
            <w:r w:rsidRPr="00072385">
              <w:rPr>
                <w:sz w:val="24"/>
                <w:szCs w:val="24"/>
              </w:rPr>
              <w:t>La plupart des espèces vivantes utilisent la même correspondance entre codons et acides aminés. Cependant, il subsiste de rares exceptions, telles que les mitochondries qui reposent sur le sens de quelques codons.</w:t>
            </w:r>
          </w:p>
        </w:tc>
      </w:tr>
      <w:tr w:rsidR="00072385" w14:paraId="3B1FFC64" w14:textId="77777777" w:rsidTr="004723E5">
        <w:tc>
          <w:tcPr>
            <w:tcW w:w="4531" w:type="dxa"/>
          </w:tcPr>
          <w:p w14:paraId="6215DCF9" w14:textId="28655E5F" w:rsidR="00072385" w:rsidRPr="00072385" w:rsidRDefault="00072385" w:rsidP="005328EF">
            <w:pPr>
              <w:jc w:val="center"/>
              <w:rPr>
                <w:sz w:val="24"/>
                <w:szCs w:val="24"/>
              </w:rPr>
            </w:pPr>
            <w:r w:rsidRPr="00072385">
              <w:rPr>
                <w:sz w:val="24"/>
                <w:szCs w:val="24"/>
              </w:rPr>
              <w:t>Non-chevauchant </w:t>
            </w:r>
          </w:p>
        </w:tc>
        <w:tc>
          <w:tcPr>
            <w:tcW w:w="4531" w:type="dxa"/>
          </w:tcPr>
          <w:p w14:paraId="7BCB238E" w14:textId="736E5469" w:rsidR="00072385" w:rsidRPr="00072385" w:rsidRDefault="00072385" w:rsidP="00072385">
            <w:pPr>
              <w:jc w:val="center"/>
              <w:rPr>
                <w:sz w:val="24"/>
                <w:szCs w:val="24"/>
              </w:rPr>
            </w:pPr>
            <w:r w:rsidRPr="00072385">
              <w:rPr>
                <w:sz w:val="24"/>
                <w:szCs w:val="24"/>
              </w:rPr>
              <w:t>Chaque nucléotide de l’ARNm ne peut appartenir qu’à un seul codon. L’ARNm est ainsi décodé selon un cadre de lecture fixe et précis</w:t>
            </w:r>
          </w:p>
        </w:tc>
      </w:tr>
      <w:tr w:rsidR="00072385" w14:paraId="570D9258" w14:textId="77777777" w:rsidTr="005328EF">
        <w:tc>
          <w:tcPr>
            <w:tcW w:w="4531" w:type="dxa"/>
          </w:tcPr>
          <w:p w14:paraId="421E877E" w14:textId="085BB9E0" w:rsidR="00072385" w:rsidRPr="00072385" w:rsidRDefault="00072385" w:rsidP="005328EF">
            <w:pPr>
              <w:jc w:val="center"/>
              <w:rPr>
                <w:sz w:val="24"/>
                <w:szCs w:val="24"/>
              </w:rPr>
            </w:pPr>
            <w:r w:rsidRPr="00072385">
              <w:rPr>
                <w:sz w:val="24"/>
                <w:szCs w:val="24"/>
              </w:rPr>
              <w:t>Non-ambigu </w:t>
            </w:r>
          </w:p>
        </w:tc>
        <w:tc>
          <w:tcPr>
            <w:tcW w:w="4531" w:type="dxa"/>
          </w:tcPr>
          <w:p w14:paraId="2840BFDF" w14:textId="0EBAB0E1" w:rsidR="00072385" w:rsidRPr="00072385" w:rsidRDefault="00072385" w:rsidP="00072385">
            <w:pPr>
              <w:jc w:val="center"/>
              <w:rPr>
                <w:sz w:val="24"/>
                <w:szCs w:val="24"/>
              </w:rPr>
            </w:pPr>
            <w:r w:rsidRPr="00072385">
              <w:rPr>
                <w:sz w:val="24"/>
                <w:szCs w:val="24"/>
              </w:rPr>
              <w:t>Un codon donné correspond toujours au même acide aminé.</w:t>
            </w:r>
          </w:p>
        </w:tc>
      </w:tr>
      <w:tr w:rsidR="00072385" w14:paraId="12B3E8AB" w14:textId="77777777" w:rsidTr="005328EF">
        <w:tc>
          <w:tcPr>
            <w:tcW w:w="4531" w:type="dxa"/>
          </w:tcPr>
          <w:p w14:paraId="3EB42CFC" w14:textId="11330A85" w:rsidR="00072385" w:rsidRPr="00072385" w:rsidRDefault="00072385" w:rsidP="005328EF">
            <w:pPr>
              <w:jc w:val="center"/>
              <w:rPr>
                <w:sz w:val="24"/>
                <w:szCs w:val="24"/>
              </w:rPr>
            </w:pPr>
            <w:r w:rsidRPr="00072385">
              <w:rPr>
                <w:sz w:val="24"/>
                <w:szCs w:val="24"/>
              </w:rPr>
              <w:t>Dégénéré </w:t>
            </w:r>
          </w:p>
        </w:tc>
        <w:tc>
          <w:tcPr>
            <w:tcW w:w="4531" w:type="dxa"/>
          </w:tcPr>
          <w:p w14:paraId="212E926B" w14:textId="3B6111AF" w:rsidR="00072385" w:rsidRPr="00072385" w:rsidRDefault="00072385" w:rsidP="00072385">
            <w:pPr>
              <w:jc w:val="center"/>
              <w:rPr>
                <w:sz w:val="24"/>
                <w:szCs w:val="24"/>
              </w:rPr>
            </w:pPr>
            <w:r w:rsidRPr="00072385">
              <w:rPr>
                <w:sz w:val="24"/>
                <w:szCs w:val="24"/>
              </w:rPr>
              <w:t>Comme il existe un excès de codons par rapport au nombre d’acides aminés, la majorité des acides aminés sont spécifiés par plusieurs codons différents SAUF pour la méthionine et le tryptophane.</w:t>
            </w:r>
          </w:p>
        </w:tc>
      </w:tr>
    </w:tbl>
    <w:p w14:paraId="4F54AB30" w14:textId="3DFA8182" w:rsidR="00F70F33" w:rsidRDefault="00F70F33" w:rsidP="00F70F33">
      <w:pPr>
        <w:rPr>
          <w:sz w:val="24"/>
          <w:szCs w:val="24"/>
        </w:rPr>
      </w:pPr>
    </w:p>
    <w:p w14:paraId="4E471D89" w14:textId="77777777" w:rsidR="00B3166C" w:rsidRDefault="00B3166C" w:rsidP="00F70F33">
      <w:pPr>
        <w:rPr>
          <w:sz w:val="24"/>
          <w:szCs w:val="24"/>
        </w:rPr>
      </w:pPr>
    </w:p>
    <w:p w14:paraId="31BCDF0B" w14:textId="733D3828" w:rsidR="00072385" w:rsidRDefault="00072385" w:rsidP="00B3166C">
      <w:pPr>
        <w:jc w:val="center"/>
        <w:rPr>
          <w:sz w:val="24"/>
          <w:szCs w:val="24"/>
          <w:u w:val="single"/>
        </w:rPr>
      </w:pPr>
      <w:r w:rsidRPr="00072385">
        <w:rPr>
          <w:sz w:val="24"/>
          <w:szCs w:val="24"/>
          <w:u w:val="single"/>
        </w:rPr>
        <w:t>Il existe différentes mutations du code génétiques qui amènent diverses conséquences :</w:t>
      </w:r>
    </w:p>
    <w:p w14:paraId="3FC23CA4" w14:textId="673D4199" w:rsidR="00072385" w:rsidRPr="00B3166C" w:rsidRDefault="00072385" w:rsidP="00072385">
      <w:pPr>
        <w:pStyle w:val="Paragraphedeliste"/>
        <w:numPr>
          <w:ilvl w:val="0"/>
          <w:numId w:val="2"/>
        </w:numPr>
        <w:jc w:val="center"/>
        <w:rPr>
          <w:sz w:val="24"/>
          <w:szCs w:val="24"/>
          <w:u w:val="single"/>
        </w:rPr>
      </w:pPr>
      <w:r w:rsidRPr="00072385">
        <w:rPr>
          <w:sz w:val="24"/>
          <w:szCs w:val="24"/>
        </w:rPr>
        <w:t>La substitution est le remplacement d’un nucléotide dans un codon par un autre. Cela peut amener à 3 types de mutations :</w:t>
      </w:r>
    </w:p>
    <w:tbl>
      <w:tblPr>
        <w:tblStyle w:val="Grilledutableau"/>
        <w:tblW w:w="0" w:type="auto"/>
        <w:tblLook w:val="04A0" w:firstRow="1" w:lastRow="0" w:firstColumn="1" w:lastColumn="0" w:noHBand="0" w:noVBand="1"/>
      </w:tblPr>
      <w:tblGrid>
        <w:gridCol w:w="4531"/>
        <w:gridCol w:w="4531"/>
      </w:tblGrid>
      <w:tr w:rsidR="00B3166C" w14:paraId="6E44C3D9" w14:textId="77777777" w:rsidTr="005328EF">
        <w:tc>
          <w:tcPr>
            <w:tcW w:w="4531" w:type="dxa"/>
          </w:tcPr>
          <w:p w14:paraId="07B998A1" w14:textId="4CA83D62" w:rsidR="00B3166C" w:rsidRPr="00072385" w:rsidRDefault="00B3166C" w:rsidP="005328EF">
            <w:pPr>
              <w:jc w:val="center"/>
              <w:rPr>
                <w:sz w:val="24"/>
                <w:szCs w:val="24"/>
              </w:rPr>
            </w:pPr>
            <w:r>
              <w:t>La mutation synonyme</w:t>
            </w:r>
          </w:p>
        </w:tc>
        <w:tc>
          <w:tcPr>
            <w:tcW w:w="4531" w:type="dxa"/>
          </w:tcPr>
          <w:p w14:paraId="7621158D" w14:textId="35005A0C" w:rsidR="00B3166C" w:rsidRPr="00072385" w:rsidRDefault="00B3166C" w:rsidP="005328EF">
            <w:pPr>
              <w:jc w:val="center"/>
              <w:rPr>
                <w:sz w:val="24"/>
                <w:szCs w:val="24"/>
              </w:rPr>
            </w:pPr>
            <w:r>
              <w:t>Est dite neutre car elle ne change ni l’acide aminé codé ni la protéine synthétisée après la traduction (ex : GGT changé en GGU = Gly dans les deux cas).</w:t>
            </w:r>
          </w:p>
        </w:tc>
      </w:tr>
      <w:tr w:rsidR="00B3166C" w14:paraId="2C7AD73C" w14:textId="77777777" w:rsidTr="005328EF">
        <w:tc>
          <w:tcPr>
            <w:tcW w:w="4531" w:type="dxa"/>
          </w:tcPr>
          <w:p w14:paraId="5F1A3EF6" w14:textId="641D75DD" w:rsidR="00B3166C" w:rsidRPr="00072385" w:rsidRDefault="00B3166C" w:rsidP="005328EF">
            <w:pPr>
              <w:jc w:val="center"/>
              <w:rPr>
                <w:sz w:val="24"/>
                <w:szCs w:val="24"/>
              </w:rPr>
            </w:pPr>
            <w:r>
              <w:t>La mutation faux-sens</w:t>
            </w:r>
          </w:p>
        </w:tc>
        <w:tc>
          <w:tcPr>
            <w:tcW w:w="4531" w:type="dxa"/>
          </w:tcPr>
          <w:p w14:paraId="0CEE4933" w14:textId="0503EDCE" w:rsidR="00B3166C" w:rsidRPr="00072385" w:rsidRDefault="00B3166C" w:rsidP="005328EF">
            <w:pPr>
              <w:jc w:val="center"/>
              <w:rPr>
                <w:sz w:val="24"/>
                <w:szCs w:val="24"/>
              </w:rPr>
            </w:pPr>
            <w:r>
              <w:t>Elle change le sens du codon et l’acide aminé dans la séquence de la protéine.</w:t>
            </w:r>
          </w:p>
        </w:tc>
      </w:tr>
      <w:tr w:rsidR="00B3166C" w14:paraId="671B3501" w14:textId="77777777" w:rsidTr="005328EF">
        <w:tc>
          <w:tcPr>
            <w:tcW w:w="4531" w:type="dxa"/>
          </w:tcPr>
          <w:p w14:paraId="7F9FEAFD" w14:textId="77A59DCA" w:rsidR="00B3166C" w:rsidRPr="00072385" w:rsidRDefault="00B3166C" w:rsidP="005328EF">
            <w:pPr>
              <w:jc w:val="center"/>
              <w:rPr>
                <w:sz w:val="24"/>
                <w:szCs w:val="24"/>
              </w:rPr>
            </w:pPr>
            <w:r>
              <w:t>La mutation non-sens</w:t>
            </w:r>
          </w:p>
        </w:tc>
        <w:tc>
          <w:tcPr>
            <w:tcW w:w="4531" w:type="dxa"/>
          </w:tcPr>
          <w:p w14:paraId="3506F614" w14:textId="27A3369C" w:rsidR="00B3166C" w:rsidRPr="00072385" w:rsidRDefault="00B3166C" w:rsidP="00B3166C">
            <w:pPr>
              <w:rPr>
                <w:sz w:val="24"/>
                <w:szCs w:val="24"/>
              </w:rPr>
            </w:pPr>
            <w:r>
              <w:t>Elle crée un codon qui interrompt la traduction. En effet, elle remplace le codon de départ par un codon STOP prématuré. La protéine est alors dite « tronquée ».</w:t>
            </w:r>
          </w:p>
        </w:tc>
      </w:tr>
    </w:tbl>
    <w:p w14:paraId="340A83D1" w14:textId="1944EB49" w:rsidR="00B3166C" w:rsidRDefault="00B3166C" w:rsidP="00B3166C">
      <w:pPr>
        <w:ind w:left="360"/>
        <w:rPr>
          <w:sz w:val="24"/>
          <w:szCs w:val="24"/>
          <w:u w:val="single"/>
        </w:rPr>
      </w:pPr>
    </w:p>
    <w:p w14:paraId="0403132F" w14:textId="361F4E7A" w:rsidR="00B3166C" w:rsidRDefault="00B3166C" w:rsidP="00B3166C">
      <w:pPr>
        <w:ind w:left="360"/>
        <w:jc w:val="center"/>
        <w:rPr>
          <w:sz w:val="24"/>
          <w:szCs w:val="24"/>
          <w:u w:val="single"/>
        </w:rPr>
      </w:pPr>
      <w:r w:rsidRPr="00B3166C">
        <w:rPr>
          <w:sz w:val="24"/>
          <w:szCs w:val="24"/>
          <w:u w:val="single"/>
        </w:rPr>
        <w:lastRenderedPageBreak/>
        <w:t>Il existe également des insertions et des délétions dans le code génétique</w:t>
      </w:r>
      <w:r>
        <w:rPr>
          <w:sz w:val="24"/>
          <w:szCs w:val="24"/>
          <w:u w:val="single"/>
        </w:rPr>
        <w:t> :</w:t>
      </w:r>
    </w:p>
    <w:p w14:paraId="6AAEDECB" w14:textId="3FACA442" w:rsidR="00B3166C" w:rsidRDefault="00B3166C" w:rsidP="00B3166C">
      <w:pPr>
        <w:jc w:val="center"/>
      </w:pPr>
      <w:r>
        <w:t>Il s’agit d’ajouter ou supprimer des nucléotides.</w:t>
      </w:r>
    </w:p>
    <w:p w14:paraId="5D2654D0" w14:textId="18955F0F" w:rsidR="00B3166C" w:rsidRDefault="00B3166C" w:rsidP="00B3166C">
      <w:pPr>
        <w:jc w:val="center"/>
      </w:pPr>
      <w:r>
        <w:t>(Rappel : un codon = 3 nucléotides).</w:t>
      </w:r>
    </w:p>
    <w:tbl>
      <w:tblPr>
        <w:tblStyle w:val="Grilledutableau"/>
        <w:tblW w:w="0" w:type="auto"/>
        <w:tblLook w:val="04A0" w:firstRow="1" w:lastRow="0" w:firstColumn="1" w:lastColumn="0" w:noHBand="0" w:noVBand="1"/>
      </w:tblPr>
      <w:tblGrid>
        <w:gridCol w:w="4531"/>
        <w:gridCol w:w="4531"/>
      </w:tblGrid>
      <w:tr w:rsidR="00B3166C" w14:paraId="124947C0" w14:textId="77777777" w:rsidTr="005328EF">
        <w:tc>
          <w:tcPr>
            <w:tcW w:w="4531" w:type="dxa"/>
          </w:tcPr>
          <w:p w14:paraId="0C2504AE" w14:textId="2E5EBF55" w:rsidR="00B3166C" w:rsidRPr="00B3166C" w:rsidRDefault="00B3166C" w:rsidP="00B3166C">
            <w:pPr>
              <w:jc w:val="center"/>
            </w:pPr>
            <w:r>
              <w:t>Si multiple de 3</w:t>
            </w:r>
          </w:p>
        </w:tc>
        <w:tc>
          <w:tcPr>
            <w:tcW w:w="4531" w:type="dxa"/>
          </w:tcPr>
          <w:p w14:paraId="0331384B" w14:textId="4DE4515B" w:rsidR="00B3166C" w:rsidRPr="00072385" w:rsidRDefault="00B3166C" w:rsidP="005328EF">
            <w:pPr>
              <w:jc w:val="center"/>
              <w:rPr>
                <w:sz w:val="24"/>
                <w:szCs w:val="24"/>
              </w:rPr>
            </w:pPr>
            <w:r>
              <w:t>Mutation non décalante : car ajout ou retrait d’un ou plusieurs codon(s) sans effet sur les codons précédant. Le cadre de lecture est respecté. La conséquence est un ajout ou un retrait d’acides aminés sur la protéine.</w:t>
            </w:r>
          </w:p>
        </w:tc>
      </w:tr>
      <w:tr w:rsidR="00B3166C" w14:paraId="677994DF" w14:textId="77777777" w:rsidTr="005328EF">
        <w:tc>
          <w:tcPr>
            <w:tcW w:w="4531" w:type="dxa"/>
          </w:tcPr>
          <w:p w14:paraId="20525491" w14:textId="5ACFB482" w:rsidR="00B3166C" w:rsidRPr="00072385" w:rsidRDefault="00B3166C" w:rsidP="005328EF">
            <w:pPr>
              <w:jc w:val="center"/>
              <w:rPr>
                <w:sz w:val="24"/>
                <w:szCs w:val="24"/>
              </w:rPr>
            </w:pPr>
            <w:r>
              <w:t>Si non multiple de 3</w:t>
            </w:r>
          </w:p>
        </w:tc>
        <w:tc>
          <w:tcPr>
            <w:tcW w:w="4531" w:type="dxa"/>
          </w:tcPr>
          <w:p w14:paraId="1182F18E" w14:textId="64591111" w:rsidR="00B3166C" w:rsidRPr="00072385" w:rsidRDefault="00887FD7" w:rsidP="005328EF">
            <w:pPr>
              <w:jc w:val="center"/>
              <w:rPr>
                <w:sz w:val="24"/>
                <w:szCs w:val="24"/>
              </w:rPr>
            </w:pPr>
            <w:r>
              <w:t>L</w:t>
            </w:r>
            <w:r w:rsidR="00B3166C">
              <w:t>e cadre de lecture de l’ARNm sera décalé d’un ou deux nucléotides</w:t>
            </w:r>
            <w:r>
              <w:t>. Il y aura la présence de faux sens multiples voire la modification de la position du Codon Stop ce qui pourra selon les cas aboutir à une protéine raccourcie ou allongée.</w:t>
            </w:r>
          </w:p>
        </w:tc>
      </w:tr>
    </w:tbl>
    <w:p w14:paraId="6A126D38" w14:textId="62782315" w:rsidR="00B3166C" w:rsidRDefault="00B3166C" w:rsidP="00B3166C">
      <w:pPr>
        <w:ind w:left="360"/>
        <w:jc w:val="center"/>
        <w:rPr>
          <w:sz w:val="24"/>
          <w:szCs w:val="24"/>
          <w:u w:val="single"/>
        </w:rPr>
      </w:pPr>
    </w:p>
    <w:p w14:paraId="35E6C036" w14:textId="1DC9CC96" w:rsidR="0000458D" w:rsidRDefault="0000458D" w:rsidP="0000458D">
      <w:pPr>
        <w:ind w:left="360"/>
        <w:rPr>
          <w:sz w:val="28"/>
          <w:szCs w:val="28"/>
          <w:u w:val="single"/>
        </w:rPr>
      </w:pPr>
      <w:r w:rsidRPr="00956EC5">
        <w:rPr>
          <w:sz w:val="28"/>
          <w:szCs w:val="28"/>
          <w:u w:val="single"/>
        </w:rPr>
        <w:t>B- Les acteurs et déroulement de la traduction</w:t>
      </w:r>
    </w:p>
    <w:p w14:paraId="240491E3" w14:textId="4FB57EF8" w:rsidR="0000458D" w:rsidRDefault="0000458D" w:rsidP="0000458D">
      <w:pPr>
        <w:pStyle w:val="Paragraphedeliste"/>
        <w:numPr>
          <w:ilvl w:val="0"/>
          <w:numId w:val="3"/>
        </w:numPr>
        <w:rPr>
          <w:sz w:val="24"/>
          <w:szCs w:val="24"/>
          <w:u w:val="single"/>
        </w:rPr>
      </w:pPr>
      <w:r w:rsidRPr="0000458D">
        <w:rPr>
          <w:sz w:val="24"/>
          <w:szCs w:val="24"/>
          <w:u w:val="single"/>
        </w:rPr>
        <w:t>Les acteurs</w:t>
      </w:r>
      <w:r w:rsidR="00BF5CF7">
        <w:rPr>
          <w:sz w:val="24"/>
          <w:szCs w:val="24"/>
          <w:u w:val="single"/>
        </w:rPr>
        <w:t xml:space="preserve"> de la traduction.</w:t>
      </w:r>
    </w:p>
    <w:p w14:paraId="2425B4BC" w14:textId="17EBE58B" w:rsidR="0000458D" w:rsidRPr="0000458D" w:rsidRDefault="0000458D" w:rsidP="0000458D">
      <w:pPr>
        <w:jc w:val="center"/>
        <w:rPr>
          <w:sz w:val="24"/>
          <w:szCs w:val="24"/>
          <w:u w:val="single"/>
        </w:rPr>
      </w:pPr>
      <w:r w:rsidRPr="0000458D">
        <w:rPr>
          <w:sz w:val="24"/>
          <w:szCs w:val="24"/>
          <w:u w:val="single"/>
        </w:rPr>
        <w:t>Il existe différents acteurs de la traduction</w:t>
      </w:r>
      <w:r>
        <w:rPr>
          <w:sz w:val="24"/>
          <w:szCs w:val="24"/>
          <w:u w:val="single"/>
        </w:rPr>
        <w:t>.</w:t>
      </w:r>
    </w:p>
    <w:tbl>
      <w:tblPr>
        <w:tblStyle w:val="Grilledutableau"/>
        <w:tblW w:w="0" w:type="auto"/>
        <w:tblLook w:val="04A0" w:firstRow="1" w:lastRow="0" w:firstColumn="1" w:lastColumn="0" w:noHBand="0" w:noVBand="1"/>
      </w:tblPr>
      <w:tblGrid>
        <w:gridCol w:w="4531"/>
        <w:gridCol w:w="4531"/>
      </w:tblGrid>
      <w:tr w:rsidR="0000458D" w14:paraId="1D2FA1F4" w14:textId="77777777" w:rsidTr="005328EF">
        <w:tc>
          <w:tcPr>
            <w:tcW w:w="4531" w:type="dxa"/>
          </w:tcPr>
          <w:p w14:paraId="249FD226" w14:textId="0DA62AA2" w:rsidR="0000458D" w:rsidRPr="00B3166C" w:rsidRDefault="0000458D" w:rsidP="005328EF">
            <w:pPr>
              <w:jc w:val="center"/>
            </w:pPr>
            <w:r>
              <w:t>L’ARNm</w:t>
            </w:r>
          </w:p>
        </w:tc>
        <w:tc>
          <w:tcPr>
            <w:tcW w:w="4531" w:type="dxa"/>
          </w:tcPr>
          <w:p w14:paraId="224DC948" w14:textId="2212477E" w:rsidR="0000458D" w:rsidRPr="00072385" w:rsidRDefault="0000458D" w:rsidP="005328EF">
            <w:pPr>
              <w:jc w:val="center"/>
              <w:rPr>
                <w:sz w:val="24"/>
                <w:szCs w:val="24"/>
              </w:rPr>
            </w:pPr>
            <w:r>
              <w:t>Contient les instructions pour la synthèse de la protéine.</w:t>
            </w:r>
          </w:p>
        </w:tc>
      </w:tr>
      <w:tr w:rsidR="0000458D" w14:paraId="7C9094BD" w14:textId="77777777" w:rsidTr="005328EF">
        <w:tc>
          <w:tcPr>
            <w:tcW w:w="4531" w:type="dxa"/>
          </w:tcPr>
          <w:p w14:paraId="678F6B5E" w14:textId="0076B18A" w:rsidR="0000458D" w:rsidRDefault="0000458D" w:rsidP="005328EF">
            <w:pPr>
              <w:jc w:val="center"/>
            </w:pPr>
            <w:r>
              <w:t xml:space="preserve">Les </w:t>
            </w:r>
            <w:proofErr w:type="spellStart"/>
            <w:r>
              <w:t>ARNt</w:t>
            </w:r>
            <w:proofErr w:type="spellEnd"/>
            <w:r>
              <w:t xml:space="preserve"> (ARN de transfert)</w:t>
            </w:r>
          </w:p>
        </w:tc>
        <w:tc>
          <w:tcPr>
            <w:tcW w:w="4531" w:type="dxa"/>
          </w:tcPr>
          <w:p w14:paraId="0416DFB3" w14:textId="5453057F" w:rsidR="0000458D" w:rsidRDefault="0000458D" w:rsidP="005328EF">
            <w:pPr>
              <w:jc w:val="center"/>
            </w:pPr>
            <w:r>
              <w:t>Portent leur unique acide aminé spécifique, ils se fixent sur le codon de l’ARNm correspondant à ce dernier.</w:t>
            </w:r>
          </w:p>
        </w:tc>
      </w:tr>
      <w:tr w:rsidR="0000458D" w14:paraId="257E0082" w14:textId="77777777" w:rsidTr="005328EF">
        <w:tc>
          <w:tcPr>
            <w:tcW w:w="4531" w:type="dxa"/>
          </w:tcPr>
          <w:p w14:paraId="3588489A" w14:textId="629E5845" w:rsidR="0000458D" w:rsidRDefault="0000458D" w:rsidP="005328EF">
            <w:pPr>
              <w:jc w:val="center"/>
            </w:pPr>
            <w:r>
              <w:t xml:space="preserve">Les </w:t>
            </w:r>
            <w:proofErr w:type="spellStart"/>
            <w:r>
              <w:t>aminoacyl-ARNt</w:t>
            </w:r>
            <w:proofErr w:type="spellEnd"/>
            <w:r>
              <w:t xml:space="preserve"> synthétases</w:t>
            </w:r>
          </w:p>
        </w:tc>
        <w:tc>
          <w:tcPr>
            <w:tcW w:w="4531" w:type="dxa"/>
          </w:tcPr>
          <w:p w14:paraId="4855FAA9" w14:textId="0EEA9F18" w:rsidR="0000458D" w:rsidRDefault="0000458D" w:rsidP="005328EF">
            <w:pPr>
              <w:jc w:val="center"/>
            </w:pPr>
            <w:r>
              <w:t xml:space="preserve">Fixent les acides aminés sur les </w:t>
            </w:r>
            <w:proofErr w:type="spellStart"/>
            <w:r>
              <w:t>ARNt</w:t>
            </w:r>
            <w:proofErr w:type="spellEnd"/>
            <w:r>
              <w:t>.</w:t>
            </w:r>
          </w:p>
        </w:tc>
      </w:tr>
      <w:tr w:rsidR="0000458D" w14:paraId="2C4A4D86" w14:textId="77777777" w:rsidTr="005328EF">
        <w:tc>
          <w:tcPr>
            <w:tcW w:w="4531" w:type="dxa"/>
          </w:tcPr>
          <w:p w14:paraId="4764DC77" w14:textId="7B64B343" w:rsidR="0000458D" w:rsidRPr="00072385" w:rsidRDefault="0000458D" w:rsidP="005328EF">
            <w:pPr>
              <w:jc w:val="center"/>
              <w:rPr>
                <w:sz w:val="24"/>
                <w:szCs w:val="24"/>
              </w:rPr>
            </w:pPr>
            <w:r>
              <w:t>Les ribosomes, formés de protéines et d’ARN ribosomaux</w:t>
            </w:r>
          </w:p>
        </w:tc>
        <w:tc>
          <w:tcPr>
            <w:tcW w:w="4531" w:type="dxa"/>
          </w:tcPr>
          <w:p w14:paraId="036A9E5F" w14:textId="11E592A0" w:rsidR="0000458D" w:rsidRPr="00072385" w:rsidRDefault="0000458D" w:rsidP="005328EF">
            <w:pPr>
              <w:jc w:val="center"/>
              <w:rPr>
                <w:sz w:val="24"/>
                <w:szCs w:val="24"/>
              </w:rPr>
            </w:pPr>
            <w:r>
              <w:t xml:space="preserve">Accueillent les </w:t>
            </w:r>
            <w:proofErr w:type="spellStart"/>
            <w:r>
              <w:t>ARNt</w:t>
            </w:r>
            <w:proofErr w:type="spellEnd"/>
            <w:r>
              <w:t xml:space="preserve"> chargés de leur acide aminé. Ensuite, ils relient entre eux ces acides aminés par des liaisons peptidiques afin de former la protéine.</w:t>
            </w:r>
          </w:p>
        </w:tc>
      </w:tr>
    </w:tbl>
    <w:p w14:paraId="61BA45B2" w14:textId="4860ABF0" w:rsidR="0000458D" w:rsidRDefault="00733730" w:rsidP="00733730">
      <w:pPr>
        <w:ind w:left="360"/>
        <w:jc w:val="both"/>
        <w:rPr>
          <w:sz w:val="24"/>
          <w:szCs w:val="24"/>
          <w:u w:val="single"/>
        </w:rPr>
      </w:pPr>
      <w:r>
        <w:rPr>
          <w:noProof/>
        </w:rPr>
        <w:drawing>
          <wp:inline distT="0" distB="0" distL="0" distR="0" wp14:anchorId="74181A30" wp14:editId="15A07978">
            <wp:extent cx="5243639" cy="27432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5425" cy="2744134"/>
                    </a:xfrm>
                    <a:prstGeom prst="rect">
                      <a:avLst/>
                    </a:prstGeom>
                  </pic:spPr>
                </pic:pic>
              </a:graphicData>
            </a:graphic>
          </wp:inline>
        </w:drawing>
      </w:r>
    </w:p>
    <w:p w14:paraId="14A4A654" w14:textId="77777777" w:rsidR="00733730" w:rsidRDefault="00733730" w:rsidP="00733730">
      <w:pPr>
        <w:rPr>
          <w:sz w:val="24"/>
          <w:szCs w:val="24"/>
          <w:u w:val="single"/>
        </w:rPr>
      </w:pPr>
    </w:p>
    <w:p w14:paraId="2D61653E" w14:textId="344525D5" w:rsidR="00733730" w:rsidRPr="00733730" w:rsidRDefault="00733730" w:rsidP="00733730">
      <w:pPr>
        <w:jc w:val="center"/>
        <w:rPr>
          <w:sz w:val="24"/>
          <w:szCs w:val="24"/>
          <w:u w:val="single"/>
        </w:rPr>
      </w:pPr>
      <w:r w:rsidRPr="00733730">
        <w:rPr>
          <w:sz w:val="24"/>
          <w:szCs w:val="24"/>
          <w:u w:val="single"/>
        </w:rPr>
        <w:lastRenderedPageBreak/>
        <w:t>Les ARNs de transfert apportent les acides aminés au ribosome</w:t>
      </w:r>
      <w:r>
        <w:rPr>
          <w:sz w:val="24"/>
          <w:szCs w:val="24"/>
          <w:u w:val="single"/>
        </w:rPr>
        <w:t>.</w:t>
      </w:r>
    </w:p>
    <w:p w14:paraId="59727EC5" w14:textId="5BC933BE" w:rsidR="00733730" w:rsidRDefault="00733730" w:rsidP="00733730">
      <w:pPr>
        <w:jc w:val="center"/>
      </w:pPr>
      <w:r>
        <w:t xml:space="preserve">Ces ARNs sont formes d’une tige </w:t>
      </w:r>
      <w:proofErr w:type="spellStart"/>
      <w:r>
        <w:t>acceptrice</w:t>
      </w:r>
      <w:proofErr w:type="spellEnd"/>
      <w:r>
        <w:t xml:space="preserve"> et de trois boucles :</w:t>
      </w:r>
    </w:p>
    <w:tbl>
      <w:tblPr>
        <w:tblStyle w:val="Grilledutableau"/>
        <w:tblW w:w="0" w:type="auto"/>
        <w:tblLook w:val="04A0" w:firstRow="1" w:lastRow="0" w:firstColumn="1" w:lastColumn="0" w:noHBand="0" w:noVBand="1"/>
      </w:tblPr>
      <w:tblGrid>
        <w:gridCol w:w="4531"/>
        <w:gridCol w:w="4531"/>
      </w:tblGrid>
      <w:tr w:rsidR="00733730" w14:paraId="75B82563" w14:textId="77777777" w:rsidTr="005328EF">
        <w:tc>
          <w:tcPr>
            <w:tcW w:w="4531" w:type="dxa"/>
          </w:tcPr>
          <w:p w14:paraId="0D157179" w14:textId="40D3E82E" w:rsidR="00733730" w:rsidRPr="00B3166C" w:rsidRDefault="00733730" w:rsidP="005328EF">
            <w:pPr>
              <w:jc w:val="center"/>
            </w:pPr>
            <w:r>
              <w:t>La tige </w:t>
            </w:r>
          </w:p>
        </w:tc>
        <w:tc>
          <w:tcPr>
            <w:tcW w:w="4531" w:type="dxa"/>
          </w:tcPr>
          <w:p w14:paraId="0AAEF9F7" w14:textId="3365DE37" w:rsidR="00733730" w:rsidRPr="00072385" w:rsidRDefault="00733730" w:rsidP="005328EF">
            <w:pPr>
              <w:jc w:val="center"/>
              <w:rPr>
                <w:sz w:val="24"/>
                <w:szCs w:val="24"/>
              </w:rPr>
            </w:pPr>
            <w:r>
              <w:t>Va être chargée par un acide aminé sur son extrémité 3’-OH.</w:t>
            </w:r>
          </w:p>
        </w:tc>
      </w:tr>
      <w:tr w:rsidR="00733730" w14:paraId="44E0DE0E" w14:textId="77777777" w:rsidTr="005328EF">
        <w:tc>
          <w:tcPr>
            <w:tcW w:w="4531" w:type="dxa"/>
          </w:tcPr>
          <w:p w14:paraId="347F2AB2" w14:textId="78962F14" w:rsidR="00733730" w:rsidRDefault="00733730" w:rsidP="005328EF">
            <w:pPr>
              <w:jc w:val="center"/>
            </w:pPr>
            <w:r>
              <w:t>L’une des trois boucles est la boucle de l’anticodon (contient l’anticodon).</w:t>
            </w:r>
          </w:p>
        </w:tc>
        <w:tc>
          <w:tcPr>
            <w:tcW w:w="4531" w:type="dxa"/>
          </w:tcPr>
          <w:p w14:paraId="0D95BF84" w14:textId="4CBE6883" w:rsidR="00733730" w:rsidRDefault="00733730" w:rsidP="005328EF">
            <w:pPr>
              <w:jc w:val="center"/>
            </w:pPr>
            <w:r>
              <w:t xml:space="preserve">Est une séquence spécifique de chaque </w:t>
            </w:r>
            <w:proofErr w:type="spellStart"/>
            <w:r>
              <w:t>ARNt</w:t>
            </w:r>
            <w:proofErr w:type="spellEnd"/>
            <w:r>
              <w:t> : l’anticodon se fixe par complémentarité au codon de l’ARNm spécifiant ainsi l’acide aminé fixé sur l’</w:t>
            </w:r>
            <w:proofErr w:type="spellStart"/>
            <w:r>
              <w:t>ARNt</w:t>
            </w:r>
            <w:proofErr w:type="spellEnd"/>
            <w:r>
              <w:t>.</w:t>
            </w:r>
          </w:p>
        </w:tc>
      </w:tr>
      <w:tr w:rsidR="00733730" w14:paraId="4883F2BD" w14:textId="77777777" w:rsidTr="005328EF">
        <w:tc>
          <w:tcPr>
            <w:tcW w:w="4531" w:type="dxa"/>
          </w:tcPr>
          <w:p w14:paraId="01B39449" w14:textId="4D2A6423" w:rsidR="00733730" w:rsidRDefault="00733730" w:rsidP="005328EF">
            <w:pPr>
              <w:jc w:val="center"/>
            </w:pPr>
            <w:r>
              <w:t xml:space="preserve">Les </w:t>
            </w:r>
            <w:proofErr w:type="spellStart"/>
            <w:r>
              <w:t>ARNt</w:t>
            </w:r>
            <w:proofErr w:type="spellEnd"/>
            <w:r>
              <w:t xml:space="preserve"> subissent une maturation</w:t>
            </w:r>
          </w:p>
        </w:tc>
        <w:tc>
          <w:tcPr>
            <w:tcW w:w="4531" w:type="dxa"/>
          </w:tcPr>
          <w:p w14:paraId="614C55C9" w14:textId="174AE566" w:rsidR="00733730" w:rsidRDefault="00733730" w:rsidP="005328EF">
            <w:pPr>
              <w:jc w:val="center"/>
            </w:pPr>
            <w:r>
              <w:t>Ils sont d’abord transcrits sous la forme de précurseurs (pré-</w:t>
            </w:r>
            <w:proofErr w:type="spellStart"/>
            <w:r>
              <w:t>ARNt</w:t>
            </w:r>
            <w:proofErr w:type="spellEnd"/>
            <w:r>
              <w:t>) puis ils subissent de nombreuses modifications de bases en bases (10 à 25%) appelées bases mineures.</w:t>
            </w:r>
          </w:p>
        </w:tc>
      </w:tr>
    </w:tbl>
    <w:p w14:paraId="50D2F848" w14:textId="77777777" w:rsidR="00733730" w:rsidRPr="00B626A2" w:rsidRDefault="00733730" w:rsidP="00733730">
      <w:pPr>
        <w:jc w:val="center"/>
      </w:pPr>
    </w:p>
    <w:p w14:paraId="5904F6C5" w14:textId="1FF41290" w:rsidR="00733730" w:rsidRDefault="00733730" w:rsidP="00733730">
      <w:pPr>
        <w:ind w:left="360"/>
        <w:jc w:val="center"/>
        <w:rPr>
          <w:color w:val="FF0000"/>
        </w:rPr>
      </w:pPr>
      <w:r w:rsidRPr="00733730">
        <w:rPr>
          <w:color w:val="FF0000"/>
        </w:rPr>
        <w:t>L’</w:t>
      </w:r>
      <w:proofErr w:type="spellStart"/>
      <w:r w:rsidRPr="00733730">
        <w:rPr>
          <w:color w:val="FF0000"/>
        </w:rPr>
        <w:t>ARNt</w:t>
      </w:r>
      <w:proofErr w:type="spellEnd"/>
      <w:r w:rsidRPr="00733730">
        <w:rPr>
          <w:color w:val="FF0000"/>
        </w:rPr>
        <w:t xml:space="preserve"> mature contient alors des bases comme l’inosine, la pseudo-uridine, </w:t>
      </w:r>
      <w:proofErr w:type="spellStart"/>
      <w:r w:rsidRPr="00733730">
        <w:rPr>
          <w:color w:val="FF0000"/>
        </w:rPr>
        <w:t>dihydrouridine</w:t>
      </w:r>
      <w:proofErr w:type="spellEnd"/>
      <w:r w:rsidRPr="00733730">
        <w:rPr>
          <w:color w:val="FF0000"/>
        </w:rPr>
        <w:t xml:space="preserve">, </w:t>
      </w:r>
      <w:proofErr w:type="spellStart"/>
      <w:r w:rsidRPr="00733730">
        <w:rPr>
          <w:color w:val="FF0000"/>
        </w:rPr>
        <w:t>méthyluridine</w:t>
      </w:r>
      <w:proofErr w:type="spellEnd"/>
      <w:r w:rsidRPr="00733730">
        <w:rPr>
          <w:color w:val="FF0000"/>
        </w:rPr>
        <w:t xml:space="preserve">, </w:t>
      </w:r>
      <w:r w:rsidRPr="00733730">
        <w:rPr>
          <w:b/>
          <w:bCs/>
          <w:color w:val="FF0000"/>
        </w:rPr>
        <w:t xml:space="preserve">Thymine (normalement spécifique de l’ADN, toutefois pouvant être retrouvé dans les </w:t>
      </w:r>
      <w:proofErr w:type="spellStart"/>
      <w:r w:rsidRPr="00733730">
        <w:rPr>
          <w:b/>
          <w:bCs/>
          <w:color w:val="FF0000"/>
        </w:rPr>
        <w:t>ARNt</w:t>
      </w:r>
      <w:proofErr w:type="spellEnd"/>
      <w:r w:rsidRPr="00733730">
        <w:rPr>
          <w:b/>
          <w:bCs/>
          <w:color w:val="FF0000"/>
        </w:rPr>
        <w:t xml:space="preserve"> mature)</w:t>
      </w:r>
      <w:r w:rsidRPr="00733730">
        <w:rPr>
          <w:color w:val="FF0000"/>
        </w:rPr>
        <w:t xml:space="preserve">, </w:t>
      </w:r>
      <w:proofErr w:type="spellStart"/>
      <w:r w:rsidRPr="00733730">
        <w:rPr>
          <w:color w:val="FF0000"/>
        </w:rPr>
        <w:t>ribothymidine</w:t>
      </w:r>
      <w:proofErr w:type="spellEnd"/>
      <w:r>
        <w:rPr>
          <w:color w:val="FF0000"/>
        </w:rPr>
        <w:t>.</w:t>
      </w:r>
    </w:p>
    <w:p w14:paraId="7178DE86" w14:textId="4730A160" w:rsidR="00733730" w:rsidRDefault="00733730" w:rsidP="00733730">
      <w:pPr>
        <w:ind w:left="360"/>
        <w:jc w:val="center"/>
        <w:rPr>
          <w:color w:val="FF0000"/>
          <w:sz w:val="24"/>
          <w:szCs w:val="24"/>
        </w:rPr>
      </w:pPr>
      <w:r>
        <w:rPr>
          <w:noProof/>
        </w:rPr>
        <w:drawing>
          <wp:inline distT="0" distB="0" distL="0" distR="0" wp14:anchorId="31CDC02E" wp14:editId="2010FFC3">
            <wp:extent cx="5526157" cy="1848144"/>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0">
                      <a:extLst>
                        <a:ext uri="{28A0092B-C50C-407E-A947-70E740481C1C}">
                          <a14:useLocalDpi xmlns:a14="http://schemas.microsoft.com/office/drawing/2010/main" val="0"/>
                        </a:ext>
                      </a:extLst>
                    </a:blip>
                    <a:stretch>
                      <a:fillRect/>
                    </a:stretch>
                  </pic:blipFill>
                  <pic:spPr>
                    <a:xfrm>
                      <a:off x="0" y="0"/>
                      <a:ext cx="5528714" cy="1848999"/>
                    </a:xfrm>
                    <a:prstGeom prst="rect">
                      <a:avLst/>
                    </a:prstGeom>
                  </pic:spPr>
                </pic:pic>
              </a:graphicData>
            </a:graphic>
          </wp:inline>
        </w:drawing>
      </w:r>
    </w:p>
    <w:p w14:paraId="2FABA8EE" w14:textId="10E31B73" w:rsidR="00733730" w:rsidRDefault="00733730" w:rsidP="00733730">
      <w:pPr>
        <w:ind w:left="360"/>
        <w:jc w:val="center"/>
        <w:rPr>
          <w:color w:val="FF0000"/>
          <w:sz w:val="24"/>
          <w:szCs w:val="24"/>
        </w:rPr>
      </w:pPr>
    </w:p>
    <w:p w14:paraId="73A0BC61" w14:textId="61CD9F4D" w:rsidR="00733730" w:rsidRDefault="00733730" w:rsidP="00733730">
      <w:pPr>
        <w:ind w:left="360"/>
        <w:jc w:val="center"/>
        <w:rPr>
          <w:sz w:val="24"/>
          <w:szCs w:val="24"/>
          <w:u w:val="single"/>
        </w:rPr>
      </w:pPr>
      <w:r w:rsidRPr="00733730">
        <w:rPr>
          <w:sz w:val="24"/>
          <w:szCs w:val="24"/>
          <w:u w:val="single"/>
        </w:rPr>
        <w:t>Le ribosome est constitué de deux sous-unités et assure la traduction.</w:t>
      </w:r>
    </w:p>
    <w:p w14:paraId="286543E3" w14:textId="4986D6AA" w:rsidR="00733730" w:rsidRDefault="00733730" w:rsidP="00733730">
      <w:pPr>
        <w:ind w:left="360"/>
        <w:jc w:val="center"/>
      </w:pPr>
      <w:r>
        <w:t xml:space="preserve">Il </w:t>
      </w:r>
      <w:bookmarkStart w:id="1" w:name="_Hlk79664722"/>
      <w:r>
        <w:t>est constitué de deux sous-unités et assure la traduction.</w:t>
      </w:r>
      <w:bookmarkEnd w:id="1"/>
    </w:p>
    <w:tbl>
      <w:tblPr>
        <w:tblStyle w:val="Grilledutableau"/>
        <w:tblW w:w="0" w:type="auto"/>
        <w:tblLook w:val="04A0" w:firstRow="1" w:lastRow="0" w:firstColumn="1" w:lastColumn="0" w:noHBand="0" w:noVBand="1"/>
      </w:tblPr>
      <w:tblGrid>
        <w:gridCol w:w="4531"/>
        <w:gridCol w:w="4531"/>
      </w:tblGrid>
      <w:tr w:rsidR="00BF5CF7" w14:paraId="47B1E4C9" w14:textId="77777777" w:rsidTr="005328EF">
        <w:tc>
          <w:tcPr>
            <w:tcW w:w="4531" w:type="dxa"/>
          </w:tcPr>
          <w:p w14:paraId="10533012" w14:textId="3DA19E93" w:rsidR="00BF5CF7" w:rsidRPr="00B3166C" w:rsidRDefault="00BF5CF7" w:rsidP="005328EF">
            <w:pPr>
              <w:jc w:val="center"/>
            </w:pPr>
            <w:r>
              <w:t>La petite sous-unité se lie à l’ARNm.</w:t>
            </w:r>
          </w:p>
        </w:tc>
        <w:tc>
          <w:tcPr>
            <w:tcW w:w="4531" w:type="dxa"/>
          </w:tcPr>
          <w:p w14:paraId="6267EB11" w14:textId="0C373965" w:rsidR="00BF5CF7" w:rsidRPr="00072385" w:rsidRDefault="00BF5CF7" w:rsidP="005328EF">
            <w:pPr>
              <w:jc w:val="center"/>
              <w:rPr>
                <w:sz w:val="24"/>
                <w:szCs w:val="24"/>
              </w:rPr>
            </w:pPr>
            <w:r>
              <w:t>Décode l’information en assurant la correspondance codon-anticodon.</w:t>
            </w:r>
          </w:p>
        </w:tc>
      </w:tr>
      <w:tr w:rsidR="00BF5CF7" w14:paraId="27420AA7" w14:textId="77777777" w:rsidTr="005328EF">
        <w:tc>
          <w:tcPr>
            <w:tcW w:w="4531" w:type="dxa"/>
          </w:tcPr>
          <w:p w14:paraId="0EA2C54B" w14:textId="0901F774" w:rsidR="00BF5CF7" w:rsidRDefault="00BF5CF7" w:rsidP="005328EF">
            <w:pPr>
              <w:jc w:val="center"/>
            </w:pPr>
            <w:r>
              <w:t>La grosse sous-unité du ribosome se fixe à la petite sous-unité.</w:t>
            </w:r>
          </w:p>
        </w:tc>
        <w:tc>
          <w:tcPr>
            <w:tcW w:w="4531" w:type="dxa"/>
          </w:tcPr>
          <w:p w14:paraId="157792A9" w14:textId="027A3D11" w:rsidR="00BF5CF7" w:rsidRDefault="00BF5CF7" w:rsidP="005328EF">
            <w:pPr>
              <w:jc w:val="center"/>
            </w:pPr>
            <w:r>
              <w:t>Elle possède un rôle structurel mais également fonctionnel. Elle contient trois sites (</w:t>
            </w:r>
            <w:proofErr w:type="gramStart"/>
            <w:r>
              <w:t>E,P</w:t>
            </w:r>
            <w:proofErr w:type="gramEnd"/>
            <w:r>
              <w:t xml:space="preserve">,A) accueillant les </w:t>
            </w:r>
            <w:proofErr w:type="spellStart"/>
            <w:r>
              <w:t>ARNt</w:t>
            </w:r>
            <w:proofErr w:type="spellEnd"/>
            <w:r>
              <w:t>. Un ARNr (ARN ribosomique) joue le rôle d’enzyme formant des liaisons peptidiques entre les acides aminés.</w:t>
            </w:r>
          </w:p>
        </w:tc>
      </w:tr>
    </w:tbl>
    <w:p w14:paraId="54E61A96" w14:textId="6D2A2345" w:rsidR="00BF5CF7" w:rsidRDefault="00BF5CF7" w:rsidP="00733730">
      <w:pPr>
        <w:ind w:left="360"/>
        <w:jc w:val="center"/>
        <w:rPr>
          <w:color w:val="FF0000"/>
          <w:sz w:val="24"/>
          <w:szCs w:val="24"/>
          <w:u w:val="single"/>
        </w:rPr>
      </w:pPr>
    </w:p>
    <w:p w14:paraId="0498007C" w14:textId="5B26AEB1" w:rsidR="00BF5CF7" w:rsidRDefault="00BF5CF7" w:rsidP="00733730">
      <w:pPr>
        <w:ind w:left="360"/>
        <w:jc w:val="center"/>
        <w:rPr>
          <w:color w:val="FF0000"/>
          <w:sz w:val="24"/>
          <w:szCs w:val="24"/>
          <w:u w:val="single"/>
        </w:rPr>
      </w:pPr>
    </w:p>
    <w:p w14:paraId="76089397" w14:textId="4212F926" w:rsidR="00BF5CF7" w:rsidRDefault="00BF5CF7" w:rsidP="00733730">
      <w:pPr>
        <w:ind w:left="360"/>
        <w:jc w:val="center"/>
        <w:rPr>
          <w:color w:val="FF0000"/>
          <w:sz w:val="24"/>
          <w:szCs w:val="24"/>
          <w:u w:val="single"/>
        </w:rPr>
      </w:pPr>
    </w:p>
    <w:p w14:paraId="6CECF2DB" w14:textId="592DA368" w:rsidR="00BF5CF7" w:rsidRDefault="00BF5CF7" w:rsidP="00733730">
      <w:pPr>
        <w:ind w:left="360"/>
        <w:jc w:val="center"/>
        <w:rPr>
          <w:color w:val="FF0000"/>
          <w:sz w:val="24"/>
          <w:szCs w:val="24"/>
          <w:u w:val="single"/>
        </w:rPr>
      </w:pPr>
    </w:p>
    <w:p w14:paraId="46E2C3B1" w14:textId="77777777" w:rsidR="00BF5CF7" w:rsidRDefault="00BF5CF7" w:rsidP="00733730">
      <w:pPr>
        <w:ind w:left="360"/>
        <w:jc w:val="center"/>
        <w:rPr>
          <w:color w:val="FF0000"/>
          <w:sz w:val="24"/>
          <w:szCs w:val="24"/>
          <w:u w:val="single"/>
        </w:rPr>
      </w:pPr>
    </w:p>
    <w:p w14:paraId="69290807" w14:textId="46972F88" w:rsidR="00BF5CF7" w:rsidRDefault="00BF5CF7" w:rsidP="00BF5CF7">
      <w:pPr>
        <w:jc w:val="center"/>
        <w:rPr>
          <w:sz w:val="24"/>
          <w:szCs w:val="24"/>
        </w:rPr>
      </w:pPr>
      <w:r w:rsidRPr="00BF5CF7">
        <w:rPr>
          <w:sz w:val="24"/>
          <w:szCs w:val="24"/>
          <w:u w:val="single"/>
        </w:rPr>
        <w:lastRenderedPageBreak/>
        <w:t xml:space="preserve">Les </w:t>
      </w:r>
      <w:proofErr w:type="spellStart"/>
      <w:r w:rsidRPr="00BF5CF7">
        <w:rPr>
          <w:sz w:val="24"/>
          <w:szCs w:val="24"/>
          <w:u w:val="single"/>
        </w:rPr>
        <w:t>aminoacyl-ARNt</w:t>
      </w:r>
      <w:proofErr w:type="spellEnd"/>
      <w:r w:rsidRPr="00BF5CF7">
        <w:rPr>
          <w:sz w:val="24"/>
          <w:szCs w:val="24"/>
          <w:u w:val="single"/>
        </w:rPr>
        <w:t xml:space="preserve"> synthétases </w:t>
      </w:r>
      <w:r w:rsidRPr="00BF5CF7">
        <w:rPr>
          <w:sz w:val="24"/>
          <w:szCs w:val="24"/>
        </w:rPr>
        <w:t xml:space="preserve">fixent les acides aminés aux </w:t>
      </w:r>
      <w:proofErr w:type="spellStart"/>
      <w:r w:rsidRPr="00BF5CF7">
        <w:rPr>
          <w:sz w:val="24"/>
          <w:szCs w:val="24"/>
        </w:rPr>
        <w:t>ARNt</w:t>
      </w:r>
      <w:proofErr w:type="spellEnd"/>
      <w:r w:rsidRPr="00BF5CF7">
        <w:rPr>
          <w:sz w:val="24"/>
          <w:szCs w:val="24"/>
        </w:rPr>
        <w:t>.</w:t>
      </w:r>
    </w:p>
    <w:p w14:paraId="31073C6A" w14:textId="6FA1ABBE" w:rsidR="00BF5CF7" w:rsidRDefault="00BF5CF7" w:rsidP="00BF5CF7">
      <w:pPr>
        <w:jc w:val="center"/>
      </w:pPr>
      <w:r>
        <w:t xml:space="preserve">Chacune est spécifique d’un seul acide aminé. Elle active l’AA grâce à l’ATP et peut par la suite le fixer sur plusieurs </w:t>
      </w:r>
      <w:proofErr w:type="spellStart"/>
      <w:r>
        <w:t>ARNt</w:t>
      </w:r>
      <w:proofErr w:type="spellEnd"/>
      <w:r>
        <w:t xml:space="preserve"> dit « </w:t>
      </w:r>
      <w:proofErr w:type="spellStart"/>
      <w:r>
        <w:t>isoaccepteurs</w:t>
      </w:r>
      <w:proofErr w:type="spellEnd"/>
      <w:r>
        <w:t xml:space="preserve"> »</w:t>
      </w:r>
    </w:p>
    <w:p w14:paraId="284684AC" w14:textId="345C7CA6" w:rsidR="00BF5CF7" w:rsidRDefault="00BF5CF7" w:rsidP="00BF5CF7">
      <w:pPr>
        <w:jc w:val="center"/>
        <w:rPr>
          <w:sz w:val="24"/>
          <w:szCs w:val="24"/>
        </w:rPr>
      </w:pPr>
      <w:r>
        <w:t xml:space="preserve">Ces </w:t>
      </w:r>
      <w:proofErr w:type="spellStart"/>
      <w:r>
        <w:t>aminoacyl-ARNt</w:t>
      </w:r>
      <w:proofErr w:type="spellEnd"/>
      <w:r>
        <w:t xml:space="preserve"> synthétases ont une activité de correction (</w:t>
      </w:r>
      <w:proofErr w:type="spellStart"/>
      <w:r>
        <w:t>proofreading</w:t>
      </w:r>
      <w:proofErr w:type="spellEnd"/>
      <w:r>
        <w:t>), Cela leur permet d’éliminer un acide aminé fixé par erreur avant de libérer l’</w:t>
      </w:r>
      <w:proofErr w:type="spellStart"/>
      <w:r>
        <w:t>ARNt</w:t>
      </w:r>
      <w:proofErr w:type="spellEnd"/>
      <w:r>
        <w:t>, ce qui évite son incorporation erronée et assure donc la fidélité de la traduction.</w:t>
      </w:r>
    </w:p>
    <w:p w14:paraId="6FA27609" w14:textId="63015598" w:rsidR="00BF5CF7" w:rsidRDefault="00BF5CF7" w:rsidP="00BF5CF7">
      <w:pPr>
        <w:jc w:val="center"/>
        <w:rPr>
          <w:color w:val="FF0000"/>
          <w:sz w:val="24"/>
          <w:szCs w:val="24"/>
          <w:u w:val="single"/>
        </w:rPr>
      </w:pPr>
      <w:r>
        <w:rPr>
          <w:noProof/>
        </w:rPr>
        <w:drawing>
          <wp:inline distT="0" distB="0" distL="0" distR="0" wp14:anchorId="41711A38" wp14:editId="2B07BD99">
            <wp:extent cx="4839375" cy="1781424"/>
            <wp:effectExtent l="0" t="0" r="0" b="9525"/>
            <wp:docPr id="9" name="Image 9"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descr="Une image contenant texte&#10;&#10;Description générée automatiquement"/>
                    <pic:cNvPicPr/>
                  </pic:nvPicPr>
                  <pic:blipFill>
                    <a:blip r:embed="rId11">
                      <a:extLst>
                        <a:ext uri="{28A0092B-C50C-407E-A947-70E740481C1C}">
                          <a14:useLocalDpi xmlns:a14="http://schemas.microsoft.com/office/drawing/2010/main" val="0"/>
                        </a:ext>
                      </a:extLst>
                    </a:blip>
                    <a:stretch>
                      <a:fillRect/>
                    </a:stretch>
                  </pic:blipFill>
                  <pic:spPr>
                    <a:xfrm>
                      <a:off x="0" y="0"/>
                      <a:ext cx="4839375" cy="1781424"/>
                    </a:xfrm>
                    <a:prstGeom prst="rect">
                      <a:avLst/>
                    </a:prstGeom>
                  </pic:spPr>
                </pic:pic>
              </a:graphicData>
            </a:graphic>
          </wp:inline>
        </w:drawing>
      </w:r>
    </w:p>
    <w:p w14:paraId="453D9F34" w14:textId="768D23F1" w:rsidR="00BF5CF7" w:rsidRDefault="00BF5CF7" w:rsidP="00BF5CF7">
      <w:pPr>
        <w:jc w:val="center"/>
        <w:rPr>
          <w:color w:val="FF0000"/>
          <w:sz w:val="24"/>
          <w:szCs w:val="24"/>
          <w:u w:val="single"/>
        </w:rPr>
      </w:pPr>
    </w:p>
    <w:p w14:paraId="40862BB2" w14:textId="77777777" w:rsidR="00BF5CF7" w:rsidRDefault="00BF5CF7" w:rsidP="00BF5CF7">
      <w:pPr>
        <w:rPr>
          <w:color w:val="FF0000"/>
          <w:sz w:val="24"/>
          <w:szCs w:val="24"/>
          <w:u w:val="single"/>
        </w:rPr>
      </w:pPr>
    </w:p>
    <w:p w14:paraId="3A9620DF" w14:textId="6D71EA5D" w:rsidR="00BF5CF7" w:rsidRDefault="00BF5CF7" w:rsidP="00BF5CF7">
      <w:pPr>
        <w:jc w:val="center"/>
        <w:rPr>
          <w:sz w:val="24"/>
          <w:szCs w:val="24"/>
          <w:u w:val="single"/>
        </w:rPr>
      </w:pPr>
      <w:r w:rsidRPr="00BF5CF7">
        <w:rPr>
          <w:sz w:val="24"/>
          <w:szCs w:val="24"/>
          <w:u w:val="single"/>
        </w:rPr>
        <w:t xml:space="preserve">Un appariement flexible : le </w:t>
      </w:r>
      <w:proofErr w:type="spellStart"/>
      <w:r w:rsidRPr="00BF5CF7">
        <w:rPr>
          <w:sz w:val="24"/>
          <w:szCs w:val="24"/>
          <w:u w:val="single"/>
        </w:rPr>
        <w:t>Wooble</w:t>
      </w:r>
      <w:proofErr w:type="spellEnd"/>
      <w:r>
        <w:rPr>
          <w:sz w:val="24"/>
          <w:szCs w:val="24"/>
          <w:u w:val="single"/>
        </w:rPr>
        <w:t>.</w:t>
      </w:r>
    </w:p>
    <w:p w14:paraId="5EE48419" w14:textId="77777777" w:rsidR="00BF5CF7" w:rsidRDefault="00BF5CF7" w:rsidP="00BF5CF7">
      <w:pPr>
        <w:jc w:val="center"/>
        <w:rPr>
          <w:color w:val="FF0000"/>
        </w:rPr>
      </w:pPr>
      <w:r w:rsidRPr="00BF5CF7">
        <w:rPr>
          <w:color w:val="FF0000"/>
        </w:rPr>
        <w:t xml:space="preserve">Le déchiffrage du code utilise le </w:t>
      </w:r>
      <w:proofErr w:type="spellStart"/>
      <w:r w:rsidRPr="00BF5CF7">
        <w:rPr>
          <w:color w:val="FF0000"/>
        </w:rPr>
        <w:t>Wooble</w:t>
      </w:r>
      <w:proofErr w:type="spellEnd"/>
      <w:r w:rsidRPr="00BF5CF7">
        <w:rPr>
          <w:color w:val="FF0000"/>
        </w:rPr>
        <w:t xml:space="preserve"> comme un appariement flexible.</w:t>
      </w:r>
    </w:p>
    <w:p w14:paraId="5BC17D5B" w14:textId="77777777" w:rsidR="00BF5CF7" w:rsidRDefault="00BF5CF7" w:rsidP="00BF5CF7">
      <w:pPr>
        <w:jc w:val="center"/>
        <w:rPr>
          <w:color w:val="FF0000"/>
        </w:rPr>
      </w:pPr>
      <w:r>
        <w:t>Cet appariement ne respecte pas le principe de complémentarité.</w:t>
      </w:r>
    </w:p>
    <w:p w14:paraId="507682CC" w14:textId="6D84AC64" w:rsidR="00BF5CF7" w:rsidRDefault="00BF5CF7" w:rsidP="00BF5CF7">
      <w:pPr>
        <w:jc w:val="center"/>
        <w:rPr>
          <w:color w:val="FF0000"/>
        </w:rPr>
      </w:pPr>
      <w:r>
        <w:t>Cependant, la règle de l’appariement entre une purine et une pyrimidine est dans la majorité des cas respectée.</w:t>
      </w:r>
    </w:p>
    <w:p w14:paraId="2AE33007" w14:textId="68B6345D" w:rsidR="00B62922" w:rsidRPr="00B62922" w:rsidRDefault="00BF5CF7" w:rsidP="00B62922">
      <w:pPr>
        <w:jc w:val="center"/>
      </w:pPr>
      <w:r>
        <w:t xml:space="preserve">Le </w:t>
      </w:r>
      <w:proofErr w:type="spellStart"/>
      <w:r>
        <w:t>Wooble</w:t>
      </w:r>
      <w:proofErr w:type="spellEnd"/>
      <w:r>
        <w:t xml:space="preserve"> permet à l’anticodon d’un </w:t>
      </w:r>
      <w:proofErr w:type="spellStart"/>
      <w:r>
        <w:t>ARNt</w:t>
      </w:r>
      <w:proofErr w:type="spellEnd"/>
      <w:r>
        <w:t xml:space="preserve"> de s’apparier avec plusieurs codons qui spécifient le même acide aminé (codons synonymes) afin de réduire le nombre d’</w:t>
      </w:r>
      <w:proofErr w:type="spellStart"/>
      <w:r>
        <w:t>ARNt</w:t>
      </w:r>
      <w:proofErr w:type="spellEnd"/>
      <w:r>
        <w:t xml:space="preserve"> nécessaire à la traduction.</w:t>
      </w:r>
    </w:p>
    <w:p w14:paraId="2BD3AE90" w14:textId="3103B9FD" w:rsidR="00BF5CF7" w:rsidRDefault="00BF5CF7" w:rsidP="00BF5CF7">
      <w:pPr>
        <w:jc w:val="center"/>
        <w:rPr>
          <w:color w:val="FF0000"/>
        </w:rPr>
      </w:pPr>
      <w:r>
        <w:rPr>
          <w:noProof/>
        </w:rPr>
        <w:drawing>
          <wp:inline distT="0" distB="0" distL="0" distR="0" wp14:anchorId="024964C0" wp14:editId="54AAB8FF">
            <wp:extent cx="4941735" cy="2422387"/>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a:extLst>
                        <a:ext uri="{28A0092B-C50C-407E-A947-70E740481C1C}">
                          <a14:useLocalDpi xmlns:a14="http://schemas.microsoft.com/office/drawing/2010/main" val="0"/>
                        </a:ext>
                      </a:extLst>
                    </a:blip>
                    <a:stretch>
                      <a:fillRect/>
                    </a:stretch>
                  </pic:blipFill>
                  <pic:spPr>
                    <a:xfrm>
                      <a:off x="0" y="0"/>
                      <a:ext cx="4946977" cy="2424957"/>
                    </a:xfrm>
                    <a:prstGeom prst="rect">
                      <a:avLst/>
                    </a:prstGeom>
                  </pic:spPr>
                </pic:pic>
              </a:graphicData>
            </a:graphic>
          </wp:inline>
        </w:drawing>
      </w:r>
    </w:p>
    <w:p w14:paraId="7702EF74" w14:textId="77777777" w:rsidR="00B62922" w:rsidRDefault="00B62922" w:rsidP="00BF5CF7">
      <w:pPr>
        <w:jc w:val="center"/>
        <w:rPr>
          <w:color w:val="FF0000"/>
        </w:rPr>
      </w:pPr>
    </w:p>
    <w:p w14:paraId="1EA0A843" w14:textId="7D49DFE3" w:rsidR="00BF5CF7" w:rsidRDefault="00BF5CF7" w:rsidP="00BF5CF7">
      <w:pPr>
        <w:jc w:val="center"/>
        <w:rPr>
          <w:color w:val="FF0000"/>
        </w:rPr>
      </w:pPr>
    </w:p>
    <w:p w14:paraId="161EFE14" w14:textId="46A93F75" w:rsidR="00BF5CF7" w:rsidRDefault="00BF5CF7" w:rsidP="00B62922">
      <w:pPr>
        <w:pStyle w:val="Paragraphedeliste"/>
        <w:numPr>
          <w:ilvl w:val="0"/>
          <w:numId w:val="3"/>
        </w:numPr>
        <w:rPr>
          <w:color w:val="000000" w:themeColor="text1"/>
          <w:sz w:val="24"/>
          <w:szCs w:val="24"/>
          <w:u w:val="single"/>
        </w:rPr>
      </w:pPr>
      <w:r w:rsidRPr="00B62922">
        <w:rPr>
          <w:color w:val="000000" w:themeColor="text1"/>
          <w:sz w:val="24"/>
          <w:szCs w:val="24"/>
          <w:u w:val="single"/>
        </w:rPr>
        <w:lastRenderedPageBreak/>
        <w:t>Déroulement de la traduction</w:t>
      </w:r>
      <w:r w:rsidR="00B62922" w:rsidRPr="00B62922">
        <w:rPr>
          <w:color w:val="000000" w:themeColor="text1"/>
          <w:sz w:val="24"/>
          <w:szCs w:val="24"/>
          <w:u w:val="single"/>
        </w:rPr>
        <w:t>.</w:t>
      </w:r>
    </w:p>
    <w:p w14:paraId="65F45154" w14:textId="161E9C5F" w:rsidR="00B62922" w:rsidRPr="00B62922" w:rsidRDefault="00B62922" w:rsidP="00B62922">
      <w:pPr>
        <w:jc w:val="center"/>
        <w:rPr>
          <w:color w:val="000000" w:themeColor="text1"/>
          <w:sz w:val="24"/>
          <w:szCs w:val="24"/>
          <w:u w:val="single"/>
        </w:rPr>
      </w:pPr>
      <w:r w:rsidRPr="00B62922">
        <w:rPr>
          <w:sz w:val="24"/>
          <w:szCs w:val="24"/>
          <w:u w:val="single"/>
        </w:rPr>
        <w:t>La traduction se fait en 3 phases</w:t>
      </w:r>
      <w:r>
        <w:rPr>
          <w:sz w:val="24"/>
          <w:szCs w:val="24"/>
          <w:u w:val="single"/>
        </w:rPr>
        <w:t>.</w:t>
      </w:r>
    </w:p>
    <w:tbl>
      <w:tblPr>
        <w:tblStyle w:val="Grilledutableau"/>
        <w:tblW w:w="0" w:type="auto"/>
        <w:tblLook w:val="04A0" w:firstRow="1" w:lastRow="0" w:firstColumn="1" w:lastColumn="0" w:noHBand="0" w:noVBand="1"/>
      </w:tblPr>
      <w:tblGrid>
        <w:gridCol w:w="4531"/>
        <w:gridCol w:w="4531"/>
      </w:tblGrid>
      <w:tr w:rsidR="00B62922" w14:paraId="70EB2964" w14:textId="77777777" w:rsidTr="005328EF">
        <w:tc>
          <w:tcPr>
            <w:tcW w:w="4531" w:type="dxa"/>
          </w:tcPr>
          <w:p w14:paraId="4E362705" w14:textId="1378A106" w:rsidR="00B62922" w:rsidRPr="00B3166C" w:rsidRDefault="00B62922" w:rsidP="005328EF">
            <w:pPr>
              <w:jc w:val="center"/>
            </w:pPr>
            <w:r>
              <w:t>La phase d’initiation</w:t>
            </w:r>
          </w:p>
        </w:tc>
        <w:tc>
          <w:tcPr>
            <w:tcW w:w="4531" w:type="dxa"/>
          </w:tcPr>
          <w:p w14:paraId="0E83CA0E" w14:textId="0FEC599A" w:rsidR="00B62922" w:rsidRPr="00072385" w:rsidRDefault="00B62922" w:rsidP="005328EF">
            <w:pPr>
              <w:jc w:val="center"/>
              <w:rPr>
                <w:sz w:val="24"/>
                <w:szCs w:val="24"/>
              </w:rPr>
            </w:pPr>
            <w:r>
              <w:t>Elle aboutit à l’assemblage du ribosome complet sur l’ARNm au niveau du Codon Start AUG qui indique le début de la séquence codante à traduire.</w:t>
            </w:r>
          </w:p>
        </w:tc>
      </w:tr>
      <w:tr w:rsidR="00B62922" w14:paraId="054A33F2" w14:textId="77777777" w:rsidTr="005328EF">
        <w:tc>
          <w:tcPr>
            <w:tcW w:w="4531" w:type="dxa"/>
          </w:tcPr>
          <w:p w14:paraId="31210264" w14:textId="47D04BAC" w:rsidR="00B62922" w:rsidRDefault="00B62922" w:rsidP="00B62922">
            <w:pPr>
              <w:tabs>
                <w:tab w:val="left" w:pos="1478"/>
              </w:tabs>
              <w:jc w:val="center"/>
            </w:pPr>
            <w:r>
              <w:t>La phase d’élongation</w:t>
            </w:r>
          </w:p>
        </w:tc>
        <w:tc>
          <w:tcPr>
            <w:tcW w:w="4531" w:type="dxa"/>
          </w:tcPr>
          <w:p w14:paraId="5A658FCB" w14:textId="35BB0F73" w:rsidR="00B62922" w:rsidRDefault="00B62922" w:rsidP="005328EF">
            <w:pPr>
              <w:jc w:val="center"/>
            </w:pPr>
            <w:r>
              <w:t xml:space="preserve">Elle correspond au déplacement du ribosome sur l’ARNm de codon en codon selon le cadre de lecture jusqu’au Codon Stop d’arrêt de la traduction. A chaque codon, un nouvel acide aminé apporté par un </w:t>
            </w:r>
            <w:proofErr w:type="spellStart"/>
            <w:r>
              <w:t>ARNt</w:t>
            </w:r>
            <w:proofErr w:type="spellEnd"/>
            <w:r>
              <w:t xml:space="preserve"> est incorporé au peptide en cours de synthèse par formation d’une liaison peptidique.</w:t>
            </w:r>
          </w:p>
        </w:tc>
      </w:tr>
      <w:tr w:rsidR="00B62922" w14:paraId="0446E64C" w14:textId="77777777" w:rsidTr="005328EF">
        <w:tc>
          <w:tcPr>
            <w:tcW w:w="4531" w:type="dxa"/>
          </w:tcPr>
          <w:p w14:paraId="089FC4E9" w14:textId="0FFCD5E6" w:rsidR="00B62922" w:rsidRDefault="00B62922" w:rsidP="005328EF">
            <w:pPr>
              <w:jc w:val="center"/>
            </w:pPr>
            <w:r>
              <w:t>La phase de terminaison</w:t>
            </w:r>
          </w:p>
        </w:tc>
        <w:tc>
          <w:tcPr>
            <w:tcW w:w="4531" w:type="dxa"/>
          </w:tcPr>
          <w:p w14:paraId="7451E18D" w14:textId="47DDBC85" w:rsidR="00B62922" w:rsidRDefault="00B62922" w:rsidP="005328EF">
            <w:pPr>
              <w:jc w:val="center"/>
            </w:pPr>
            <w:r>
              <w:t>Elle correspond à la fin de la traduction avec libération de la protéine complète.</w:t>
            </w:r>
          </w:p>
        </w:tc>
      </w:tr>
    </w:tbl>
    <w:p w14:paraId="15634B84" w14:textId="7EFFDEAC" w:rsidR="00B62922" w:rsidRDefault="00B62922" w:rsidP="00B62922">
      <w:pPr>
        <w:rPr>
          <w:color w:val="000000" w:themeColor="text1"/>
          <w:sz w:val="24"/>
          <w:szCs w:val="24"/>
          <w:u w:val="single"/>
        </w:rPr>
      </w:pPr>
    </w:p>
    <w:p w14:paraId="390E7694" w14:textId="1E1D2EC9" w:rsidR="00B62922" w:rsidRDefault="00286DFA" w:rsidP="00B62922">
      <w:pPr>
        <w:rPr>
          <w:color w:val="000000" w:themeColor="text1"/>
          <w:sz w:val="24"/>
          <w:szCs w:val="24"/>
          <w:u w:val="single"/>
        </w:rPr>
      </w:pPr>
      <w:r>
        <w:rPr>
          <w:noProof/>
          <w:color w:val="000000" w:themeColor="text1"/>
          <w:sz w:val="24"/>
          <w:szCs w:val="24"/>
          <w:u w:val="single"/>
        </w:rPr>
        <mc:AlternateContent>
          <mc:Choice Requires="wps">
            <w:drawing>
              <wp:anchor distT="0" distB="0" distL="114300" distR="114300" simplePos="0" relativeHeight="251665408" behindDoc="0" locked="0" layoutInCell="1" allowOverlap="1" wp14:anchorId="60989D40" wp14:editId="7D523B03">
                <wp:simplePos x="0" y="0"/>
                <wp:positionH relativeFrom="column">
                  <wp:posOffset>-128518</wp:posOffset>
                </wp:positionH>
                <wp:positionV relativeFrom="paragraph">
                  <wp:posOffset>93235</wp:posOffset>
                </wp:positionV>
                <wp:extent cx="5978911" cy="4842344"/>
                <wp:effectExtent l="0" t="0" r="22225" b="15875"/>
                <wp:wrapNone/>
                <wp:docPr id="7" name="Rectangle 7"/>
                <wp:cNvGraphicFramePr/>
                <a:graphic xmlns:a="http://schemas.openxmlformats.org/drawingml/2006/main">
                  <a:graphicData uri="http://schemas.microsoft.com/office/word/2010/wordprocessingShape">
                    <wps:wsp>
                      <wps:cNvSpPr/>
                      <wps:spPr>
                        <a:xfrm>
                          <a:off x="0" y="0"/>
                          <a:ext cx="5978911" cy="484234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ECD63" id="Rectangle 7" o:spid="_x0000_s1026" style="position:absolute;margin-left:-10.1pt;margin-top:7.35pt;width:470.8pt;height:38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" filled="f" strokecolor="#1f3763 [1604]" strokeweight="1pt"/>
            </w:pict>
          </mc:Fallback>
        </mc:AlternateContent>
      </w:r>
    </w:p>
    <w:p w14:paraId="4450350A" w14:textId="7AE7DC9C" w:rsidR="00B62922" w:rsidRPr="00B62922" w:rsidRDefault="00B62922" w:rsidP="00B62922">
      <w:pPr>
        <w:jc w:val="center"/>
        <w:rPr>
          <w:color w:val="FF0000"/>
          <w:sz w:val="24"/>
          <w:szCs w:val="24"/>
        </w:rPr>
      </w:pPr>
      <w:r w:rsidRPr="00B62922">
        <w:rPr>
          <w:color w:val="FF0000"/>
          <w:sz w:val="24"/>
          <w:szCs w:val="24"/>
        </w:rPr>
        <w:t>1</w:t>
      </w:r>
      <w:r w:rsidRPr="00B62922">
        <w:rPr>
          <w:color w:val="FF0000"/>
          <w:sz w:val="24"/>
          <w:szCs w:val="24"/>
          <w:vertAlign w:val="superscript"/>
        </w:rPr>
        <w:t>ère</w:t>
      </w:r>
      <w:r w:rsidRPr="00B62922">
        <w:rPr>
          <w:color w:val="FF0000"/>
          <w:sz w:val="24"/>
          <w:szCs w:val="24"/>
        </w:rPr>
        <w:t xml:space="preserve"> étape : La phase d’initiation comprend deux étapes</w:t>
      </w:r>
      <w:r>
        <w:rPr>
          <w:color w:val="FF0000"/>
          <w:sz w:val="24"/>
          <w:szCs w:val="24"/>
        </w:rPr>
        <w:t>.</w:t>
      </w:r>
    </w:p>
    <w:tbl>
      <w:tblPr>
        <w:tblStyle w:val="Grilledutableau"/>
        <w:tblW w:w="0" w:type="auto"/>
        <w:tblLook w:val="04A0" w:firstRow="1" w:lastRow="0" w:firstColumn="1" w:lastColumn="0" w:noHBand="0" w:noVBand="1"/>
      </w:tblPr>
      <w:tblGrid>
        <w:gridCol w:w="4531"/>
        <w:gridCol w:w="4531"/>
      </w:tblGrid>
      <w:tr w:rsidR="00B62922" w14:paraId="04FC3BB9" w14:textId="77777777" w:rsidTr="005328EF">
        <w:tc>
          <w:tcPr>
            <w:tcW w:w="4531" w:type="dxa"/>
          </w:tcPr>
          <w:p w14:paraId="59AF06F8" w14:textId="3FC2F985" w:rsidR="00B62922" w:rsidRPr="00B3166C" w:rsidRDefault="00B62922" w:rsidP="005328EF">
            <w:pPr>
              <w:jc w:val="center"/>
            </w:pPr>
            <w:r>
              <w:t>L’assemblage d’un complexe de pré-initiation sur l’ARNm</w:t>
            </w:r>
          </w:p>
        </w:tc>
        <w:tc>
          <w:tcPr>
            <w:tcW w:w="4531" w:type="dxa"/>
          </w:tcPr>
          <w:p w14:paraId="2AAB3425" w14:textId="65FEADAB" w:rsidR="00B62922" w:rsidRPr="00072385" w:rsidRDefault="00B62922" w:rsidP="005328EF">
            <w:pPr>
              <w:jc w:val="center"/>
              <w:rPr>
                <w:sz w:val="24"/>
                <w:szCs w:val="24"/>
              </w:rPr>
            </w:pPr>
            <w:r>
              <w:t>Il se forme au niveau du Codon Start chez les procaryotes et en amont chez les eucaryotes. Il comprend notamment la petite sous-unité et l’ARN de transfert initiateur portant la méthionine.</w:t>
            </w:r>
          </w:p>
        </w:tc>
      </w:tr>
      <w:tr w:rsidR="00B62922" w14:paraId="79BE354D" w14:textId="77777777" w:rsidTr="005328EF">
        <w:tc>
          <w:tcPr>
            <w:tcW w:w="4531" w:type="dxa"/>
          </w:tcPr>
          <w:p w14:paraId="3D9367E6" w14:textId="77777777" w:rsidR="00B62922" w:rsidRDefault="00B62922" w:rsidP="00B62922">
            <w:pPr>
              <w:jc w:val="center"/>
            </w:pPr>
            <w:r>
              <w:t>L’assemblage du ribosome complet au niveau du Codon Start.</w:t>
            </w:r>
          </w:p>
          <w:p w14:paraId="5B8BD83C" w14:textId="53A35F7F" w:rsidR="00B62922" w:rsidRDefault="00B62922" w:rsidP="00B62922">
            <w:pPr>
              <w:tabs>
                <w:tab w:val="left" w:pos="1478"/>
              </w:tabs>
            </w:pPr>
          </w:p>
        </w:tc>
        <w:tc>
          <w:tcPr>
            <w:tcW w:w="4531" w:type="dxa"/>
          </w:tcPr>
          <w:p w14:paraId="7D1F1C81" w14:textId="5BC19821" w:rsidR="00B62922" w:rsidRDefault="00B62922" w:rsidP="00B62922">
            <w:pPr>
              <w:jc w:val="center"/>
            </w:pPr>
            <w:r>
              <w:t xml:space="preserve">Il nécessite le déplacement du complexe de </w:t>
            </w:r>
            <w:proofErr w:type="spellStart"/>
            <w:r>
              <w:t>préinitiation</w:t>
            </w:r>
            <w:proofErr w:type="spellEnd"/>
            <w:r>
              <w:t xml:space="preserve"> sur l’ARNm chez les eucaryotes. A ce stade, l’ARN de transfert initiateur et la méthionine sont positionnés au site P du ribosome.</w:t>
            </w:r>
          </w:p>
          <w:p w14:paraId="239FBC65" w14:textId="2D9582A4" w:rsidR="00B62922" w:rsidRDefault="00B62922" w:rsidP="00B62922">
            <w:pPr>
              <w:jc w:val="center"/>
            </w:pPr>
          </w:p>
          <w:p w14:paraId="1EF36033" w14:textId="055B88E7" w:rsidR="00B62922" w:rsidRDefault="00B62922" w:rsidP="005328EF">
            <w:pPr>
              <w:jc w:val="center"/>
            </w:pPr>
          </w:p>
        </w:tc>
      </w:tr>
    </w:tbl>
    <w:p w14:paraId="6EBBB0AD" w14:textId="77777777" w:rsidR="00B62922" w:rsidRDefault="00B62922" w:rsidP="00B62922">
      <w:pPr>
        <w:rPr>
          <w:color w:val="000000" w:themeColor="text1"/>
          <w:sz w:val="24"/>
          <w:szCs w:val="24"/>
          <w:u w:val="single"/>
        </w:rPr>
      </w:pPr>
    </w:p>
    <w:p w14:paraId="23CE197E" w14:textId="2E020EC8" w:rsidR="00B62922" w:rsidRDefault="00B62922" w:rsidP="00B62922">
      <w:pPr>
        <w:jc w:val="center"/>
        <w:rPr>
          <w:color w:val="000000" w:themeColor="text1"/>
          <w:sz w:val="24"/>
          <w:szCs w:val="24"/>
          <w:u w:val="single"/>
        </w:rPr>
      </w:pPr>
      <w:r>
        <w:rPr>
          <w:noProof/>
        </w:rPr>
        <w:drawing>
          <wp:inline distT="0" distB="0" distL="0" distR="0" wp14:anchorId="1FFDCD86" wp14:editId="05CAA6B7">
            <wp:extent cx="5055014" cy="184939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75599" cy="1856926"/>
                    </a:xfrm>
                    <a:prstGeom prst="rect">
                      <a:avLst/>
                    </a:prstGeom>
                  </pic:spPr>
                </pic:pic>
              </a:graphicData>
            </a:graphic>
          </wp:inline>
        </w:drawing>
      </w:r>
    </w:p>
    <w:p w14:paraId="5F11FEB0" w14:textId="416EC6C5" w:rsidR="00B62922" w:rsidRDefault="00B62922" w:rsidP="00B62922">
      <w:pPr>
        <w:jc w:val="center"/>
        <w:rPr>
          <w:color w:val="FF0000"/>
          <w:sz w:val="24"/>
          <w:szCs w:val="24"/>
        </w:rPr>
      </w:pPr>
    </w:p>
    <w:p w14:paraId="3C91EF6E" w14:textId="77777777" w:rsidR="00B62922" w:rsidRDefault="00B62922" w:rsidP="00B62922">
      <w:pPr>
        <w:jc w:val="center"/>
        <w:rPr>
          <w:color w:val="FF0000"/>
          <w:sz w:val="24"/>
          <w:szCs w:val="24"/>
        </w:rPr>
      </w:pPr>
    </w:p>
    <w:p w14:paraId="6EBD64E8" w14:textId="77777777" w:rsidR="00B62922" w:rsidRDefault="00B62922" w:rsidP="00B62922">
      <w:pPr>
        <w:rPr>
          <w:color w:val="FF0000"/>
          <w:sz w:val="24"/>
          <w:szCs w:val="24"/>
        </w:rPr>
      </w:pPr>
    </w:p>
    <w:p w14:paraId="151626D8" w14:textId="0293E549" w:rsidR="00B62922" w:rsidRDefault="00286DFA" w:rsidP="00B62922">
      <w:pPr>
        <w:jc w:val="center"/>
        <w:rPr>
          <w:color w:val="FF0000"/>
          <w:sz w:val="24"/>
          <w:szCs w:val="24"/>
        </w:rPr>
      </w:pPr>
      <w:r>
        <w:rPr>
          <w:noProof/>
          <w:color w:val="000000" w:themeColor="text1"/>
          <w:sz w:val="24"/>
          <w:szCs w:val="24"/>
          <w:u w:val="single"/>
        </w:rPr>
        <w:lastRenderedPageBreak/>
        <mc:AlternateContent>
          <mc:Choice Requires="wps">
            <w:drawing>
              <wp:anchor distT="0" distB="0" distL="114300" distR="114300" simplePos="0" relativeHeight="251667456" behindDoc="0" locked="0" layoutInCell="1" allowOverlap="1" wp14:anchorId="7ECFE2C7" wp14:editId="37CA7C7B">
                <wp:simplePos x="0" y="0"/>
                <wp:positionH relativeFrom="column">
                  <wp:posOffset>-112616</wp:posOffset>
                </wp:positionH>
                <wp:positionV relativeFrom="paragraph">
                  <wp:posOffset>-152372</wp:posOffset>
                </wp:positionV>
                <wp:extent cx="5979353" cy="3649289"/>
                <wp:effectExtent l="0" t="0" r="21590" b="27940"/>
                <wp:wrapNone/>
                <wp:docPr id="10" name="Rectangle 10"/>
                <wp:cNvGraphicFramePr/>
                <a:graphic xmlns:a="http://schemas.openxmlformats.org/drawingml/2006/main">
                  <a:graphicData uri="http://schemas.microsoft.com/office/word/2010/wordprocessingShape">
                    <wps:wsp>
                      <wps:cNvSpPr/>
                      <wps:spPr>
                        <a:xfrm>
                          <a:off x="0" y="0"/>
                          <a:ext cx="5979353" cy="36492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A40AC2" id="Rectangle 10" o:spid="_x0000_s1026" style="position:absolute;margin-left:-8.85pt;margin-top:-12pt;width:470.8pt;height:287.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" filled="f" strokecolor="#1f3763 [1604]" strokeweight="1pt"/>
            </w:pict>
          </mc:Fallback>
        </mc:AlternateContent>
      </w:r>
      <w:r w:rsidR="00B62922" w:rsidRPr="00B62922">
        <w:rPr>
          <w:color w:val="FF0000"/>
          <w:sz w:val="24"/>
          <w:szCs w:val="24"/>
        </w:rPr>
        <w:t>2</w:t>
      </w:r>
      <w:r w:rsidR="00B62922" w:rsidRPr="00B62922">
        <w:rPr>
          <w:color w:val="FF0000"/>
          <w:sz w:val="24"/>
          <w:szCs w:val="24"/>
          <w:vertAlign w:val="superscript"/>
        </w:rPr>
        <w:t>ème</w:t>
      </w:r>
      <w:r w:rsidR="00B62922" w:rsidRPr="00B62922">
        <w:rPr>
          <w:color w:val="FF0000"/>
          <w:sz w:val="24"/>
          <w:szCs w:val="24"/>
        </w:rPr>
        <w:t xml:space="preserve"> étape : La phase d’élongation : une succession de cycles</w:t>
      </w:r>
      <w:r w:rsidR="00B62922">
        <w:rPr>
          <w:color w:val="FF0000"/>
          <w:sz w:val="24"/>
          <w:szCs w:val="24"/>
        </w:rPr>
        <w:t>.</w:t>
      </w:r>
    </w:p>
    <w:p w14:paraId="1EBE1CEE" w14:textId="77777777" w:rsidR="00B62922" w:rsidRPr="00B62922" w:rsidRDefault="00B62922" w:rsidP="00B62922">
      <w:pPr>
        <w:jc w:val="center"/>
        <w:rPr>
          <w:sz w:val="24"/>
          <w:szCs w:val="24"/>
        </w:rPr>
      </w:pPr>
      <w:r w:rsidRPr="00B62922">
        <w:rPr>
          <w:sz w:val="24"/>
          <w:szCs w:val="24"/>
        </w:rPr>
        <w:t>Si l’appariement codon-anticodon est correct, alors le peptide est transféré sur l’acide aminé par la formation d’une liaison peptidique.</w:t>
      </w:r>
    </w:p>
    <w:p w14:paraId="7E689B17" w14:textId="77777777" w:rsidR="00B62922" w:rsidRPr="00B62922" w:rsidRDefault="00B62922" w:rsidP="00B62922">
      <w:pPr>
        <w:jc w:val="center"/>
        <w:rPr>
          <w:sz w:val="24"/>
          <w:szCs w:val="24"/>
        </w:rPr>
      </w:pPr>
      <w:r w:rsidRPr="00B62922">
        <w:rPr>
          <w:sz w:val="24"/>
          <w:szCs w:val="24"/>
        </w:rPr>
        <w:t>Puis, le ribosome se déplace d’un codon. Le peptide allongé d’un acide aminé revient au site (P) et l’</w:t>
      </w:r>
      <w:proofErr w:type="spellStart"/>
      <w:r w:rsidRPr="00B62922">
        <w:rPr>
          <w:sz w:val="24"/>
          <w:szCs w:val="24"/>
        </w:rPr>
        <w:t>ARNt</w:t>
      </w:r>
      <w:proofErr w:type="spellEnd"/>
      <w:r w:rsidRPr="00B62922">
        <w:rPr>
          <w:sz w:val="24"/>
          <w:szCs w:val="24"/>
        </w:rPr>
        <w:t xml:space="preserve"> déchargé passe au site (E) et est éjecté.</w:t>
      </w:r>
    </w:p>
    <w:p w14:paraId="0E12D03F" w14:textId="7F1BA052" w:rsidR="00B62922" w:rsidRDefault="00B62922" w:rsidP="00B62922">
      <w:pPr>
        <w:jc w:val="center"/>
        <w:rPr>
          <w:sz w:val="24"/>
          <w:szCs w:val="24"/>
        </w:rPr>
      </w:pPr>
      <w:r w:rsidRPr="00B62922">
        <w:rPr>
          <w:sz w:val="24"/>
          <w:szCs w:val="24"/>
        </w:rPr>
        <w:t xml:space="preserve">Le cycle recommence ainsi par arrivée au site (A) ribosomial d’un nouvel </w:t>
      </w:r>
      <w:proofErr w:type="spellStart"/>
      <w:r w:rsidRPr="00B62922">
        <w:rPr>
          <w:sz w:val="24"/>
          <w:szCs w:val="24"/>
        </w:rPr>
        <w:t>ARNt</w:t>
      </w:r>
      <w:proofErr w:type="spellEnd"/>
      <w:r w:rsidRPr="00B62922">
        <w:rPr>
          <w:sz w:val="24"/>
          <w:szCs w:val="24"/>
        </w:rPr>
        <w:t xml:space="preserve"> chargé d’un AA.</w:t>
      </w:r>
    </w:p>
    <w:p w14:paraId="61E27887" w14:textId="4D7A5CAE" w:rsidR="00B62922" w:rsidRPr="00B62922" w:rsidRDefault="00B62922" w:rsidP="00B62922">
      <w:pPr>
        <w:jc w:val="center"/>
        <w:rPr>
          <w:sz w:val="24"/>
          <w:szCs w:val="24"/>
        </w:rPr>
      </w:pPr>
      <w:r>
        <w:rPr>
          <w:noProof/>
        </w:rPr>
        <w:drawing>
          <wp:inline distT="0" distB="0" distL="0" distR="0" wp14:anchorId="6A42663C" wp14:editId="556B05F8">
            <wp:extent cx="2877306" cy="1443135"/>
            <wp:effectExtent l="0" t="0" r="0" b="5080"/>
            <wp:docPr id="5" name="Image 5" descr="Une image contenant appareil&#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appareil&#10;&#10;Description générée automatiquement"/>
                    <pic:cNvPicPr/>
                  </pic:nvPicPr>
                  <pic:blipFill>
                    <a:blip r:embed="rId14"/>
                    <a:stretch>
                      <a:fillRect/>
                    </a:stretch>
                  </pic:blipFill>
                  <pic:spPr>
                    <a:xfrm>
                      <a:off x="0" y="0"/>
                      <a:ext cx="2887569" cy="1448282"/>
                    </a:xfrm>
                    <a:prstGeom prst="rect">
                      <a:avLst/>
                    </a:prstGeom>
                  </pic:spPr>
                </pic:pic>
              </a:graphicData>
            </a:graphic>
          </wp:inline>
        </w:drawing>
      </w:r>
    </w:p>
    <w:p w14:paraId="396FB313" w14:textId="15B1B342" w:rsidR="00B62922" w:rsidRDefault="00286DFA" w:rsidP="00B62922">
      <w:r>
        <w:rPr>
          <w:noProof/>
          <w:color w:val="000000" w:themeColor="text1"/>
          <w:sz w:val="24"/>
          <w:szCs w:val="24"/>
          <w:u w:val="single"/>
        </w:rPr>
        <mc:AlternateContent>
          <mc:Choice Requires="wps">
            <w:drawing>
              <wp:anchor distT="0" distB="0" distL="114300" distR="114300" simplePos="0" relativeHeight="251669504" behindDoc="0" locked="0" layoutInCell="1" allowOverlap="1" wp14:anchorId="6AA3FF9D" wp14:editId="3FE6D0E8">
                <wp:simplePos x="0" y="0"/>
                <wp:positionH relativeFrom="column">
                  <wp:posOffset>-112616</wp:posOffset>
                </wp:positionH>
                <wp:positionV relativeFrom="paragraph">
                  <wp:posOffset>281912</wp:posOffset>
                </wp:positionV>
                <wp:extent cx="5978718" cy="3624387"/>
                <wp:effectExtent l="0" t="0" r="22225" b="14605"/>
                <wp:wrapNone/>
                <wp:docPr id="13" name="Rectangle 13"/>
                <wp:cNvGraphicFramePr/>
                <a:graphic xmlns:a="http://schemas.openxmlformats.org/drawingml/2006/main">
                  <a:graphicData uri="http://schemas.microsoft.com/office/word/2010/wordprocessingShape">
                    <wps:wsp>
                      <wps:cNvSpPr/>
                      <wps:spPr>
                        <a:xfrm>
                          <a:off x="0" y="0"/>
                          <a:ext cx="5978718" cy="362438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86D10" id="Rectangle 13" o:spid="_x0000_s1026" style="position:absolute;margin-left:-8.85pt;margin-top:22.2pt;width:470.75pt;height:28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" filled="f" strokecolor="#1f3763 [1604]" strokeweight="1pt"/>
            </w:pict>
          </mc:Fallback>
        </mc:AlternateContent>
      </w:r>
    </w:p>
    <w:p w14:paraId="623A5326" w14:textId="2921EDEF" w:rsidR="00B62922" w:rsidRDefault="00B62922" w:rsidP="00B62922"/>
    <w:p w14:paraId="23B9527F" w14:textId="15D5C4AD" w:rsidR="00B62922" w:rsidRDefault="00B62922" w:rsidP="00B62922">
      <w:pPr>
        <w:jc w:val="center"/>
        <w:rPr>
          <w:color w:val="FF0000"/>
          <w:sz w:val="24"/>
          <w:szCs w:val="24"/>
        </w:rPr>
      </w:pPr>
      <w:r w:rsidRPr="00B62922">
        <w:rPr>
          <w:color w:val="FF0000"/>
          <w:sz w:val="24"/>
          <w:szCs w:val="24"/>
        </w:rPr>
        <w:t>3</w:t>
      </w:r>
      <w:r w:rsidRPr="00B62922">
        <w:rPr>
          <w:color w:val="FF0000"/>
          <w:sz w:val="24"/>
          <w:szCs w:val="24"/>
          <w:vertAlign w:val="superscript"/>
        </w:rPr>
        <w:t>ème</w:t>
      </w:r>
      <w:r w:rsidRPr="00B62922">
        <w:rPr>
          <w:color w:val="FF0000"/>
          <w:sz w:val="24"/>
          <w:szCs w:val="24"/>
        </w:rPr>
        <w:t xml:space="preserve"> étape : La phase de terminaison correspond à l’arrêt de la traduction</w:t>
      </w:r>
      <w:r>
        <w:rPr>
          <w:color w:val="FF0000"/>
          <w:sz w:val="24"/>
          <w:szCs w:val="24"/>
        </w:rPr>
        <w:t>.</w:t>
      </w:r>
    </w:p>
    <w:p w14:paraId="6871AE8B" w14:textId="72217646" w:rsidR="00B62922" w:rsidRPr="00B62922" w:rsidRDefault="00B62922" w:rsidP="00B62922">
      <w:pPr>
        <w:jc w:val="center"/>
        <w:rPr>
          <w:sz w:val="24"/>
          <w:szCs w:val="24"/>
        </w:rPr>
      </w:pPr>
      <w:r w:rsidRPr="00B62922">
        <w:rPr>
          <w:sz w:val="24"/>
          <w:szCs w:val="24"/>
        </w:rPr>
        <w:t>Elle s’achève lorsque le ribosome rencontre un Codon Stop</w:t>
      </w:r>
      <w:r>
        <w:rPr>
          <w:sz w:val="24"/>
          <w:szCs w:val="24"/>
        </w:rPr>
        <w:t>.</w:t>
      </w:r>
    </w:p>
    <w:p w14:paraId="6C41FD5C" w14:textId="08C344B5" w:rsidR="00B62922" w:rsidRPr="00B62922" w:rsidRDefault="00B62922" w:rsidP="00B62922">
      <w:pPr>
        <w:jc w:val="center"/>
        <w:rPr>
          <w:sz w:val="24"/>
          <w:szCs w:val="24"/>
        </w:rPr>
      </w:pPr>
      <w:r w:rsidRPr="00B62922">
        <w:rPr>
          <w:sz w:val="24"/>
          <w:szCs w:val="24"/>
        </w:rPr>
        <w:t>Il n’existe pas d’</w:t>
      </w:r>
      <w:proofErr w:type="spellStart"/>
      <w:r w:rsidRPr="00B62922">
        <w:rPr>
          <w:sz w:val="24"/>
          <w:szCs w:val="24"/>
        </w:rPr>
        <w:t>ARNt</w:t>
      </w:r>
      <w:proofErr w:type="spellEnd"/>
      <w:r w:rsidRPr="00B62922">
        <w:rPr>
          <w:sz w:val="24"/>
          <w:szCs w:val="24"/>
        </w:rPr>
        <w:t xml:space="preserve"> spécifique aux Codons Stop</w:t>
      </w:r>
      <w:r>
        <w:rPr>
          <w:sz w:val="24"/>
          <w:szCs w:val="24"/>
        </w:rPr>
        <w:t>.</w:t>
      </w:r>
    </w:p>
    <w:p w14:paraId="3AA19DB8" w14:textId="77777777" w:rsidR="00B62922" w:rsidRPr="00B62922" w:rsidRDefault="00B62922" w:rsidP="00B62922">
      <w:pPr>
        <w:jc w:val="center"/>
        <w:rPr>
          <w:sz w:val="24"/>
          <w:szCs w:val="24"/>
        </w:rPr>
      </w:pPr>
      <w:r w:rsidRPr="00B62922">
        <w:rPr>
          <w:sz w:val="24"/>
          <w:szCs w:val="24"/>
        </w:rPr>
        <w:t>Une protéine appelée facteur de terminaison va se positionner au niveau du site (A), la protéine va être libérée et le ribosome va se dissocier pour participer éventuellement à un cycle de traduction.</w:t>
      </w:r>
    </w:p>
    <w:p w14:paraId="44E6E1CF" w14:textId="1E3CBC3A" w:rsidR="00B62922" w:rsidRPr="00B62922" w:rsidRDefault="00286DFA" w:rsidP="00B62922">
      <w:pPr>
        <w:jc w:val="center"/>
        <w:rPr>
          <w:color w:val="FF0000"/>
          <w:sz w:val="24"/>
          <w:szCs w:val="24"/>
        </w:rPr>
      </w:pPr>
      <w:r>
        <w:rPr>
          <w:noProof/>
        </w:rPr>
        <w:drawing>
          <wp:inline distT="0" distB="0" distL="0" distR="0" wp14:anchorId="1B0DACE1" wp14:editId="76ADE2DD">
            <wp:extent cx="4341847" cy="1724274"/>
            <wp:effectExtent l="0" t="0" r="1905" b="9525"/>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45632" cy="1725777"/>
                    </a:xfrm>
                    <a:prstGeom prst="rect">
                      <a:avLst/>
                    </a:prstGeom>
                  </pic:spPr>
                </pic:pic>
              </a:graphicData>
            </a:graphic>
          </wp:inline>
        </w:drawing>
      </w:r>
    </w:p>
    <w:p w14:paraId="4056E6BE" w14:textId="77777777" w:rsidR="00286DFA" w:rsidRDefault="00286DFA" w:rsidP="00286DFA">
      <w:pPr>
        <w:jc w:val="center"/>
        <w:rPr>
          <w:sz w:val="24"/>
          <w:szCs w:val="24"/>
          <w:u w:val="single"/>
        </w:rPr>
      </w:pPr>
    </w:p>
    <w:p w14:paraId="60B8D7B7" w14:textId="77777777" w:rsidR="00286DFA" w:rsidRDefault="00286DFA" w:rsidP="00286DFA">
      <w:pPr>
        <w:jc w:val="center"/>
        <w:rPr>
          <w:sz w:val="24"/>
          <w:szCs w:val="24"/>
          <w:u w:val="single"/>
        </w:rPr>
      </w:pPr>
    </w:p>
    <w:p w14:paraId="46787BC0" w14:textId="77777777" w:rsidR="00286DFA" w:rsidRDefault="00286DFA" w:rsidP="00286DFA">
      <w:pPr>
        <w:jc w:val="center"/>
        <w:rPr>
          <w:sz w:val="24"/>
          <w:szCs w:val="24"/>
          <w:u w:val="single"/>
        </w:rPr>
      </w:pPr>
    </w:p>
    <w:p w14:paraId="3412BF38" w14:textId="77777777" w:rsidR="00286DFA" w:rsidRDefault="00286DFA" w:rsidP="00286DFA">
      <w:pPr>
        <w:jc w:val="center"/>
        <w:rPr>
          <w:sz w:val="24"/>
          <w:szCs w:val="24"/>
          <w:u w:val="single"/>
        </w:rPr>
      </w:pPr>
    </w:p>
    <w:p w14:paraId="4F704B26" w14:textId="77777777" w:rsidR="00286DFA" w:rsidRDefault="00286DFA" w:rsidP="00286DFA">
      <w:pPr>
        <w:jc w:val="center"/>
        <w:rPr>
          <w:sz w:val="24"/>
          <w:szCs w:val="24"/>
          <w:u w:val="single"/>
        </w:rPr>
      </w:pPr>
    </w:p>
    <w:p w14:paraId="3EA1FDEC" w14:textId="4E3E848F" w:rsidR="00286DFA" w:rsidRDefault="00286DFA" w:rsidP="00286DFA">
      <w:pPr>
        <w:jc w:val="center"/>
        <w:rPr>
          <w:sz w:val="24"/>
          <w:szCs w:val="24"/>
          <w:u w:val="single"/>
        </w:rPr>
      </w:pPr>
      <w:r w:rsidRPr="00286DFA">
        <w:rPr>
          <w:sz w:val="24"/>
          <w:szCs w:val="24"/>
          <w:u w:val="single"/>
        </w:rPr>
        <w:lastRenderedPageBreak/>
        <w:t>Un ARNm est traduit simultanément par plusieurs ribosomes</w:t>
      </w:r>
    </w:p>
    <w:p w14:paraId="3B5D7202" w14:textId="23F369EE" w:rsidR="00286DFA" w:rsidRPr="00286DFA" w:rsidRDefault="00286DFA" w:rsidP="00286DFA">
      <w:pPr>
        <w:jc w:val="center"/>
        <w:rPr>
          <w:sz w:val="24"/>
          <w:szCs w:val="24"/>
        </w:rPr>
      </w:pPr>
      <w:r w:rsidRPr="00286DFA">
        <w:rPr>
          <w:sz w:val="24"/>
          <w:szCs w:val="24"/>
        </w:rPr>
        <w:t xml:space="preserve">L’ensemble de l’ARNm – ribosomes forme un </w:t>
      </w:r>
      <w:r w:rsidRPr="00286DFA">
        <w:rPr>
          <w:b/>
          <w:bCs/>
          <w:sz w:val="24"/>
          <w:szCs w:val="24"/>
          <w:u w:val="single"/>
        </w:rPr>
        <w:t>polyribosome</w:t>
      </w:r>
      <w:r>
        <w:rPr>
          <w:sz w:val="24"/>
          <w:szCs w:val="24"/>
        </w:rPr>
        <w:t>.</w:t>
      </w:r>
      <w:r w:rsidRPr="00286DFA">
        <w:rPr>
          <w:sz w:val="24"/>
          <w:szCs w:val="24"/>
        </w:rPr>
        <w:t xml:space="preserve"> Il contient en permanence de nombreuses molécules en cours de synthèse. Ainsi, l’efficacité et la rapidité de la traduction sont accrues.</w:t>
      </w:r>
    </w:p>
    <w:p w14:paraId="15454D95" w14:textId="225F673F" w:rsidR="00B62922" w:rsidRPr="00B62922" w:rsidRDefault="00286DFA" w:rsidP="00B62922">
      <w:pPr>
        <w:jc w:val="center"/>
        <w:rPr>
          <w:color w:val="FF0000"/>
          <w:sz w:val="24"/>
          <w:szCs w:val="24"/>
          <w:u w:val="single"/>
        </w:rPr>
      </w:pPr>
      <w:r>
        <w:rPr>
          <w:noProof/>
        </w:rPr>
        <w:drawing>
          <wp:inline distT="0" distB="0" distL="0" distR="0" wp14:anchorId="41089D86" wp14:editId="028FFC05">
            <wp:extent cx="3124200" cy="182880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24200" cy="1828800"/>
                    </a:xfrm>
                    <a:prstGeom prst="rect">
                      <a:avLst/>
                    </a:prstGeom>
                  </pic:spPr>
                </pic:pic>
              </a:graphicData>
            </a:graphic>
          </wp:inline>
        </w:drawing>
      </w:r>
    </w:p>
    <w:sectPr w:rsidR="00B62922" w:rsidRPr="00B629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35604"/>
    <w:multiLevelType w:val="hybridMultilevel"/>
    <w:tmpl w:val="782EE946"/>
    <w:lvl w:ilvl="0" w:tplc="75AE2E8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7F42191"/>
    <w:multiLevelType w:val="hybridMultilevel"/>
    <w:tmpl w:val="0E5AF7AE"/>
    <w:lvl w:ilvl="0" w:tplc="FB40628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AF27115"/>
    <w:multiLevelType w:val="hybridMultilevel"/>
    <w:tmpl w:val="3D6E2BF2"/>
    <w:lvl w:ilvl="0" w:tplc="0D364C0E">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F9"/>
    <w:rsid w:val="0000458D"/>
    <w:rsid w:val="00072385"/>
    <w:rsid w:val="001306CC"/>
    <w:rsid w:val="00286DFA"/>
    <w:rsid w:val="00417123"/>
    <w:rsid w:val="00425CF9"/>
    <w:rsid w:val="00544F61"/>
    <w:rsid w:val="00577D58"/>
    <w:rsid w:val="00733730"/>
    <w:rsid w:val="00887FD7"/>
    <w:rsid w:val="00B3166C"/>
    <w:rsid w:val="00B62922"/>
    <w:rsid w:val="00BF5CF7"/>
    <w:rsid w:val="00CB59B8"/>
    <w:rsid w:val="00F70F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A4E3"/>
  <w15:chartTrackingRefBased/>
  <w15:docId w15:val="{D7440133-6DC9-4E01-879C-929342CD2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25CF9"/>
    <w:pPr>
      <w:ind w:left="720"/>
      <w:contextualSpacing/>
    </w:pPr>
  </w:style>
  <w:style w:type="table" w:styleId="Grilledutableau">
    <w:name w:val="Table Grid"/>
    <w:basedOn w:val="TableauNormal"/>
    <w:uiPriority w:val="39"/>
    <w:rsid w:val="00425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1665</Words>
  <Characters>9163</Characters>
  <Application>Microsoft Office Word</Application>
  <DocSecurity>0</DocSecurity>
  <Lines>76</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Pierre-Lawrence Minchin</dc:creator>
  <cp:keywords/>
  <dc:description/>
  <cp:lastModifiedBy>Pierre-Lawrence Minchin</cp:lastModifiedBy>
  <cp:revision>2</cp:revision>
  <dcterms:created xsi:type="dcterms:W3CDTF">2021-08-19T18:22:00Z</dcterms:created>
  <dcterms:modified xsi:type="dcterms:W3CDTF">2021-08-19T18:22:00Z</dcterms:modified>
</cp:coreProperties>
</file>