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06F6F" w14:textId="54D1BF66" w:rsidR="00367F8F" w:rsidRDefault="006A3EC4" w:rsidP="006A3EC4">
      <w:pPr>
        <w:jc w:val="center"/>
        <w:rPr>
          <w:rFonts w:ascii="American Typewriter" w:hAnsi="American Typewriter"/>
          <w:sz w:val="48"/>
          <w:szCs w:val="48"/>
        </w:rPr>
      </w:pPr>
      <w:r w:rsidRPr="006A3EC4">
        <w:rPr>
          <w:rFonts w:ascii="American Typewriter" w:hAnsi="American Typewriter"/>
          <w:sz w:val="48"/>
          <w:szCs w:val="48"/>
        </w:rPr>
        <w:t>Questions  sur les cours de Génétique</w:t>
      </w:r>
    </w:p>
    <w:p w14:paraId="0DA89329" w14:textId="17223CFA" w:rsidR="006A3EC4" w:rsidRDefault="006A3EC4" w:rsidP="006A3EC4">
      <w:pPr>
        <w:jc w:val="center"/>
        <w:rPr>
          <w:rFonts w:ascii="American Typewriter" w:hAnsi="American Typewriter"/>
          <w:sz w:val="48"/>
          <w:szCs w:val="48"/>
        </w:rPr>
      </w:pPr>
    </w:p>
    <w:p w14:paraId="1789F553" w14:textId="77777777" w:rsidR="006A3EC4" w:rsidRPr="006A3EC4" w:rsidRDefault="006A3EC4" w:rsidP="006A3EC4">
      <w:pPr>
        <w:jc w:val="center"/>
        <w:rPr>
          <w:sz w:val="40"/>
          <w:szCs w:val="40"/>
        </w:rPr>
      </w:pPr>
    </w:p>
    <w:p w14:paraId="206B0BED" w14:textId="5CF7DEAC" w:rsidR="004B7160" w:rsidRDefault="00D30E39">
      <w:pPr>
        <w:rPr>
          <w:rFonts w:ascii="American Typewriter" w:hAnsi="American Typewriter"/>
          <w:sz w:val="32"/>
          <w:szCs w:val="32"/>
          <w:u w:val="single"/>
        </w:rPr>
      </w:pPr>
      <w:r w:rsidRPr="00D30E39">
        <w:rPr>
          <w:rFonts w:ascii="American Typewriter" w:hAnsi="American Typewriter"/>
          <w:sz w:val="32"/>
          <w:szCs w:val="32"/>
          <w:u w:val="single"/>
        </w:rPr>
        <w:t xml:space="preserve">Clonage d’expression </w:t>
      </w:r>
    </w:p>
    <w:p w14:paraId="34273A52" w14:textId="77777777" w:rsidR="006A3EC4" w:rsidRDefault="006A3EC4" w:rsidP="006A3EC4">
      <w:pPr>
        <w:rPr>
          <w:rFonts w:ascii="American Typewriter" w:hAnsi="American Typewriter"/>
          <w:sz w:val="32"/>
          <w:szCs w:val="32"/>
          <w:u w:val="single"/>
        </w:rPr>
      </w:pPr>
    </w:p>
    <w:p w14:paraId="27C0A722" w14:textId="32CE147F" w:rsidR="006A3EC4" w:rsidRPr="005A2005" w:rsidRDefault="006A3EC4" w:rsidP="006A3EC4">
      <w:pPr>
        <w:rPr>
          <w:color w:val="FF0000"/>
        </w:rPr>
      </w:pPr>
      <w:r>
        <w:sym w:font="Wingdings" w:char="F0E0"/>
      </w:r>
      <w:r w:rsidR="00367F8F">
        <w:t xml:space="preserve">Un étudiant </w:t>
      </w:r>
      <w:r w:rsidR="00D30E39">
        <w:t xml:space="preserve">nous </w:t>
      </w:r>
      <w:r w:rsidR="00367F8F">
        <w:t xml:space="preserve">a demandé comment l’ADN recombinant entrait dans le noyau. </w:t>
      </w:r>
      <w:r w:rsidR="00D30E39">
        <w:t>Nous</w:t>
      </w:r>
      <w:r w:rsidR="00367F8F">
        <w:t xml:space="preserve"> lui a</w:t>
      </w:r>
      <w:r w:rsidR="00D30E39">
        <w:t xml:space="preserve">vons </w:t>
      </w:r>
      <w:r w:rsidR="00367F8F">
        <w:t xml:space="preserve">d’abord répondu que ce n’était pas dit dans le cours, puis </w:t>
      </w:r>
      <w:r w:rsidR="00D30E39">
        <w:t>nous nous</w:t>
      </w:r>
      <w:r w:rsidR="00367F8F">
        <w:t xml:space="preserve"> s</w:t>
      </w:r>
      <w:r w:rsidR="00D30E39">
        <w:t>ommes</w:t>
      </w:r>
      <w:r w:rsidR="00367F8F">
        <w:t xml:space="preserve"> demandé</w:t>
      </w:r>
      <w:r w:rsidR="00D30E39">
        <w:t>s</w:t>
      </w:r>
      <w:r w:rsidR="00367F8F">
        <w:t xml:space="preserve"> : </w:t>
      </w:r>
      <w:r w:rsidR="00367F8F" w:rsidRPr="006A3EC4">
        <w:rPr>
          <w:u w:val="single"/>
        </w:rPr>
        <w:t>La transfection est-elle uniquement le passage de l’ADN recombinant dans les cellules eucaryotes ou est-ce que ce terme englobe également l’entrée de notre ADN recombinant dans le noyau des cellules ?</w:t>
      </w:r>
      <w:r w:rsidR="00367F8F">
        <w:t xml:space="preserve">  </w:t>
      </w:r>
      <w:r w:rsidR="005A2005" w:rsidRPr="005A2005">
        <w:rPr>
          <w:color w:val="FF0000"/>
        </w:rPr>
        <w:t>Effectivement lors de la transfection l’</w:t>
      </w:r>
      <w:r w:rsidR="005A2005">
        <w:rPr>
          <w:color w:val="FF0000"/>
        </w:rPr>
        <w:t>ADN entre dans le cytoplasme des</w:t>
      </w:r>
      <w:r w:rsidR="005A2005" w:rsidRPr="005A2005">
        <w:rPr>
          <w:color w:val="FF0000"/>
        </w:rPr>
        <w:t xml:space="preserve"> cellule</w:t>
      </w:r>
      <w:r w:rsidR="005A2005">
        <w:rPr>
          <w:color w:val="FF0000"/>
        </w:rPr>
        <w:t>s</w:t>
      </w:r>
      <w:r w:rsidR="005A2005" w:rsidRPr="005A2005">
        <w:rPr>
          <w:color w:val="FF0000"/>
        </w:rPr>
        <w:t xml:space="preserve"> puis </w:t>
      </w:r>
      <w:r w:rsidR="005A2005">
        <w:rPr>
          <w:color w:val="FF0000"/>
        </w:rPr>
        <w:t>pour certaines d’</w:t>
      </w:r>
      <w:proofErr w:type="spellStart"/>
      <w:r w:rsidR="005A2005">
        <w:rPr>
          <w:color w:val="FF0000"/>
        </w:rPr>
        <w:t>entres</w:t>
      </w:r>
      <w:proofErr w:type="spellEnd"/>
      <w:r w:rsidR="005A2005">
        <w:rPr>
          <w:color w:val="FF0000"/>
        </w:rPr>
        <w:t xml:space="preserve"> elles il ira </w:t>
      </w:r>
      <w:r w:rsidR="005A2005" w:rsidRPr="005A2005">
        <w:rPr>
          <w:color w:val="FF0000"/>
        </w:rPr>
        <w:t>dans le noyau</w:t>
      </w:r>
    </w:p>
    <w:p w14:paraId="38AC2BA4" w14:textId="5B7FDA74" w:rsidR="00367F8F" w:rsidRDefault="00367F8F" w:rsidP="006A3EC4">
      <w:r>
        <w:t>Si la transfection englobe le passage dans la cellule et dans le noyau de notre ADN recombinant, alors serait-t-il correct de compt</w:t>
      </w:r>
      <w:r w:rsidR="004B7160">
        <w:t>er</w:t>
      </w:r>
      <w:r>
        <w:t xml:space="preserve"> un item comme celui-ci </w:t>
      </w:r>
      <w:r w:rsidRPr="006A3EC4">
        <w:rPr>
          <w:u w:val="single"/>
        </w:rPr>
        <w:t>correct</w:t>
      </w:r>
      <w:r>
        <w:t> ? « </w:t>
      </w:r>
      <w:r w:rsidRPr="006A3EC4">
        <w:rPr>
          <w:u w:val="single"/>
        </w:rPr>
        <w:t>L’ADN recombinant entre dans le noyau des cellules eucaryotes grâce à la transfection</w:t>
      </w:r>
      <w:r>
        <w:t xml:space="preserve"> ».  </w:t>
      </w:r>
      <w:r w:rsidR="005A2005" w:rsidRPr="005A2005">
        <w:rPr>
          <w:color w:val="FF0000"/>
        </w:rPr>
        <w:t>VRAI</w:t>
      </w:r>
    </w:p>
    <w:p w14:paraId="4DB18956" w14:textId="2EEE774B" w:rsidR="00D30E39" w:rsidRDefault="00D30E39"/>
    <w:p w14:paraId="3431A01C" w14:textId="77777777" w:rsidR="00D30E39" w:rsidRPr="008E6E83" w:rsidRDefault="00D30E39" w:rsidP="00D30E39">
      <w:pPr>
        <w:rPr>
          <w:b/>
          <w:sz w:val="32"/>
        </w:rPr>
      </w:pPr>
    </w:p>
    <w:p w14:paraId="6ED810CF" w14:textId="77777777" w:rsidR="00D30E39" w:rsidRPr="00D30E39" w:rsidRDefault="00D30E39" w:rsidP="00D30E39">
      <w:pPr>
        <w:rPr>
          <w:rFonts w:ascii="American Typewriter" w:hAnsi="American Typewriter"/>
          <w:bCs/>
          <w:sz w:val="32"/>
          <w:u w:val="single"/>
        </w:rPr>
      </w:pPr>
      <w:r w:rsidRPr="00D30E39">
        <w:rPr>
          <w:rFonts w:ascii="American Typewriter" w:hAnsi="American Typewriter"/>
          <w:bCs/>
          <w:sz w:val="32"/>
          <w:u w:val="single"/>
        </w:rPr>
        <w:t>Cours séquençage</w:t>
      </w:r>
    </w:p>
    <w:p w14:paraId="7209CFB4" w14:textId="77777777" w:rsidR="00D30E39" w:rsidRDefault="00D30E39" w:rsidP="00D30E39">
      <w:pPr>
        <w:tabs>
          <w:tab w:val="left" w:pos="1198"/>
        </w:tabs>
      </w:pPr>
    </w:p>
    <w:p w14:paraId="22DCEBF4" w14:textId="77777777" w:rsidR="006A3EC4" w:rsidRDefault="00D30E39" w:rsidP="00D30E39">
      <w:pPr>
        <w:tabs>
          <w:tab w:val="left" w:pos="1198"/>
        </w:tabs>
      </w:pPr>
      <w:r>
        <w:sym w:font="Wingdings" w:char="F0E0"/>
      </w:r>
      <w:r>
        <w:t xml:space="preserve"> Pour la méthode automatisé, on lit directement la séquence direct sur les résultats sans faire la complémentarité (comme on le fait avec l’ancienne méthode).</w:t>
      </w:r>
    </w:p>
    <w:p w14:paraId="7D722BFD" w14:textId="24D88E6F" w:rsidR="00D30E39" w:rsidRDefault="00D30E39" w:rsidP="00D30E39">
      <w:pPr>
        <w:tabs>
          <w:tab w:val="left" w:pos="1198"/>
        </w:tabs>
        <w:rPr>
          <w:u w:val="single"/>
        </w:rPr>
      </w:pPr>
      <w:r>
        <w:t xml:space="preserve"> </w:t>
      </w:r>
      <w:r w:rsidRPr="006A3EC4">
        <w:rPr>
          <w:u w:val="single"/>
        </w:rPr>
        <w:t>Est-ce que le séquençage est réalisé directement sur le brin complémentaire ? Ou est-ce que le séquençage est réalisé sur le brin direct mais c’est le séquenceur automatique qui fait la complémentarité pour nous sortir directement la séquence du brin direct ?</w:t>
      </w:r>
    </w:p>
    <w:p w14:paraId="2F8A206E" w14:textId="77777777" w:rsidR="00234888" w:rsidRDefault="00C17EF2" w:rsidP="00D30E39">
      <w:pPr>
        <w:tabs>
          <w:tab w:val="left" w:pos="1198"/>
        </w:tabs>
        <w:rPr>
          <w:color w:val="FF0000"/>
        </w:rPr>
      </w:pPr>
      <w:r w:rsidRPr="00C17EF2">
        <w:rPr>
          <w:color w:val="FF0000"/>
        </w:rPr>
        <w:t>Lors de la réaction de séquence tout dépend du primer utilisé</w:t>
      </w:r>
      <w:r>
        <w:rPr>
          <w:color w:val="FF0000"/>
        </w:rPr>
        <w:t> : si c’est</w:t>
      </w:r>
      <w:r w:rsidR="0094576F">
        <w:rPr>
          <w:color w:val="FF0000"/>
        </w:rPr>
        <w:t xml:space="preserve"> avec</w:t>
      </w:r>
      <w:r>
        <w:rPr>
          <w:color w:val="FF0000"/>
        </w:rPr>
        <w:t xml:space="preserve"> le primer « sens » </w:t>
      </w:r>
      <w:r w:rsidR="00234888">
        <w:rPr>
          <w:color w:val="FF0000"/>
        </w:rPr>
        <w:t xml:space="preserve">(vert sur le schéma ci-dessous) </w:t>
      </w:r>
      <w:r>
        <w:rPr>
          <w:color w:val="FF0000"/>
        </w:rPr>
        <w:t xml:space="preserve">la lecture se fera </w:t>
      </w:r>
      <w:r w:rsidR="0094576F">
        <w:rPr>
          <w:color w:val="FF0000"/>
        </w:rPr>
        <w:t xml:space="preserve">directement, si c’est avec le primer « reverse » </w:t>
      </w:r>
      <w:r w:rsidR="00234888">
        <w:rPr>
          <w:color w:val="FF0000"/>
        </w:rPr>
        <w:t xml:space="preserve">(orange sur le schéma ci-dessous) </w:t>
      </w:r>
    </w:p>
    <w:p w14:paraId="57F3AE40" w14:textId="610ADF9F" w:rsidR="00234888" w:rsidRDefault="0094576F" w:rsidP="00D30E39">
      <w:pPr>
        <w:tabs>
          <w:tab w:val="left" w:pos="1198"/>
        </w:tabs>
        <w:rPr>
          <w:color w:val="FF0000"/>
        </w:rPr>
      </w:pPr>
      <w:r>
        <w:rPr>
          <w:color w:val="FF0000"/>
        </w:rPr>
        <w:t xml:space="preserve">c’est le brin reverse qui sera lut. </w:t>
      </w:r>
    </w:p>
    <w:p w14:paraId="2183D145" w14:textId="65C06109" w:rsidR="003418EE" w:rsidRDefault="00234888" w:rsidP="00D30E39">
      <w:pPr>
        <w:tabs>
          <w:tab w:val="left" w:pos="1198"/>
        </w:tabs>
        <w:rPr>
          <w:color w:val="FF0000"/>
        </w:rPr>
      </w:pPr>
      <w:r w:rsidRPr="00234888">
        <w:rPr>
          <w:noProof/>
          <w:color w:val="FF0000"/>
        </w:rPr>
        <w:drawing>
          <wp:inline distT="0" distB="0" distL="0" distR="0" wp14:anchorId="20579619" wp14:editId="07DCA1A4">
            <wp:extent cx="5760720" cy="1641475"/>
            <wp:effectExtent l="0" t="0" r="508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0720" cy="1641475"/>
                    </a:xfrm>
                    <a:prstGeom prst="rect">
                      <a:avLst/>
                    </a:prstGeom>
                  </pic:spPr>
                </pic:pic>
              </a:graphicData>
            </a:graphic>
          </wp:inline>
        </w:drawing>
      </w:r>
    </w:p>
    <w:p w14:paraId="59000DDF" w14:textId="77777777" w:rsidR="003418EE" w:rsidRDefault="003418EE" w:rsidP="00D30E39">
      <w:pPr>
        <w:tabs>
          <w:tab w:val="left" w:pos="1198"/>
        </w:tabs>
        <w:rPr>
          <w:color w:val="FF0000"/>
        </w:rPr>
      </w:pPr>
    </w:p>
    <w:p w14:paraId="604D6E7D" w14:textId="78C5D0AA" w:rsidR="0094576F" w:rsidRDefault="00DF53A3" w:rsidP="00D30E39">
      <w:pPr>
        <w:tabs>
          <w:tab w:val="left" w:pos="1198"/>
        </w:tabs>
        <w:rPr>
          <w:color w:val="FF0000"/>
        </w:rPr>
      </w:pPr>
      <w:r>
        <w:rPr>
          <w:color w:val="FF0000"/>
        </w:rPr>
        <w:t>Le séquenceur n</w:t>
      </w:r>
      <w:r w:rsidR="0094576F">
        <w:rPr>
          <w:color w:val="FF0000"/>
        </w:rPr>
        <w:t>e tient pas compte du sens, il transforme juste les signaux de fluorescence en base. C’est à nous à tenir compte, en fonction du primer utilisé,</w:t>
      </w:r>
      <w:r>
        <w:rPr>
          <w:color w:val="FF0000"/>
        </w:rPr>
        <w:t xml:space="preserve"> du sens de lecture.</w:t>
      </w:r>
    </w:p>
    <w:p w14:paraId="410B2C4B" w14:textId="0234CE44" w:rsidR="00DF53A3" w:rsidRDefault="00DF53A3" w:rsidP="00D30E39">
      <w:pPr>
        <w:tabs>
          <w:tab w:val="left" w:pos="1198"/>
        </w:tabs>
        <w:rPr>
          <w:color w:val="FF0000"/>
        </w:rPr>
      </w:pPr>
      <w:r>
        <w:rPr>
          <w:color w:val="FF0000"/>
        </w:rPr>
        <w:t>Ceci est vrai pour la technique automatisée et l’ancienne méthode puisque le principe est le même entre les 2, seules différences :</w:t>
      </w:r>
    </w:p>
    <w:p w14:paraId="3ED9BEAD" w14:textId="6400E64A" w:rsidR="00DF53A3" w:rsidRPr="00C17EF2" w:rsidRDefault="00DF53A3" w:rsidP="00D30E39">
      <w:pPr>
        <w:tabs>
          <w:tab w:val="left" w:pos="1198"/>
        </w:tabs>
        <w:rPr>
          <w:color w:val="FF0000"/>
        </w:rPr>
      </w:pPr>
      <w:r>
        <w:rPr>
          <w:color w:val="FF0000"/>
        </w:rPr>
        <w:t xml:space="preserve">Technique automatisée : les 4 </w:t>
      </w:r>
      <w:proofErr w:type="spellStart"/>
      <w:r>
        <w:rPr>
          <w:color w:val="FF0000"/>
        </w:rPr>
        <w:t>ddNTP</w:t>
      </w:r>
      <w:proofErr w:type="spellEnd"/>
      <w:r>
        <w:rPr>
          <w:color w:val="FF0000"/>
        </w:rPr>
        <w:t xml:space="preserve"> sont mélangés ensemble, la réaction se fait dans un seul tube. La partie migration et lecture des bases sont automatisés.</w:t>
      </w:r>
    </w:p>
    <w:p w14:paraId="200E9601" w14:textId="77777777" w:rsidR="00D30E39" w:rsidRDefault="00D30E39" w:rsidP="00D30E39">
      <w:pPr>
        <w:tabs>
          <w:tab w:val="left" w:pos="1198"/>
        </w:tabs>
      </w:pPr>
    </w:p>
    <w:p w14:paraId="6A9D5909" w14:textId="77777777" w:rsidR="00D30E39" w:rsidRDefault="00D30E39" w:rsidP="00D30E39">
      <w:pPr>
        <w:tabs>
          <w:tab w:val="left" w:pos="1198"/>
        </w:tabs>
      </w:pPr>
      <w:r>
        <w:lastRenderedPageBreak/>
        <w:sym w:font="Wingdings" w:char="F0E0"/>
      </w:r>
      <w:r>
        <w:t xml:space="preserve"> Dans la PCR l’élongation se fait à 72°C, alors que pour le séquençage l’élongation se fait à 60°C. </w:t>
      </w:r>
      <w:r w:rsidRPr="006A3EC4">
        <w:rPr>
          <w:u w:val="single"/>
        </w:rPr>
        <w:t>Pouvez-vous nous expliquer pourquoi il y a cette différence de température</w:t>
      </w:r>
      <w:r>
        <w:t> ?</w:t>
      </w:r>
    </w:p>
    <w:p w14:paraId="316DA2B6" w14:textId="1EB81632" w:rsidR="00D30E39" w:rsidRPr="009E5449" w:rsidRDefault="00C10760" w:rsidP="00D30E39">
      <w:pPr>
        <w:tabs>
          <w:tab w:val="left" w:pos="1198"/>
        </w:tabs>
        <w:rPr>
          <w:color w:val="FF0000"/>
        </w:rPr>
      </w:pPr>
      <w:r w:rsidRPr="009E5449">
        <w:rPr>
          <w:color w:val="FF0000"/>
        </w:rPr>
        <w:t>La différence provient juste des Taq DNA polymérase qui sont différentes. Elles ont des températu</w:t>
      </w:r>
      <w:r w:rsidR="009E5449" w:rsidRPr="009E5449">
        <w:rPr>
          <w:color w:val="FF0000"/>
        </w:rPr>
        <w:t>res o</w:t>
      </w:r>
      <w:r w:rsidRPr="009E5449">
        <w:rPr>
          <w:color w:val="FF0000"/>
        </w:rPr>
        <w:t>p</w:t>
      </w:r>
      <w:r w:rsidR="009E5449" w:rsidRPr="009E5449">
        <w:rPr>
          <w:color w:val="FF0000"/>
        </w:rPr>
        <w:t>t</w:t>
      </w:r>
      <w:r w:rsidRPr="009E5449">
        <w:rPr>
          <w:color w:val="FF0000"/>
        </w:rPr>
        <w:t>imale</w:t>
      </w:r>
      <w:r w:rsidR="009E5449">
        <w:rPr>
          <w:color w:val="FF0000"/>
        </w:rPr>
        <w:t>s</w:t>
      </w:r>
      <w:r w:rsidRPr="009E5449">
        <w:rPr>
          <w:color w:val="FF0000"/>
        </w:rPr>
        <w:t xml:space="preserve"> différentes</w:t>
      </w:r>
      <w:r w:rsidR="009E5449">
        <w:rPr>
          <w:color w:val="FF0000"/>
        </w:rPr>
        <w:t>.</w:t>
      </w:r>
    </w:p>
    <w:p w14:paraId="188C6B79" w14:textId="77777777" w:rsidR="00C10760" w:rsidRDefault="00C10760" w:rsidP="00D30E39">
      <w:pPr>
        <w:tabs>
          <w:tab w:val="left" w:pos="1198"/>
        </w:tabs>
      </w:pPr>
    </w:p>
    <w:p w14:paraId="5607DDEF" w14:textId="77777777" w:rsidR="00D30E39" w:rsidRDefault="00D30E39" w:rsidP="00D30E39">
      <w:pPr>
        <w:tabs>
          <w:tab w:val="left" w:pos="1198"/>
        </w:tabs>
      </w:pPr>
      <w:r>
        <w:sym w:font="Wingdings" w:char="F0E0"/>
      </w:r>
      <w:r>
        <w:t xml:space="preserve"> </w:t>
      </w:r>
      <w:r w:rsidRPr="006A3EC4">
        <w:rPr>
          <w:u w:val="single"/>
        </w:rPr>
        <w:t>La méthode Sanger désigne-t-elle uniquement l’ancienne méthode ou l’ancienne méthode et la méthode automatisée</w:t>
      </w:r>
      <w:r>
        <w:t> ?</w:t>
      </w:r>
    </w:p>
    <w:p w14:paraId="06D9EE0C" w14:textId="2D0B1D06" w:rsidR="00D30E39" w:rsidRDefault="009E5449" w:rsidP="00D30E39">
      <w:pPr>
        <w:tabs>
          <w:tab w:val="left" w:pos="1198"/>
        </w:tabs>
      </w:pPr>
      <w:r>
        <w:rPr>
          <w:color w:val="FF0000"/>
        </w:rPr>
        <w:t xml:space="preserve">La méthode de Sanger correspond à l’utilisation de </w:t>
      </w:r>
      <w:proofErr w:type="spellStart"/>
      <w:r>
        <w:rPr>
          <w:color w:val="FF0000"/>
        </w:rPr>
        <w:t>ddNTP</w:t>
      </w:r>
      <w:proofErr w:type="spellEnd"/>
      <w:r>
        <w:rPr>
          <w:color w:val="FF0000"/>
        </w:rPr>
        <w:t xml:space="preserve"> pour les réaction</w:t>
      </w:r>
      <w:r w:rsidR="00545248">
        <w:rPr>
          <w:color w:val="FF0000"/>
        </w:rPr>
        <w:t>s</w:t>
      </w:r>
      <w:r>
        <w:rPr>
          <w:color w:val="FF0000"/>
        </w:rPr>
        <w:t xml:space="preserve"> de séquence</w:t>
      </w:r>
      <w:r w:rsidR="00545248">
        <w:rPr>
          <w:color w:val="FF0000"/>
        </w:rPr>
        <w:t>, dans le cours ça correspond donc à « l’ancienne méthode » et « la méthode automatisée »</w:t>
      </w:r>
    </w:p>
    <w:p w14:paraId="66A71F92" w14:textId="77777777" w:rsidR="006A3EC4" w:rsidRDefault="006A3EC4" w:rsidP="00D30E39">
      <w:pPr>
        <w:tabs>
          <w:tab w:val="left" w:pos="1198"/>
        </w:tabs>
      </w:pPr>
    </w:p>
    <w:p w14:paraId="718DFC20" w14:textId="77777777" w:rsidR="00D30E39" w:rsidRPr="006A3EC4" w:rsidRDefault="00D30E39" w:rsidP="00D30E39">
      <w:pPr>
        <w:rPr>
          <w:rFonts w:ascii="American Typewriter" w:hAnsi="American Typewriter"/>
          <w:bCs/>
          <w:sz w:val="32"/>
          <w:u w:val="single"/>
        </w:rPr>
      </w:pPr>
      <w:r w:rsidRPr="006A3EC4">
        <w:rPr>
          <w:rFonts w:ascii="American Typewriter" w:hAnsi="American Typewriter"/>
          <w:bCs/>
          <w:sz w:val="32"/>
          <w:u w:val="single"/>
        </w:rPr>
        <w:t>Cours NGS</w:t>
      </w:r>
    </w:p>
    <w:p w14:paraId="6F0E598C" w14:textId="77777777" w:rsidR="00D30E39" w:rsidRDefault="00D30E39" w:rsidP="00D30E39">
      <w:pPr>
        <w:tabs>
          <w:tab w:val="left" w:pos="1198"/>
        </w:tabs>
      </w:pPr>
    </w:p>
    <w:p w14:paraId="1ADFDD9D" w14:textId="77777777" w:rsidR="006A3EC4" w:rsidRDefault="00D30E39" w:rsidP="00D30E39">
      <w:pPr>
        <w:tabs>
          <w:tab w:val="left" w:pos="1198"/>
        </w:tabs>
      </w:pPr>
      <w:r>
        <w:sym w:font="Wingdings" w:char="F0E0"/>
      </w:r>
      <w:r>
        <w:t xml:space="preserve"> Chez Illumina, on précise que l’on ne garde que les brins sens pour faire le séquençage. Donc les nucléotides qui émettent une fluorescence correspondent aux nucléotides complémentaires. Or dans le cours on a l’air de garder cette séquence de nucléotides fluorescent comme notre séquence finale alors qu’elle est censée correspondre à la séquence complémentaire.</w:t>
      </w:r>
      <w:bookmarkStart w:id="0" w:name="_GoBack"/>
      <w:bookmarkEnd w:id="0"/>
    </w:p>
    <w:p w14:paraId="148E4EDE" w14:textId="1054A8E4" w:rsidR="00D30E39" w:rsidRPr="006A3EC4" w:rsidRDefault="00D30E39" w:rsidP="00D30E39">
      <w:pPr>
        <w:tabs>
          <w:tab w:val="left" w:pos="1198"/>
        </w:tabs>
        <w:rPr>
          <w:u w:val="single"/>
        </w:rPr>
      </w:pPr>
      <w:r>
        <w:t xml:space="preserve"> </w:t>
      </w:r>
      <w:r w:rsidRPr="006A3EC4">
        <w:rPr>
          <w:u w:val="single"/>
        </w:rPr>
        <w:t xml:space="preserve">Pouvez-vous nous préciser comment on obtient la séquence directe ? </w:t>
      </w:r>
    </w:p>
    <w:p w14:paraId="327449A1" w14:textId="770EA2F3" w:rsidR="00D30E39" w:rsidRDefault="00545248" w:rsidP="00D30E39">
      <w:pPr>
        <w:tabs>
          <w:tab w:val="left" w:pos="1198"/>
        </w:tabs>
      </w:pPr>
      <w:r>
        <w:rPr>
          <w:color w:val="FF0000"/>
        </w:rPr>
        <w:t xml:space="preserve">En NGS, le résultat correspond surtout à une liste de </w:t>
      </w:r>
      <w:proofErr w:type="spellStart"/>
      <w:r>
        <w:rPr>
          <w:color w:val="FF0000"/>
        </w:rPr>
        <w:t>variants</w:t>
      </w:r>
      <w:proofErr w:type="spellEnd"/>
      <w:r>
        <w:rPr>
          <w:color w:val="FF0000"/>
        </w:rPr>
        <w:t xml:space="preserve"> nucléotidiques qui différent entre une séquence de référence et celle du patient. Le traitement </w:t>
      </w:r>
      <w:proofErr w:type="spellStart"/>
      <w:r>
        <w:rPr>
          <w:color w:val="FF0000"/>
        </w:rPr>
        <w:t>bioinformatique</w:t>
      </w:r>
      <w:proofErr w:type="spellEnd"/>
      <w:r>
        <w:rPr>
          <w:color w:val="FF0000"/>
        </w:rPr>
        <w:t xml:space="preserve"> </w:t>
      </w:r>
      <w:r w:rsidR="004C4B28">
        <w:rPr>
          <w:color w:val="FF0000"/>
        </w:rPr>
        <w:t>fait l’alignement et tient compte du sens de lecture</w:t>
      </w:r>
      <w:r>
        <w:rPr>
          <w:color w:val="FF0000"/>
        </w:rPr>
        <w:t xml:space="preserve"> </w:t>
      </w:r>
    </w:p>
    <w:p w14:paraId="511DA9F7" w14:textId="77777777" w:rsidR="006A3EC4" w:rsidRDefault="006A3EC4" w:rsidP="00D30E39">
      <w:pPr>
        <w:tabs>
          <w:tab w:val="left" w:pos="1198"/>
        </w:tabs>
      </w:pPr>
    </w:p>
    <w:p w14:paraId="1EF1FACD" w14:textId="77777777" w:rsidR="006A3EC4" w:rsidRDefault="00D30E39" w:rsidP="00D30E39">
      <w:pPr>
        <w:tabs>
          <w:tab w:val="left" w:pos="1198"/>
        </w:tabs>
      </w:pPr>
      <w:r>
        <w:sym w:font="Wingdings" w:char="F0E0"/>
      </w:r>
      <w:r>
        <w:t xml:space="preserve"> Concernant les adaptateurs, on nous dis que les adaptateurs A se placent en 3’ et P1 en 5’. Sur cette image, les adaptateurs ont l’air d’être placés au même côtés sur les 2 brins, or vu que les 2 brins sont antiparallèles, si d’un côté l’adaptateur est en 3’, de l’autre il sera en 5’. </w:t>
      </w:r>
    </w:p>
    <w:p w14:paraId="32397B0F" w14:textId="19459F03" w:rsidR="00D30E39" w:rsidRDefault="00D30E39" w:rsidP="00D30E39">
      <w:pPr>
        <w:tabs>
          <w:tab w:val="left" w:pos="1198"/>
        </w:tabs>
      </w:pPr>
      <w:r w:rsidRPr="006A3EC4">
        <w:rPr>
          <w:u w:val="single"/>
        </w:rPr>
        <w:t>Pouvez-vous nous préciser pourquoi les adaptateurs sont placés de cette manière sur ce schéma ?</w:t>
      </w:r>
      <w:r>
        <w:t xml:space="preserve"> </w:t>
      </w:r>
    </w:p>
    <w:p w14:paraId="6232B28F" w14:textId="77777777" w:rsidR="00D30E39" w:rsidRDefault="00D30E39" w:rsidP="00D30E39">
      <w:pPr>
        <w:jc w:val="center"/>
        <w:rPr>
          <w:rFonts w:ascii="Times New Roman" w:eastAsia="Times New Roman" w:hAnsi="Times New Roman" w:cs="Times New Roman"/>
          <w:lang w:eastAsia="fr-FR"/>
        </w:rPr>
      </w:pPr>
      <w:r w:rsidRPr="0060343F">
        <w:rPr>
          <w:rFonts w:ascii="Times New Roman" w:eastAsia="Times New Roman" w:hAnsi="Times New Roman" w:cs="Times New Roman"/>
          <w:lang w:eastAsia="fr-FR"/>
        </w:rPr>
        <w:fldChar w:fldCharType="begin"/>
      </w:r>
      <w:r w:rsidRPr="0060343F">
        <w:rPr>
          <w:rFonts w:ascii="Times New Roman" w:eastAsia="Times New Roman" w:hAnsi="Times New Roman" w:cs="Times New Roman"/>
          <w:lang w:eastAsia="fr-FR"/>
        </w:rPr>
        <w:instrText xml:space="preserve"> INCLUDEPICTURE "/var/folders/w3/brhfkdqn61522w_jvk9p0l2r0000gn/T/com.microsoft.Word/WebArchiveCopyPasteTempFiles/file.php?id=55963&amp;t=1" \* MERGEFORMATINET </w:instrText>
      </w:r>
      <w:r w:rsidRPr="0060343F">
        <w:rPr>
          <w:rFonts w:ascii="Times New Roman" w:eastAsia="Times New Roman" w:hAnsi="Times New Roman" w:cs="Times New Roman"/>
          <w:lang w:eastAsia="fr-FR"/>
        </w:rPr>
        <w:fldChar w:fldCharType="separate"/>
      </w:r>
      <w:r w:rsidRPr="0060343F">
        <w:rPr>
          <w:rFonts w:ascii="Times New Roman" w:eastAsia="Times New Roman" w:hAnsi="Times New Roman" w:cs="Times New Roman"/>
          <w:noProof/>
          <w:lang w:eastAsia="fr-FR"/>
        </w:rPr>
        <w:drawing>
          <wp:inline distT="0" distB="0" distL="0" distR="0" wp14:anchorId="79E9EEA4" wp14:editId="1E750AAF">
            <wp:extent cx="3288631" cy="1511882"/>
            <wp:effectExtent l="0" t="0" r="1270" b="0"/>
            <wp:docPr id="3" name="Image 3" desc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98404" cy="1516375"/>
                    </a:xfrm>
                    <a:prstGeom prst="rect">
                      <a:avLst/>
                    </a:prstGeom>
                    <a:noFill/>
                    <a:ln>
                      <a:noFill/>
                    </a:ln>
                  </pic:spPr>
                </pic:pic>
              </a:graphicData>
            </a:graphic>
          </wp:inline>
        </w:drawing>
      </w:r>
      <w:r w:rsidRPr="0060343F">
        <w:rPr>
          <w:rFonts w:ascii="Times New Roman" w:eastAsia="Times New Roman" w:hAnsi="Times New Roman" w:cs="Times New Roman"/>
          <w:lang w:eastAsia="fr-FR"/>
        </w:rPr>
        <w:fldChar w:fldCharType="end"/>
      </w:r>
    </w:p>
    <w:p w14:paraId="4DF8F60F" w14:textId="77777777" w:rsidR="00D30E39" w:rsidRDefault="00D30E39" w:rsidP="00D30E39">
      <w:pPr>
        <w:rPr>
          <w:rFonts w:ascii="Times New Roman" w:eastAsia="Times New Roman" w:hAnsi="Times New Roman" w:cs="Times New Roman"/>
          <w:lang w:eastAsia="fr-FR"/>
        </w:rPr>
      </w:pPr>
    </w:p>
    <w:p w14:paraId="63047CAE" w14:textId="77777777" w:rsidR="00D30E39" w:rsidRDefault="00D30E39" w:rsidP="00D30E39">
      <w:pPr>
        <w:jc w:val="center"/>
        <w:rPr>
          <w:rFonts w:ascii="Times New Roman" w:eastAsia="Times New Roman" w:hAnsi="Times New Roman" w:cs="Times New Roman"/>
          <w:lang w:eastAsia="fr-FR"/>
        </w:rPr>
      </w:pPr>
    </w:p>
    <w:p w14:paraId="339ADC65" w14:textId="2F2305BF" w:rsidR="00057ED4" w:rsidRDefault="00057ED4" w:rsidP="00057ED4">
      <w:pPr>
        <w:tabs>
          <w:tab w:val="left" w:pos="1198"/>
        </w:tabs>
        <w:rPr>
          <w:color w:val="FF0000"/>
        </w:rPr>
      </w:pPr>
      <w:r>
        <w:rPr>
          <w:color w:val="FF0000"/>
        </w:rPr>
        <w:t xml:space="preserve">Il s’agit d’un abus de langage </w:t>
      </w:r>
      <w:r w:rsidR="00BC4899">
        <w:rPr>
          <w:color w:val="FF0000"/>
        </w:rPr>
        <w:t>car pour un fragment d’ADN double brin on parle de l’extrémité 5’ pour la partie de gauche et de l’extrémité 3’ pour la partie de droite autrement dit le P1 se place à gauche et l’adaptateur A à droite.</w:t>
      </w:r>
    </w:p>
    <w:p w14:paraId="0E60B596" w14:textId="2D7BDCB8" w:rsidR="00BC4899" w:rsidRDefault="00BC4899" w:rsidP="00057ED4">
      <w:pPr>
        <w:tabs>
          <w:tab w:val="left" w:pos="1198"/>
        </w:tabs>
      </w:pPr>
      <w:r>
        <w:rPr>
          <w:color w:val="FF0000"/>
        </w:rPr>
        <w:t xml:space="preserve">Ce qu’il faut surtout retenir c’est qu’après fragmentation et ajout des adaptateurs avec un seul couple de </w:t>
      </w:r>
      <w:proofErr w:type="spellStart"/>
      <w:r>
        <w:rPr>
          <w:color w:val="FF0000"/>
        </w:rPr>
        <w:t>primers</w:t>
      </w:r>
      <w:proofErr w:type="spellEnd"/>
      <w:r>
        <w:rPr>
          <w:color w:val="FF0000"/>
        </w:rPr>
        <w:t xml:space="preserve"> il sera possible d’amplifier l’ensemble des fragments d’ADN</w:t>
      </w:r>
      <w:r w:rsidR="001E351C">
        <w:rPr>
          <w:color w:val="FF0000"/>
        </w:rPr>
        <w:t>.</w:t>
      </w:r>
    </w:p>
    <w:p w14:paraId="3E301A3E" w14:textId="77777777" w:rsidR="00D30E39" w:rsidRDefault="00D30E39" w:rsidP="00D30E39">
      <w:pPr>
        <w:jc w:val="center"/>
        <w:rPr>
          <w:rFonts w:ascii="Times New Roman" w:eastAsia="Times New Roman" w:hAnsi="Times New Roman" w:cs="Times New Roman"/>
          <w:lang w:eastAsia="fr-FR"/>
        </w:rPr>
      </w:pPr>
    </w:p>
    <w:p w14:paraId="566BA01A" w14:textId="77777777" w:rsidR="00D30E39" w:rsidRPr="0060343F" w:rsidRDefault="00D30E39" w:rsidP="00D30E39">
      <w:pPr>
        <w:rPr>
          <w:rFonts w:ascii="Times New Roman" w:eastAsia="Times New Roman" w:hAnsi="Times New Roman" w:cs="Times New Roman"/>
          <w:lang w:eastAsia="fr-FR"/>
        </w:rPr>
      </w:pPr>
    </w:p>
    <w:p w14:paraId="0D6343ED" w14:textId="77777777" w:rsidR="00D30E39" w:rsidRDefault="00D30E39"/>
    <w:sectPr w:rsidR="00D30E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merican Typewriter">
    <w:panose1 w:val="02090604020004020304"/>
    <w:charset w:val="4D"/>
    <w:family w:val="roman"/>
    <w:pitch w:val="variable"/>
    <w:sig w:usb0="A000006F" w:usb1="00000019"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B77A11"/>
    <w:multiLevelType w:val="hybridMultilevel"/>
    <w:tmpl w:val="EBD2773C"/>
    <w:lvl w:ilvl="0" w:tplc="5A0E639A">
      <w:start w:val="3"/>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4B3"/>
    <w:rsid w:val="000252BF"/>
    <w:rsid w:val="00057ED4"/>
    <w:rsid w:val="001E351C"/>
    <w:rsid w:val="00234888"/>
    <w:rsid w:val="00251181"/>
    <w:rsid w:val="002E04B3"/>
    <w:rsid w:val="003418EE"/>
    <w:rsid w:val="00367F8F"/>
    <w:rsid w:val="004B7160"/>
    <w:rsid w:val="004C4B28"/>
    <w:rsid w:val="00545248"/>
    <w:rsid w:val="005A2005"/>
    <w:rsid w:val="006A3EC4"/>
    <w:rsid w:val="0094576F"/>
    <w:rsid w:val="009E5449"/>
    <w:rsid w:val="00BC4899"/>
    <w:rsid w:val="00C10760"/>
    <w:rsid w:val="00C17EF2"/>
    <w:rsid w:val="00D30E39"/>
    <w:rsid w:val="00DF53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4DABDDDF"/>
  <w15:chartTrackingRefBased/>
  <w15:docId w15:val="{91D8D4A6-7A96-A44E-974B-FF7903AE9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A3E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655</Words>
  <Characters>3608</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Amandine Adami</dc:creator>
  <cp:keywords/>
  <dc:description/>
  <cp:lastModifiedBy>Alexandra PHILIPON</cp:lastModifiedBy>
  <cp:revision>2</cp:revision>
  <dcterms:created xsi:type="dcterms:W3CDTF">2021-10-15T21:46:00Z</dcterms:created>
  <dcterms:modified xsi:type="dcterms:W3CDTF">2021-10-15T21:46:00Z</dcterms:modified>
</cp:coreProperties>
</file>