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2.85pt;margin-top:44.95pt;width:150pt;height:66.1pt;z-index:251657216;mso-wrap-distance-left:0;mso-wrap-distance-right:0;mso-position-horizontal-relative:page;mso-position-vertical-relative:page" filled="t">
            <v:fill color2="black"/>
            <v:imagedata r:id="rId7" o:title="" croptop="16569f" cropbottom="23405f" cropleft="7282f"/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26.95pt;width:532.55pt;height:298.1pt;z-index:251655168;mso-wrap-distance-left:5.7pt;mso-wrap-distance-top:5.7pt;mso-wrap-distance-right:5.7pt;mso-wrap-distance-bottom:5.7pt;mso-position-horizontal:center;mso-position-horizontal-relative:page;mso-position-vertical-relative:page" strokeweight="5pt">
            <v:fill color2="black"/>
            <v:textbox style="mso-next-textbox:#_x0000_s1027" inset="4.25pt,4.25pt,4.25pt,4.25pt">
              <w:txbxContent>
                <w:p w:rsidR="007C4E4D" w:rsidRDefault="007C4E4D" w:rsidP="00F06777">
                  <w:pPr>
                    <w:pStyle w:val="Contenuducadre"/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</w:pPr>
                  <w:r w:rsidRPr="00EF37D4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pict>
                      <v:shape id="_x0000_i1026" type="#_x0000_t75" style="width:87.75pt;height:33.75pt">
                        <v:imagedata r:id="rId8" o:title=""/>
                      </v:shape>
                    </w:pic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</w:p>
                <w:p w:rsidR="007C4E4D" w:rsidRDefault="007C4E4D" w:rsidP="00F06777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Eras Demi ITC" w:hAnsi="Eras Demi ITC"/>
                      <w:lang w:val="fr-FR"/>
                    </w:rPr>
                    <w:t>Date : Vendredi 13/01/12</w:t>
                  </w:r>
                </w:p>
                <w:p w:rsidR="007C4E4D" w:rsidRDefault="007C4E4D" w:rsidP="00F06777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Eras Demi ITC" w:hAnsi="Eras Demi ITC"/>
                      <w:lang w:val="fr-FR"/>
                    </w:rPr>
                    <w:t>Professeur : Tran</w:t>
                  </w:r>
                </w:p>
                <w:p w:rsidR="007C4E4D" w:rsidRDefault="007C4E4D" w:rsidP="00F06777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Eras Demi ITC" w:hAnsi="Eras Demi ITC"/>
                      <w:lang w:val="fr-FR"/>
                    </w:rPr>
                    <w:t>Nombre de pages : 5</w:t>
                  </w:r>
                </w:p>
                <w:p w:rsidR="007C4E4D" w:rsidRDefault="007C4E4D" w:rsidP="00F06777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  <w:r>
                    <w:rPr>
                      <w:rFonts w:ascii="Capture it" w:eastAsia="Capture it"/>
                      <w:sz w:val="72"/>
                      <w:szCs w:val="72"/>
                      <w:lang w:val="fr-FR"/>
                    </w:rPr>
                    <w:t xml:space="preserve">             </w:t>
                  </w:r>
                  <w:r>
                    <w:rPr>
                      <w:rFonts w:ascii="Capture it" w:eastAsia="Capture it"/>
                      <w:sz w:val="80"/>
                      <w:szCs w:val="80"/>
                      <w:lang w:val="fr-FR"/>
                    </w:rPr>
                    <w:t>UE GASTRO</w:t>
                  </w:r>
                  <w:r>
                    <w:rPr>
                      <w:rFonts w:ascii="Capture it" w:eastAsia="Capture it"/>
                      <w:sz w:val="72"/>
                      <w:szCs w:val="72"/>
                      <w:lang w:val="fr-FR"/>
                    </w:rPr>
                    <w:t xml:space="preserve">     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Ron</w:t>
                  </w:r>
                  <w:r>
                    <w:rPr>
                      <w:rFonts w:ascii="Antipasto" w:eastAsia="Times New Roman" w:hAnsi="Antipasto" w:hint="eastAsia"/>
                      <w:b/>
                      <w:bCs/>
                      <w:lang w:val="fr-FR"/>
                    </w:rPr>
                    <w:t>é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o n</w:t>
                  </w:r>
                  <w:r>
                    <w:rPr>
                      <w:rFonts w:ascii="Antipasto" w:eastAsia="Antipasto" w:hint="eastAsia"/>
                      <w:b/>
                      <w:bCs/>
                      <w:lang w:val="fr-FR"/>
                    </w:rPr>
                    <w:t>°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 xml:space="preserve"> : 23</w:t>
                  </w:r>
                </w:p>
                <w:p w:rsidR="007C4E4D" w:rsidRPr="00F06777" w:rsidRDefault="007C4E4D" w:rsidP="00F06777">
                  <w:pPr>
                    <w:pStyle w:val="Contenuducadre"/>
                    <w:rPr>
                      <w:sz w:val="28"/>
                      <w:szCs w:val="28"/>
                      <w:lang w:val="fr-FR"/>
                    </w:rPr>
                  </w:pPr>
                  <w:r w:rsidRPr="00F06777">
                    <w:rPr>
                      <w:sz w:val="28"/>
                      <w:szCs w:val="28"/>
                      <w:lang w:val="fr-FR"/>
                    </w:rPr>
                    <w:t xml:space="preserve">Intitulé du cours : </w:t>
                  </w:r>
                  <w:r>
                    <w:rPr>
                      <w:sz w:val="28"/>
                      <w:szCs w:val="28"/>
                      <w:lang w:val="fr-FR"/>
                    </w:rPr>
                    <w:t>Tumeurs du Pancréas</w:t>
                  </w:r>
                </w:p>
                <w:p w:rsidR="007C4E4D" w:rsidRPr="002713AA" w:rsidRDefault="007C4E4D" w:rsidP="00F06777">
                  <w:pPr>
                    <w:pStyle w:val="Contenuducadre"/>
                    <w:jc w:val="center"/>
                    <w:rPr>
                      <w:lang w:val="fr-FR"/>
                    </w:rPr>
                  </w:pPr>
                </w:p>
                <w:p w:rsidR="007C4E4D" w:rsidRDefault="007C4E4D" w:rsidP="00F06777">
                  <w:pPr>
                    <w:pStyle w:val="Contenuducadre"/>
                    <w:jc w:val="center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 xml:space="preserve">               </w:t>
                  </w:r>
                </w:p>
                <w:p w:rsidR="007C4E4D" w:rsidRPr="00851367" w:rsidRDefault="007C4E4D" w:rsidP="00F06777">
                  <w:pPr>
                    <w:pStyle w:val="Contenuducadre"/>
                    <w:ind w:left="1980"/>
                    <w:jc w:val="both"/>
                    <w:rPr>
                      <w:rFonts w:ascii="MV Boli" w:hAnsi="MV Boli"/>
                      <w:b/>
                      <w:bCs/>
                      <w:lang w:val="fr-FR"/>
                    </w:rPr>
                  </w:pPr>
                  <w:r w:rsidRPr="00851367">
                    <w:rPr>
                      <w:rFonts w:ascii="MV Boli" w:hAnsi="MV Boli"/>
                      <w:b/>
                      <w:bCs/>
                      <w:lang w:val="fr-FR"/>
                    </w:rPr>
                    <w:t>Chef Ronéo : Gabriel Al Khansa</w:t>
                  </w:r>
                  <w:r w:rsidRPr="00851367">
                    <w:rPr>
                      <w:rFonts w:ascii="MV Boli" w:hAnsi="MV Boli"/>
                      <w:b/>
                      <w:bCs/>
                      <w:lang w:val="fr-FR"/>
                    </w:rPr>
                    <w:tab/>
                  </w:r>
                </w:p>
                <w:p w:rsidR="007C4E4D" w:rsidRPr="00F06777" w:rsidRDefault="007C4E4D" w:rsidP="00F06777">
                  <w:pPr>
                    <w:pStyle w:val="Calibri"/>
                    <w:ind w:left="1980"/>
                    <w:rPr>
                      <w:rFonts w:ascii="Calibri" w:hAnsi="Calibri"/>
                    </w:rPr>
                  </w:pPr>
                  <w:r w:rsidRPr="00F06777">
                    <w:rPr>
                      <w:rFonts w:ascii="Calibri" w:hAnsi="Calibri"/>
                    </w:rPr>
                    <w:t xml:space="preserve">Binôme : Athéna et Maëva </w:t>
                  </w:r>
                </w:p>
                <w:p w:rsidR="007C4E4D" w:rsidRDefault="007C4E4D" w:rsidP="00F06777">
                  <w:pPr>
                    <w:pStyle w:val="Contenuducadre"/>
                    <w:spacing w:after="0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</w:p>
                <w:p w:rsidR="007C4E4D" w:rsidRDefault="007C4E4D" w:rsidP="00F06777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</w:p>
                <w:p w:rsidR="007C4E4D" w:rsidRDefault="007C4E4D" w:rsidP="00F06777">
                  <w:pPr>
                    <w:pStyle w:val="Contenuducadre"/>
                    <w:rPr>
                      <w:rFonts w:ascii="MV Boli" w:hAnsi="MV Boli"/>
                      <w:b/>
                      <w:bCs/>
                      <w:lang w:val="fr-FR"/>
                    </w:rPr>
                  </w:pPr>
                  <w:r>
                    <w:rPr>
                      <w:rFonts w:ascii="MV Boli" w:hAnsi="MV Boli"/>
                      <w:b/>
                      <w:bCs/>
                      <w:lang w:val="fr-FR"/>
                    </w:rPr>
                    <w:t xml:space="preserve">Binôme: </w:t>
                  </w:r>
                </w:p>
              </w:txbxContent>
            </v:textbox>
            <w10:wrap anchorx="page" anchory="page"/>
          </v:shape>
        </w:pict>
      </w: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F06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center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  <w:r>
        <w:rPr>
          <w:noProof/>
        </w:rPr>
        <w:pict>
          <v:shape id="_x0000_s1028" type="#_x0000_t202" style="position:absolute;left:0;text-align:left;margin-left:369pt;margin-top:.2pt;width:125.75pt;height:106.1pt;z-index:251658240;mso-wrap-distance-left:9.05pt;mso-wrap-distance-right:9.05pt" stroked="f">
            <v:fill opacity="0" color2="black"/>
            <v:textbox style="mso-next-textbox:#_x0000_s1028" inset="0,0,0,0">
              <w:txbxContent>
                <w:p w:rsidR="007C4E4D" w:rsidRDefault="007C4E4D" w:rsidP="00F06777">
                  <w:pPr>
                    <w:pStyle w:val="Contenuducadre"/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</w:pPr>
                  <w:r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  <w:t>Corporation des Carabins Niçois</w:t>
                  </w:r>
                </w:p>
                <w:p w:rsidR="007C4E4D" w:rsidRPr="00543C7A" w:rsidRDefault="007C4E4D" w:rsidP="00F06777">
                  <w:pPr>
                    <w:pStyle w:val="Contenuducadre"/>
                    <w:rPr>
                      <w:lang w:val="it-IT"/>
                    </w:rPr>
                  </w:pP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it-IT"/>
                    </w:rPr>
                    <w:t>UFR Médecine</w:t>
                  </w: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it-IT"/>
                    </w:rPr>
                    <w:br/>
                    <w:t>28, av. de Valombrose</w:t>
                  </w: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it-IT"/>
                    </w:rPr>
                    <w:br/>
                    <w:t>06107 Nice Cedex 2</w:t>
                  </w: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it-IT"/>
                    </w:rPr>
                    <w:br/>
                  </w: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u w:val="single"/>
                      <w:lang w:val="it-IT"/>
                    </w:rPr>
                    <w:t>www.carabinsnicois.com</w:t>
                  </w: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u w:val="single"/>
                      <w:lang w:val="it-IT"/>
                    </w:rPr>
                    <w:br/>
                  </w:r>
                  <w:r w:rsidRPr="00543C7A"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it-IT"/>
                    </w:rPr>
                    <w:t xml:space="preserve"> </w:t>
                  </w:r>
                  <w:hyperlink r:id="rId9" w:history="1">
                    <w:r w:rsidRPr="00543C7A">
                      <w:rPr>
                        <w:rStyle w:val="Hyperlink"/>
                        <w:rFonts w:ascii="Calibri" w:hAnsi="Calibri" w:cs="Tahoma"/>
                        <w:lang w:val="it-IT"/>
                      </w:rPr>
                      <w:t>vproneo@gmail.com</w:t>
                    </w:r>
                  </w:hyperlink>
                </w:p>
                <w:p w:rsidR="007C4E4D" w:rsidRPr="00543C7A" w:rsidRDefault="007C4E4D" w:rsidP="00F06777">
                  <w:pPr>
                    <w:rPr>
                      <w:lang w:val="it-IT"/>
                    </w:rPr>
                  </w:pPr>
                </w:p>
              </w:txbxContent>
            </v:textbox>
          </v:shape>
        </w:pict>
      </w: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  <w:r>
        <w:rPr>
          <w:noProof/>
        </w:rPr>
        <w:pict>
          <v:shape id="il_fi" o:spid="_x0000_s1029" type="#_x0000_t75" alt="" style="position:absolute;left:0;text-align:left;margin-left:-27pt;margin-top:.25pt;width:81pt;height:81pt;z-index:251656192">
            <v:imagedata r:id="rId10" o:title=""/>
            <w10:wrap type="square"/>
          </v:shape>
        </w:pict>
      </w: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  <w:r>
        <w:rPr>
          <w:noProof/>
        </w:rPr>
        <w:pict>
          <v:shape id="_x0000_s1030" type="#_x0000_t75" style="position:absolute;left:0;text-align:left;margin-left:-36pt;margin-top:5.05pt;width:537.9pt;height:112pt;z-index:251659264;mso-wrap-distance-left:0;mso-wrap-distance-right:0" filled="t">
            <v:fill color2="black"/>
            <v:imagedata r:id="rId11" o:title=""/>
            <w10:wrap type="topAndBottom"/>
          </v:shape>
        </w:pict>
      </w:r>
    </w:p>
    <w:p w:rsidR="007C4E4D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9B4D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591A87">
      <w:pPr>
        <w:spacing w:line="360" w:lineRule="auto"/>
        <w:ind w:left="-720" w:right="-648"/>
        <w:rPr>
          <w:i/>
          <w:sz w:val="20"/>
          <w:szCs w:val="20"/>
        </w:rPr>
      </w:pPr>
      <w:r w:rsidRPr="00341575">
        <w:rPr>
          <w:i/>
          <w:sz w:val="20"/>
          <w:szCs w:val="20"/>
        </w:rPr>
        <w:t xml:space="preserve">Grandes pathologies de l’Appareil Digestif                                                                                        </w:t>
      </w:r>
      <w:r>
        <w:rPr>
          <w:i/>
          <w:sz w:val="20"/>
          <w:szCs w:val="20"/>
        </w:rPr>
        <w:t xml:space="preserve">                            </w:t>
      </w:r>
      <w:r w:rsidRPr="00341575">
        <w:rPr>
          <w:i/>
          <w:sz w:val="20"/>
          <w:szCs w:val="20"/>
        </w:rPr>
        <w:t xml:space="preserve"> Vendredi 13 Janvier 2012</w:t>
      </w:r>
    </w:p>
    <w:p w:rsidR="007C4E4D" w:rsidRDefault="007C4E4D" w:rsidP="00591A87">
      <w:pPr>
        <w:spacing w:line="360" w:lineRule="auto"/>
        <w:ind w:left="-720" w:right="-648"/>
        <w:rPr>
          <w:i/>
          <w:sz w:val="20"/>
          <w:szCs w:val="20"/>
        </w:rPr>
      </w:pPr>
      <w:r w:rsidRPr="00341575">
        <w:rPr>
          <w:i/>
          <w:sz w:val="20"/>
          <w:szCs w:val="20"/>
        </w:rPr>
        <w:t>Pr Tran</w:t>
      </w:r>
    </w:p>
    <w:p w:rsidR="007C4E4D" w:rsidRPr="005973B9" w:rsidRDefault="007C4E4D" w:rsidP="00591A87">
      <w:pPr>
        <w:spacing w:line="360" w:lineRule="auto"/>
        <w:ind w:left="-720" w:right="-648"/>
        <w:rPr>
          <w:i/>
          <w:sz w:val="18"/>
          <w:szCs w:val="18"/>
        </w:rPr>
      </w:pPr>
    </w:p>
    <w:p w:rsidR="007C4E4D" w:rsidRPr="00341575" w:rsidRDefault="007C4E4D" w:rsidP="00591A87">
      <w:pPr>
        <w:pBdr>
          <w:top w:val="single" w:sz="8" w:space="2" w:color="auto"/>
          <w:left w:val="single" w:sz="8" w:space="1" w:color="auto"/>
          <w:bottom w:val="single" w:sz="8" w:space="1" w:color="auto"/>
          <w:right w:val="single" w:sz="8" w:space="1" w:color="auto"/>
        </w:pBdr>
        <w:shd w:val="pct10" w:color="000000" w:fill="FFFFFF"/>
        <w:ind w:left="-720" w:right="-646"/>
        <w:jc w:val="center"/>
        <w:rPr>
          <w:rFonts w:cs="Calibri"/>
          <w:b/>
          <w:sz w:val="32"/>
          <w:szCs w:val="32"/>
        </w:rPr>
      </w:pPr>
      <w:r w:rsidRPr="00341575">
        <w:rPr>
          <w:rFonts w:cs="Calibri"/>
          <w:b/>
          <w:sz w:val="32"/>
          <w:szCs w:val="32"/>
        </w:rPr>
        <w:t>TUMEURS DU PANCREAS</w:t>
      </w:r>
    </w:p>
    <w:p w:rsidR="007C4E4D" w:rsidRPr="00341575" w:rsidRDefault="007C4E4D" w:rsidP="00591A87">
      <w:pPr>
        <w:spacing w:line="360" w:lineRule="auto"/>
        <w:ind w:left="-720" w:right="-648"/>
        <w:rPr>
          <w:rFonts w:cs="Calibri"/>
          <w:sz w:val="20"/>
          <w:szCs w:val="20"/>
        </w:rPr>
      </w:pP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Bén</w:t>
      </w:r>
      <w:r>
        <w:rPr>
          <w:rFonts w:cs="Calibri"/>
          <w:sz w:val="20"/>
          <w:szCs w:val="20"/>
        </w:rPr>
        <w:t>ignes ou malignes (cancer), elles</w:t>
      </w:r>
      <w:r w:rsidRPr="00341575">
        <w:rPr>
          <w:rFonts w:cs="Calibri"/>
          <w:sz w:val="20"/>
          <w:szCs w:val="20"/>
        </w:rPr>
        <w:t xml:space="preserve"> peuvent prendre </w:t>
      </w:r>
      <w:r w:rsidRPr="00A44981">
        <w:rPr>
          <w:rFonts w:cs="Calibri"/>
          <w:sz w:val="20"/>
          <w:szCs w:val="20"/>
        </w:rPr>
        <w:t>2 formes</w:t>
      </w:r>
      <w:r w:rsidRPr="00341575">
        <w:rPr>
          <w:rFonts w:cs="Calibri"/>
          <w:sz w:val="20"/>
          <w:szCs w:val="20"/>
        </w:rPr>
        <w:t xml:space="preserve"> :</w:t>
      </w:r>
      <w:r>
        <w:rPr>
          <w:rFonts w:cs="Calibri"/>
          <w:sz w:val="20"/>
          <w:szCs w:val="20"/>
        </w:rPr>
        <w:t xml:space="preserve"> s</w:t>
      </w:r>
      <w:r w:rsidRPr="00341575">
        <w:rPr>
          <w:rFonts w:cs="Calibri"/>
          <w:sz w:val="20"/>
          <w:szCs w:val="20"/>
        </w:rPr>
        <w:t xml:space="preserve">olide </w:t>
      </w:r>
      <w:r>
        <w:rPr>
          <w:rFonts w:cs="Calibri"/>
          <w:sz w:val="20"/>
          <w:szCs w:val="20"/>
        </w:rPr>
        <w:t>(tissulaire) ou kystique (cavité liquidienne).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Le pancréas a une </w:t>
      </w:r>
      <w:r w:rsidRPr="00341575">
        <w:rPr>
          <w:rFonts w:cs="Calibri"/>
          <w:b/>
          <w:sz w:val="20"/>
          <w:szCs w:val="20"/>
        </w:rPr>
        <w:t>partie endocrine</w:t>
      </w:r>
      <w:r w:rsidRPr="00341575">
        <w:rPr>
          <w:rFonts w:cs="Calibri"/>
          <w:sz w:val="20"/>
          <w:szCs w:val="20"/>
        </w:rPr>
        <w:t xml:space="preserve"> (fabrication d’insuline) et un </w:t>
      </w:r>
      <w:r w:rsidRPr="00341575">
        <w:rPr>
          <w:rFonts w:cs="Calibri"/>
          <w:b/>
          <w:sz w:val="20"/>
          <w:szCs w:val="20"/>
        </w:rPr>
        <w:t>contingent exocrine</w:t>
      </w:r>
      <w:r w:rsidRPr="00341575">
        <w:rPr>
          <w:rFonts w:cs="Calibri"/>
          <w:sz w:val="20"/>
          <w:szCs w:val="20"/>
        </w:rPr>
        <w:t xml:space="preserve"> (production suc pancréatique).</w:t>
      </w:r>
    </w:p>
    <w:p w:rsidR="007C4E4D" w:rsidRPr="005973B9" w:rsidRDefault="007C4E4D" w:rsidP="00591A87">
      <w:pPr>
        <w:spacing w:line="360" w:lineRule="auto"/>
        <w:ind w:left="-720" w:right="-648" w:firstLine="720"/>
        <w:rPr>
          <w:rFonts w:cs="Calibri"/>
          <w:sz w:val="18"/>
          <w:szCs w:val="18"/>
        </w:rPr>
      </w:pPr>
    </w:p>
    <w:p w:rsidR="007C4E4D" w:rsidRPr="00341575" w:rsidRDefault="007C4E4D" w:rsidP="003D5C5F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shd w:val="pct10" w:color="000000" w:fill="FFFFFF"/>
        <w:ind w:left="-720" w:right="-646"/>
        <w:rPr>
          <w:rFonts w:cs="Calibri"/>
          <w:b/>
          <w:sz w:val="26"/>
          <w:szCs w:val="26"/>
        </w:rPr>
      </w:pPr>
      <w:r w:rsidRPr="00341575">
        <w:rPr>
          <w:rFonts w:cs="Calibri"/>
          <w:b/>
          <w:sz w:val="26"/>
          <w:szCs w:val="26"/>
        </w:rPr>
        <w:t>I ADENOCARCINOME PANCREATIQUE (90% DES CANCERS DU PANCREAS)</w:t>
      </w:r>
    </w:p>
    <w:p w:rsidR="007C4E4D" w:rsidRPr="005973B9" w:rsidRDefault="007C4E4D" w:rsidP="00591A87">
      <w:pPr>
        <w:spacing w:line="360" w:lineRule="auto"/>
        <w:ind w:right="-648"/>
        <w:rPr>
          <w:rFonts w:cs="Calibri"/>
          <w:b/>
          <w:sz w:val="18"/>
          <w:szCs w:val="18"/>
          <w:u w:val="single"/>
        </w:rPr>
      </w:pPr>
    </w:p>
    <w:p w:rsidR="007C4E4D" w:rsidRDefault="007C4E4D" w:rsidP="009408C2">
      <w:pPr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C’est le </w:t>
      </w:r>
      <w:r w:rsidRPr="00A76262">
        <w:rPr>
          <w:rFonts w:cs="Calibri"/>
          <w:b/>
          <w:sz w:val="20"/>
          <w:szCs w:val="20"/>
          <w:shd w:val="clear" w:color="auto" w:fill="E6E6E6"/>
        </w:rPr>
        <w:t>cancer du pancréas le plus répandu</w:t>
      </w:r>
      <w:r>
        <w:rPr>
          <w:rFonts w:cs="Calibri"/>
          <w:sz w:val="20"/>
          <w:szCs w:val="20"/>
        </w:rPr>
        <w:t xml:space="preserve">, retrouvé chez des personnes âgées de </w:t>
      </w:r>
      <w:r w:rsidRPr="00341575">
        <w:rPr>
          <w:rFonts w:cs="Calibri"/>
          <w:sz w:val="20"/>
          <w:szCs w:val="20"/>
        </w:rPr>
        <w:t>60 à 70 ans</w:t>
      </w:r>
      <w:r>
        <w:rPr>
          <w:rFonts w:cs="Calibri"/>
          <w:sz w:val="20"/>
          <w:szCs w:val="20"/>
        </w:rPr>
        <w:t>, il touche autant les hommes que les femmes (</w:t>
      </w:r>
      <w:r w:rsidRPr="00A76262">
        <w:rPr>
          <w:rFonts w:cs="Calibri"/>
          <w:b/>
          <w:sz w:val="20"/>
          <w:szCs w:val="20"/>
          <w:shd w:val="clear" w:color="auto" w:fill="E6E6E6"/>
        </w:rPr>
        <w:t>sex ratio égal à 1</w:t>
      </w:r>
      <w:r>
        <w:rPr>
          <w:rFonts w:cs="Calibri"/>
          <w:sz w:val="20"/>
          <w:szCs w:val="20"/>
        </w:rPr>
        <w:t>) avec une incidence égale à 5000 cas/an (5</w:t>
      </w:r>
      <w:r w:rsidRPr="00A76262">
        <w:rPr>
          <w:rFonts w:cs="Calibri"/>
          <w:sz w:val="20"/>
          <w:szCs w:val="20"/>
          <w:vertAlign w:val="superscript"/>
        </w:rPr>
        <w:t>ème</w:t>
      </w:r>
      <w:r>
        <w:rPr>
          <w:rFonts w:cs="Calibri"/>
          <w:sz w:val="20"/>
          <w:szCs w:val="20"/>
        </w:rPr>
        <w:t xml:space="preserve"> cause de décès par cancer digestif).</w:t>
      </w:r>
    </w:p>
    <w:p w:rsidR="007C4E4D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La médiane de survie est comprise entre 8 et 24 mois, cela signifie, que 50% des personnes sont encore en vie entre le 8</w:t>
      </w:r>
      <w:r w:rsidRPr="00E17B84">
        <w:rPr>
          <w:rFonts w:cs="Calibri"/>
          <w:sz w:val="20"/>
          <w:szCs w:val="20"/>
          <w:vertAlign w:val="superscript"/>
        </w:rPr>
        <w:t>ème</w:t>
      </w:r>
      <w:r>
        <w:rPr>
          <w:rFonts w:cs="Calibri"/>
          <w:sz w:val="20"/>
          <w:szCs w:val="20"/>
        </w:rPr>
        <w:t xml:space="preserve"> et le 24</w:t>
      </w:r>
      <w:r w:rsidRPr="00E17B84">
        <w:rPr>
          <w:rFonts w:cs="Calibri"/>
          <w:sz w:val="20"/>
          <w:szCs w:val="20"/>
          <w:vertAlign w:val="superscript"/>
        </w:rPr>
        <w:t>ème</w:t>
      </w:r>
      <w:r>
        <w:rPr>
          <w:rFonts w:cs="Calibri"/>
          <w:sz w:val="20"/>
          <w:szCs w:val="20"/>
        </w:rPr>
        <w:t xml:space="preserve"> mois (on n’utilise pas la moyenne pour éviter les cas dits extrêmes).</w:t>
      </w:r>
    </w:p>
    <w:p w:rsidR="007C4E4D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On peut avoir une </w:t>
      </w:r>
      <w:r w:rsidRPr="00A76262">
        <w:rPr>
          <w:rFonts w:cs="Calibri"/>
          <w:b/>
          <w:sz w:val="20"/>
          <w:szCs w:val="20"/>
        </w:rPr>
        <w:t>remise en cause du diagnostic</w:t>
      </w:r>
      <w:r w:rsidRPr="00341575">
        <w:rPr>
          <w:rFonts w:cs="Calibri"/>
          <w:sz w:val="20"/>
          <w:szCs w:val="20"/>
        </w:rPr>
        <w:t xml:space="preserve"> si le patient n’est pas décédé après un an (pronostic général).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90% soit </w:t>
      </w:r>
      <w:r>
        <w:rPr>
          <w:rFonts w:cs="Calibri"/>
          <w:sz w:val="20"/>
          <w:szCs w:val="20"/>
        </w:rPr>
        <w:t xml:space="preserve">la </w:t>
      </w:r>
      <w:r w:rsidRPr="00341575">
        <w:rPr>
          <w:rFonts w:cs="Calibri"/>
          <w:sz w:val="20"/>
          <w:szCs w:val="20"/>
        </w:rPr>
        <w:t xml:space="preserve">quasi-totalité </w:t>
      </w:r>
      <w:r>
        <w:rPr>
          <w:rFonts w:cs="Calibri"/>
          <w:sz w:val="20"/>
          <w:szCs w:val="20"/>
        </w:rPr>
        <w:t xml:space="preserve">sont des </w:t>
      </w:r>
      <w:r w:rsidRPr="00A76262">
        <w:rPr>
          <w:rFonts w:cs="Calibri"/>
          <w:b/>
          <w:sz w:val="20"/>
          <w:szCs w:val="20"/>
          <w:shd w:val="clear" w:color="auto" w:fill="E6E6E6"/>
        </w:rPr>
        <w:t>tumeurs solides pancréatiques</w:t>
      </w:r>
      <w:r w:rsidRPr="00341575">
        <w:rPr>
          <w:rFonts w:cs="Calibri"/>
          <w:sz w:val="20"/>
          <w:szCs w:val="20"/>
        </w:rPr>
        <w:t xml:space="preserve"> (plus rarement tumeur endocrine ou métastases)</w:t>
      </w:r>
      <w:r>
        <w:rPr>
          <w:rFonts w:cs="Calibri"/>
          <w:sz w:val="20"/>
          <w:szCs w:val="20"/>
        </w:rPr>
        <w:t>.</w:t>
      </w:r>
    </w:p>
    <w:p w:rsidR="007C4E4D" w:rsidRPr="005973B9" w:rsidRDefault="007C4E4D" w:rsidP="009408C2">
      <w:pPr>
        <w:spacing w:line="360" w:lineRule="auto"/>
        <w:ind w:right="-648"/>
        <w:jc w:val="both"/>
        <w:rPr>
          <w:rFonts w:cs="Calibri"/>
          <w:b/>
          <w:sz w:val="18"/>
          <w:szCs w:val="18"/>
          <w:u w:val="single"/>
        </w:rPr>
      </w:pPr>
    </w:p>
    <w:p w:rsidR="007C4E4D" w:rsidRPr="000011D4" w:rsidRDefault="007C4E4D" w:rsidP="009408C2">
      <w:pPr>
        <w:spacing w:line="360" w:lineRule="auto"/>
        <w:ind w:right="-648"/>
        <w:jc w:val="both"/>
        <w:rPr>
          <w:rFonts w:cs="Calibri"/>
          <w:b/>
          <w:sz w:val="22"/>
          <w:szCs w:val="22"/>
          <w:u w:val="single"/>
        </w:rPr>
      </w:pPr>
      <w:r w:rsidRPr="000011D4">
        <w:rPr>
          <w:rFonts w:cs="Calibri"/>
          <w:b/>
          <w:sz w:val="22"/>
          <w:szCs w:val="22"/>
          <w:u w:val="single"/>
        </w:rPr>
        <w:t>A FACTEURS DE RISQUES</w:t>
      </w:r>
    </w:p>
    <w:p w:rsidR="007C4E4D" w:rsidRPr="00341575" w:rsidRDefault="007C4E4D" w:rsidP="009408C2">
      <w:pPr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Exogène</w:t>
      </w:r>
      <w:r>
        <w:rPr>
          <w:rFonts w:cs="Calibri"/>
          <w:sz w:val="20"/>
          <w:szCs w:val="20"/>
        </w:rPr>
        <w:t xml:space="preserve"> : tabac et son </w:t>
      </w:r>
      <w:r w:rsidRPr="000C0985">
        <w:rPr>
          <w:rFonts w:cs="Calibri"/>
          <w:b/>
          <w:sz w:val="20"/>
          <w:szCs w:val="20"/>
          <w:shd w:val="clear" w:color="auto" w:fill="E6E6E6"/>
        </w:rPr>
        <w:t>effet synergique</w:t>
      </w:r>
      <w:r>
        <w:rPr>
          <w:rFonts w:cs="Calibri"/>
          <w:sz w:val="20"/>
          <w:szCs w:val="20"/>
        </w:rPr>
        <w:t xml:space="preserve"> </w:t>
      </w:r>
      <w:r w:rsidRPr="00341575">
        <w:rPr>
          <w:rFonts w:cs="Calibri"/>
          <w:sz w:val="20"/>
          <w:szCs w:val="20"/>
        </w:rPr>
        <w:t>avec la pancréatite chronique hér</w:t>
      </w:r>
      <w:r>
        <w:rPr>
          <w:rFonts w:cs="Calibri"/>
          <w:sz w:val="20"/>
          <w:szCs w:val="20"/>
        </w:rPr>
        <w:t>éditaire et le</w:t>
      </w:r>
      <w:r w:rsidRPr="00341575">
        <w:rPr>
          <w:rFonts w:cs="Calibri"/>
          <w:sz w:val="20"/>
          <w:szCs w:val="20"/>
        </w:rPr>
        <w:t xml:space="preserve"> cancer pancréatique familial</w:t>
      </w:r>
    </w:p>
    <w:p w:rsidR="007C4E4D" w:rsidRPr="00341575" w:rsidRDefault="007C4E4D" w:rsidP="009408C2">
      <w:pPr>
        <w:tabs>
          <w:tab w:val="num" w:pos="0"/>
        </w:tabs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Endogène</w:t>
      </w:r>
      <w:r>
        <w:rPr>
          <w:rFonts w:cs="Calibri"/>
          <w:b/>
          <w:sz w:val="20"/>
          <w:szCs w:val="20"/>
        </w:rPr>
        <w:t> </w:t>
      </w:r>
      <w:r>
        <w:rPr>
          <w:rFonts w:cs="Calibri"/>
          <w:sz w:val="20"/>
          <w:szCs w:val="20"/>
        </w:rPr>
        <w:t>: d</w:t>
      </w:r>
      <w:r w:rsidRPr="00341575">
        <w:rPr>
          <w:rFonts w:cs="Calibri"/>
          <w:sz w:val="20"/>
          <w:szCs w:val="20"/>
        </w:rPr>
        <w:t>iabète</w:t>
      </w:r>
      <w:r>
        <w:rPr>
          <w:rFonts w:cs="Calibri"/>
          <w:sz w:val="20"/>
          <w:szCs w:val="20"/>
        </w:rPr>
        <w:t>, p</w:t>
      </w:r>
      <w:r w:rsidRPr="00341575">
        <w:rPr>
          <w:rFonts w:cs="Calibri"/>
          <w:sz w:val="20"/>
          <w:szCs w:val="20"/>
        </w:rPr>
        <w:t>ancréatite chronique alcoolique</w:t>
      </w:r>
      <w:r>
        <w:rPr>
          <w:rFonts w:cs="Calibri"/>
          <w:sz w:val="20"/>
          <w:szCs w:val="20"/>
        </w:rPr>
        <w:t xml:space="preserve"> et </w:t>
      </w:r>
      <w:r w:rsidRPr="00341575">
        <w:rPr>
          <w:rFonts w:cs="Calibri"/>
          <w:sz w:val="20"/>
          <w:szCs w:val="20"/>
        </w:rPr>
        <w:t>TIPMP ou cystadénome mucineux qui peuvent dégénérer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Au niveau familial, la pancréatite chronique héréditaire (risque cumulé 40% à 50 ans), les ATCD familiaux (X9-32) et les f</w:t>
      </w:r>
      <w:r w:rsidRPr="00341575">
        <w:rPr>
          <w:rFonts w:cs="Calibri"/>
          <w:sz w:val="20"/>
          <w:szCs w:val="20"/>
        </w:rPr>
        <w:t xml:space="preserve">ormes héréditaires de cancer du pancréas, </w:t>
      </w:r>
      <w:r>
        <w:rPr>
          <w:rFonts w:cs="Calibri"/>
          <w:sz w:val="20"/>
          <w:szCs w:val="20"/>
        </w:rPr>
        <w:t>sont des facteurs importants à prendre en compte.</w:t>
      </w:r>
    </w:p>
    <w:p w:rsidR="007C4E4D" w:rsidRPr="005973B9" w:rsidRDefault="007C4E4D" w:rsidP="009408C2">
      <w:pPr>
        <w:spacing w:line="360" w:lineRule="auto"/>
        <w:ind w:right="-648"/>
        <w:jc w:val="both"/>
        <w:rPr>
          <w:rFonts w:cs="Calibri"/>
          <w:b/>
          <w:sz w:val="18"/>
          <w:szCs w:val="18"/>
          <w:u w:val="single"/>
        </w:rPr>
      </w:pPr>
    </w:p>
    <w:p w:rsidR="007C4E4D" w:rsidRPr="00341575" w:rsidRDefault="007C4E4D" w:rsidP="009408C2">
      <w:pPr>
        <w:spacing w:line="360" w:lineRule="auto"/>
        <w:ind w:right="-648"/>
        <w:jc w:val="both"/>
        <w:rPr>
          <w:rFonts w:cs="Calibri"/>
          <w:b/>
          <w:sz w:val="22"/>
          <w:szCs w:val="22"/>
          <w:u w:val="single"/>
        </w:rPr>
      </w:pPr>
      <w:r w:rsidRPr="00341575">
        <w:rPr>
          <w:rFonts w:cs="Calibri"/>
          <w:b/>
          <w:sz w:val="22"/>
          <w:szCs w:val="22"/>
          <w:u w:val="single"/>
        </w:rPr>
        <w:t>B DEPISTAGE ET TRAITEMENT PREVENTIF</w:t>
      </w:r>
    </w:p>
    <w:p w:rsidR="007C4E4D" w:rsidRPr="00341575" w:rsidRDefault="007C4E4D" w:rsidP="009408C2">
      <w:pPr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Pas de dépistage au niveau de la population</w:t>
      </w:r>
      <w:r>
        <w:rPr>
          <w:rFonts w:cs="Calibri"/>
          <w:sz w:val="20"/>
          <w:szCs w:val="20"/>
        </w:rPr>
        <w:t>,</w:t>
      </w:r>
      <w:r w:rsidRPr="00341575">
        <w:rPr>
          <w:rFonts w:cs="Calibri"/>
          <w:sz w:val="20"/>
          <w:szCs w:val="20"/>
        </w:rPr>
        <w:t xml:space="preserve"> il n’existe pas de groupe à </w:t>
      </w:r>
      <w:r>
        <w:rPr>
          <w:rFonts w:cs="Calibri"/>
          <w:sz w:val="20"/>
          <w:szCs w:val="20"/>
        </w:rPr>
        <w:t xml:space="preserve">risque en dehors des </w:t>
      </w:r>
      <w:r w:rsidRPr="00341575">
        <w:rPr>
          <w:rFonts w:cs="Calibri"/>
          <w:sz w:val="20"/>
          <w:szCs w:val="20"/>
        </w:rPr>
        <w:t>pancréatite</w:t>
      </w:r>
      <w:r>
        <w:rPr>
          <w:rFonts w:cs="Calibri"/>
          <w:sz w:val="20"/>
          <w:szCs w:val="20"/>
        </w:rPr>
        <w:t xml:space="preserve">s chroniques </w:t>
      </w:r>
      <w:r w:rsidRPr="00341575">
        <w:rPr>
          <w:rFonts w:cs="Calibri"/>
          <w:sz w:val="20"/>
          <w:szCs w:val="20"/>
        </w:rPr>
        <w:t>héréditaire</w:t>
      </w:r>
      <w:r>
        <w:rPr>
          <w:rFonts w:cs="Calibri"/>
          <w:sz w:val="20"/>
          <w:szCs w:val="20"/>
        </w:rPr>
        <w:t xml:space="preserve">s, du </w:t>
      </w:r>
      <w:r w:rsidRPr="00341575">
        <w:rPr>
          <w:rFonts w:cs="Calibri"/>
          <w:sz w:val="20"/>
          <w:szCs w:val="20"/>
        </w:rPr>
        <w:t xml:space="preserve">TIPMP </w:t>
      </w:r>
      <w:r>
        <w:rPr>
          <w:rFonts w:cs="Calibri"/>
          <w:sz w:val="20"/>
          <w:szCs w:val="20"/>
        </w:rPr>
        <w:t>et des formes assez rares de cancer du pancréas héréditaires, qui seront à surveiller.</w:t>
      </w:r>
    </w:p>
    <w:p w:rsidR="007C4E4D" w:rsidRDefault="007C4E4D" w:rsidP="009408C2">
      <w:pPr>
        <w:spacing w:line="360" w:lineRule="auto"/>
        <w:ind w:left="-720" w:right="-648"/>
        <w:jc w:val="both"/>
        <w:rPr>
          <w:rFonts w:cs="Calibri"/>
          <w:b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Modalités de dépistage</w:t>
      </w:r>
      <w:r>
        <w:rPr>
          <w:rFonts w:cs="Calibri"/>
          <w:b/>
          <w:sz w:val="20"/>
          <w:szCs w:val="20"/>
        </w:rPr>
        <w:t> :</w:t>
      </w:r>
    </w:p>
    <w:p w:rsidR="007C4E4D" w:rsidRDefault="007C4E4D" w:rsidP="009408C2">
      <w:pPr>
        <w:tabs>
          <w:tab w:val="num" w:pos="0"/>
        </w:tabs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E40A0">
        <w:rPr>
          <w:rFonts w:cs="Calibri"/>
          <w:sz w:val="20"/>
          <w:szCs w:val="20"/>
        </w:rPr>
        <w:t>Il n’existe pas de marqueurs biologiques, CA19-9 n’a pas d’intérêt (ni spécifique</w:t>
      </w:r>
      <w:r>
        <w:rPr>
          <w:rFonts w:cs="Calibri"/>
          <w:sz w:val="20"/>
          <w:szCs w:val="20"/>
        </w:rPr>
        <w:t>,</w:t>
      </w:r>
      <w:r w:rsidRPr="003E40A0">
        <w:rPr>
          <w:rFonts w:cs="Calibri"/>
          <w:sz w:val="20"/>
          <w:szCs w:val="20"/>
        </w:rPr>
        <w:t xml:space="preserve"> ni sensible)</w:t>
      </w:r>
      <w:r>
        <w:rPr>
          <w:rFonts w:cs="Calibri"/>
          <w:sz w:val="20"/>
          <w:szCs w:val="20"/>
        </w:rPr>
        <w:t>. Il est donc i</w:t>
      </w:r>
      <w:r w:rsidRPr="003E40A0">
        <w:rPr>
          <w:rFonts w:cs="Calibri"/>
          <w:sz w:val="20"/>
          <w:szCs w:val="20"/>
        </w:rPr>
        <w:t>mpossible à utiliser en dépistage</w:t>
      </w:r>
      <w:r>
        <w:rPr>
          <w:rFonts w:cs="Calibri"/>
          <w:sz w:val="20"/>
          <w:szCs w:val="20"/>
        </w:rPr>
        <w:t>. En imagerie, l’IRM et l’échoendoscopie seraient imposs</w:t>
      </w:r>
      <w:r w:rsidRPr="00341575">
        <w:rPr>
          <w:rFonts w:cs="Calibri"/>
          <w:sz w:val="20"/>
          <w:szCs w:val="20"/>
        </w:rPr>
        <w:t>ible</w:t>
      </w:r>
      <w:r>
        <w:rPr>
          <w:rFonts w:cs="Calibri"/>
          <w:sz w:val="20"/>
          <w:szCs w:val="20"/>
        </w:rPr>
        <w:t>s</w:t>
      </w:r>
      <w:r w:rsidRPr="00341575">
        <w:rPr>
          <w:rFonts w:cs="Calibri"/>
          <w:sz w:val="20"/>
          <w:szCs w:val="20"/>
        </w:rPr>
        <w:t xml:space="preserve"> chez toute la population</w:t>
      </w:r>
      <w:r>
        <w:rPr>
          <w:rFonts w:cs="Calibri"/>
          <w:sz w:val="20"/>
          <w:szCs w:val="20"/>
        </w:rPr>
        <w:t xml:space="preserve">. </w:t>
      </w:r>
    </w:p>
    <w:p w:rsidR="007C4E4D" w:rsidRPr="00341575" w:rsidRDefault="007C4E4D" w:rsidP="009408C2">
      <w:pPr>
        <w:tabs>
          <w:tab w:val="num" w:pos="0"/>
        </w:tabs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De plus il n’y a </w:t>
      </w:r>
      <w:r>
        <w:rPr>
          <w:rFonts w:cs="Calibri"/>
          <w:b/>
          <w:sz w:val="20"/>
          <w:szCs w:val="20"/>
          <w:shd w:val="clear" w:color="auto" w:fill="E6E6E6"/>
        </w:rPr>
        <w:t>p</w:t>
      </w:r>
      <w:r w:rsidRPr="00341575">
        <w:rPr>
          <w:rFonts w:cs="Calibri"/>
          <w:b/>
          <w:sz w:val="20"/>
          <w:szCs w:val="20"/>
          <w:shd w:val="clear" w:color="auto" w:fill="E6E6E6"/>
        </w:rPr>
        <w:t>as de traitement préventif connu</w:t>
      </w:r>
      <w:r w:rsidRPr="00341575">
        <w:rPr>
          <w:rFonts w:cs="Calibri"/>
          <w:sz w:val="20"/>
          <w:szCs w:val="20"/>
        </w:rPr>
        <w:t xml:space="preserve">, </w:t>
      </w:r>
      <w:r>
        <w:rPr>
          <w:rFonts w:cs="Calibri"/>
          <w:sz w:val="20"/>
          <w:szCs w:val="20"/>
        </w:rPr>
        <w:t xml:space="preserve">donc </w:t>
      </w:r>
      <w:r w:rsidRPr="00341575">
        <w:rPr>
          <w:rFonts w:cs="Calibri"/>
          <w:sz w:val="20"/>
          <w:szCs w:val="20"/>
        </w:rPr>
        <w:t>on peut seulement surveiller les cas particuliers cités</w:t>
      </w:r>
      <w:r>
        <w:rPr>
          <w:rFonts w:cs="Calibri"/>
          <w:sz w:val="20"/>
          <w:szCs w:val="20"/>
        </w:rPr>
        <w:t>.</w:t>
      </w:r>
    </w:p>
    <w:p w:rsidR="007C4E4D" w:rsidRPr="005973B9" w:rsidRDefault="007C4E4D" w:rsidP="009408C2">
      <w:pPr>
        <w:spacing w:line="360" w:lineRule="auto"/>
        <w:ind w:left="-720" w:right="-648"/>
        <w:jc w:val="both"/>
        <w:rPr>
          <w:rFonts w:cs="Calibri"/>
          <w:sz w:val="18"/>
          <w:szCs w:val="18"/>
        </w:rPr>
      </w:pP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2"/>
          <w:szCs w:val="22"/>
          <w:u w:val="single"/>
        </w:rPr>
      </w:pPr>
      <w:r w:rsidRPr="00341575">
        <w:rPr>
          <w:rFonts w:cs="Calibri"/>
          <w:sz w:val="22"/>
          <w:szCs w:val="22"/>
          <w:u w:val="single"/>
        </w:rPr>
        <w:t xml:space="preserve">1) </w:t>
      </w:r>
      <w:r>
        <w:rPr>
          <w:rFonts w:cs="Calibri"/>
          <w:sz w:val="22"/>
          <w:szCs w:val="22"/>
          <w:u w:val="single"/>
        </w:rPr>
        <w:t>DIAGNOSTIC POSITIF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Clinique</w:t>
      </w:r>
      <w:r>
        <w:rPr>
          <w:rFonts w:cs="Calibri"/>
          <w:sz w:val="20"/>
          <w:szCs w:val="20"/>
        </w:rPr>
        <w:t xml:space="preserve"> : </w:t>
      </w:r>
      <w:r w:rsidRPr="00341575">
        <w:rPr>
          <w:rFonts w:cs="Calibri"/>
          <w:sz w:val="20"/>
          <w:szCs w:val="20"/>
        </w:rPr>
        <w:t>tumeur de la tête du pancréas, forme typique. Trajet rétropancréatique de la voie biliaire principale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ictère nu (ni douleur ni fièvre), progressif, prurit (lésions de grattage), souvent une grosse vésicule tendue (dilatée).</w:t>
      </w:r>
    </w:p>
    <w:p w:rsidR="007C4E4D" w:rsidRPr="009408C2" w:rsidRDefault="007C4E4D" w:rsidP="009408C2">
      <w:pPr>
        <w:numPr>
          <w:ilvl w:val="0"/>
          <w:numId w:val="2"/>
        </w:numPr>
        <w:tabs>
          <w:tab w:val="clear" w:pos="360"/>
          <w:tab w:val="num" w:pos="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douleur </w:t>
      </w:r>
      <w:r w:rsidRPr="00341575">
        <w:rPr>
          <w:rFonts w:cs="Calibri"/>
          <w:sz w:val="20"/>
          <w:szCs w:val="20"/>
        </w:rPr>
        <w:t>sola</w:t>
      </w:r>
      <w:r>
        <w:rPr>
          <w:rFonts w:cs="Calibri"/>
          <w:sz w:val="20"/>
          <w:szCs w:val="20"/>
        </w:rPr>
        <w:t>ire</w:t>
      </w:r>
      <w:r w:rsidRPr="00341575">
        <w:rPr>
          <w:rFonts w:cs="Calibri"/>
          <w:sz w:val="20"/>
          <w:szCs w:val="20"/>
        </w:rPr>
        <w:t xml:space="preserve"> intense </w:t>
      </w:r>
      <w:r w:rsidRPr="00341575">
        <w:rPr>
          <w:rFonts w:cs="Calibri"/>
          <w:b/>
          <w:sz w:val="20"/>
          <w:szCs w:val="20"/>
          <w:shd w:val="clear" w:color="auto" w:fill="E6E6E6"/>
        </w:rPr>
        <w:t>« en coup de poignard », transfixiante</w:t>
      </w:r>
      <w:r w:rsidRPr="00341575">
        <w:rPr>
          <w:rFonts w:cs="Calibri"/>
          <w:sz w:val="20"/>
          <w:szCs w:val="20"/>
        </w:rPr>
        <w:t xml:space="preserve">, insomniante. Une des douleurs viscérales les plus importantes qui exige un </w:t>
      </w:r>
      <w:r w:rsidRPr="00341575">
        <w:rPr>
          <w:rFonts w:cs="Calibri"/>
          <w:b/>
          <w:sz w:val="20"/>
          <w:szCs w:val="20"/>
          <w:shd w:val="clear" w:color="auto" w:fill="E6E6E6"/>
        </w:rPr>
        <w:t>recours direct aux opiacés voire aux anesthésies du rachis</w:t>
      </w:r>
      <w:r w:rsidRPr="00341575">
        <w:rPr>
          <w:rFonts w:cs="Calibri"/>
          <w:sz w:val="20"/>
          <w:szCs w:val="20"/>
        </w:rPr>
        <w:t xml:space="preserve">. </w:t>
      </w:r>
      <w:r w:rsidRPr="009408C2">
        <w:rPr>
          <w:rFonts w:cs="Calibri"/>
          <w:sz w:val="20"/>
          <w:szCs w:val="20"/>
        </w:rPr>
        <w:t>Absente au début, sa présence traduit un envahissement local important (atteinte des ganglions)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216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  <w:shd w:val="clear" w:color="auto" w:fill="E6E6E6"/>
        </w:rPr>
        <w:t>altération de l’état général</w:t>
      </w:r>
      <w:r w:rsidRPr="00341575">
        <w:rPr>
          <w:rFonts w:cs="Calibri"/>
          <w:sz w:val="20"/>
          <w:szCs w:val="20"/>
        </w:rPr>
        <w:t xml:space="preserve"> : amaigrissement massif et rapide (dizaine de kilos en 2-3 mois)</w:t>
      </w:r>
    </w:p>
    <w:p w:rsidR="007C4E4D" w:rsidRPr="00341575" w:rsidRDefault="007C4E4D" w:rsidP="009408C2">
      <w:pPr>
        <w:tabs>
          <w:tab w:val="left" w:pos="720"/>
        </w:tabs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Autres formes cliniques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angiocholite : douleur, fièvre, ictère (on tombe sur le cancer après recherche du calcul)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  <w:shd w:val="clear" w:color="auto" w:fill="E6E6E6"/>
        </w:rPr>
        <w:t>douleur dorsale rhumatologique</w:t>
      </w:r>
      <w:r w:rsidRPr="00341575">
        <w:rPr>
          <w:rFonts w:cs="Calibri"/>
          <w:sz w:val="20"/>
          <w:szCs w:val="20"/>
        </w:rPr>
        <w:t xml:space="preserve"> persistante (imagerie du pancréas)</w:t>
      </w:r>
    </w:p>
    <w:p w:rsidR="007C4E4D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pancréatite aiguë si la tumeur obstrue le canal de </w:t>
      </w:r>
      <w:r w:rsidRPr="00341575">
        <w:rPr>
          <w:rFonts w:cs="Calibri"/>
          <w:i/>
          <w:sz w:val="20"/>
          <w:szCs w:val="20"/>
        </w:rPr>
        <w:t>Wirsung</w:t>
      </w:r>
      <w:r w:rsidRPr="00341575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 xml:space="preserve"> </w:t>
      </w:r>
    </w:p>
    <w:p w:rsidR="007C4E4D" w:rsidRPr="00341575" w:rsidRDefault="007C4E4D" w:rsidP="009408C2">
      <w:pPr>
        <w:tabs>
          <w:tab w:val="left" w:pos="1440"/>
        </w:tabs>
        <w:spacing w:line="360" w:lineRule="auto"/>
        <w:ind w:left="-360" w:right="-648" w:firstLine="360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  <w:shd w:val="clear" w:color="auto" w:fill="E6E6E6"/>
        </w:rPr>
        <w:t>La surveillance est indispensable</w:t>
      </w:r>
      <w:r w:rsidRPr="00341575">
        <w:rPr>
          <w:rFonts w:cs="Calibri"/>
          <w:b/>
          <w:sz w:val="20"/>
          <w:szCs w:val="20"/>
        </w:rPr>
        <w:t xml:space="preserve"> </w:t>
      </w:r>
      <w:r w:rsidRPr="00341575">
        <w:rPr>
          <w:rFonts w:cs="Calibri"/>
          <w:sz w:val="20"/>
          <w:szCs w:val="20"/>
        </w:rPr>
        <w:t>même si on ne trouve pas la cause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diabète chez l’homme &gt; 40 ans 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thrombophlébite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dépression inexpliquée, recherche d’un cancer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cancer queue du pancréas : douleur traduisant l’envahissement de la région cœliaque</w:t>
      </w:r>
    </w:p>
    <w:p w:rsidR="007C4E4D" w:rsidRPr="00341575" w:rsidRDefault="007C4E4D" w:rsidP="009408C2">
      <w:pPr>
        <w:numPr>
          <w:ilvl w:val="0"/>
          <w:numId w:val="2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métastases hépatiques</w:t>
      </w:r>
    </w:p>
    <w:p w:rsidR="007C4E4D" w:rsidRPr="00341575" w:rsidRDefault="007C4E4D" w:rsidP="009408C2">
      <w:pPr>
        <w:tabs>
          <w:tab w:val="left" w:pos="1440"/>
        </w:tabs>
        <w:spacing w:line="360" w:lineRule="auto"/>
        <w:ind w:left="-720" w:right="-648"/>
        <w:jc w:val="both"/>
        <w:rPr>
          <w:rFonts w:cs="Calibri"/>
          <w:b/>
          <w:sz w:val="20"/>
          <w:szCs w:val="20"/>
        </w:rPr>
      </w:pPr>
    </w:p>
    <w:p w:rsidR="007C4E4D" w:rsidRDefault="007C4E4D" w:rsidP="009408C2">
      <w:pPr>
        <w:tabs>
          <w:tab w:val="left" w:pos="1440"/>
        </w:tabs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Biologie</w:t>
      </w:r>
      <w:r>
        <w:rPr>
          <w:rFonts w:cs="Calibri"/>
          <w:b/>
          <w:sz w:val="20"/>
          <w:szCs w:val="20"/>
        </w:rPr>
        <w:t xml:space="preserve"> : </w:t>
      </w:r>
      <w:r>
        <w:rPr>
          <w:rFonts w:cs="Calibri"/>
          <w:b/>
          <w:sz w:val="20"/>
          <w:szCs w:val="20"/>
          <w:shd w:val="clear" w:color="auto" w:fill="E6E6E6"/>
        </w:rPr>
        <w:t>p</w:t>
      </w:r>
      <w:r w:rsidRPr="00341575">
        <w:rPr>
          <w:rFonts w:cs="Calibri"/>
          <w:b/>
          <w:sz w:val="20"/>
          <w:szCs w:val="20"/>
          <w:shd w:val="clear" w:color="auto" w:fill="E6E6E6"/>
        </w:rPr>
        <w:t>as vraiment d’intérêt</w:t>
      </w:r>
      <w:r w:rsidRPr="00341575">
        <w:rPr>
          <w:rFonts w:cs="Calibri"/>
          <w:sz w:val="20"/>
          <w:szCs w:val="20"/>
        </w:rPr>
        <w:t xml:space="preserve"> sur le plan diagnostic, tout va se baser sur l’imagerie</w:t>
      </w:r>
    </w:p>
    <w:p w:rsidR="007C4E4D" w:rsidRPr="00341575" w:rsidRDefault="007C4E4D" w:rsidP="009408C2">
      <w:pPr>
        <w:numPr>
          <w:ilvl w:val="0"/>
          <w:numId w:val="6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lipasémie, amylasémie : Aucun intérêt, elles sont généralement normales</w:t>
      </w:r>
    </w:p>
    <w:p w:rsidR="007C4E4D" w:rsidRPr="00341575" w:rsidRDefault="007C4E4D" w:rsidP="009408C2">
      <w:pPr>
        <w:numPr>
          <w:ilvl w:val="0"/>
          <w:numId w:val="6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CA19-9 : ni sensible, ni spécifique, perturbé par la cholestase ou stase de la bile (élevé si pancréatite)</w:t>
      </w:r>
    </w:p>
    <w:p w:rsidR="007C4E4D" w:rsidRPr="00341575" w:rsidRDefault="007C4E4D" w:rsidP="009408C2">
      <w:pPr>
        <w:numPr>
          <w:ilvl w:val="0"/>
          <w:numId w:val="6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GGT (</w:t>
      </w:r>
      <w:r w:rsidRPr="00341575">
        <w:rPr>
          <w:rFonts w:cs="Arial"/>
          <w:sz w:val="20"/>
          <w:szCs w:val="20"/>
        </w:rPr>
        <w:t>γ glutamyl transpeptidase)</w:t>
      </w:r>
      <w:r w:rsidRPr="00341575">
        <w:rPr>
          <w:rFonts w:cs="Calibri"/>
          <w:sz w:val="20"/>
          <w:szCs w:val="20"/>
        </w:rPr>
        <w:t>, phosphatases alcalines élevées</w:t>
      </w:r>
      <w:r>
        <w:rPr>
          <w:rFonts w:cs="Calibri"/>
          <w:sz w:val="20"/>
          <w:szCs w:val="20"/>
        </w:rPr>
        <w:t>, g</w:t>
      </w:r>
      <w:r w:rsidRPr="00341575">
        <w:rPr>
          <w:rFonts w:cs="Calibri"/>
          <w:sz w:val="20"/>
          <w:szCs w:val="20"/>
        </w:rPr>
        <w:t>lycémie dans le cas du diabète</w:t>
      </w:r>
    </w:p>
    <w:p w:rsidR="007C4E4D" w:rsidRDefault="007C4E4D" w:rsidP="009408C2">
      <w:pPr>
        <w:tabs>
          <w:tab w:val="left" w:pos="1440"/>
        </w:tabs>
        <w:spacing w:line="360" w:lineRule="auto"/>
        <w:ind w:left="-720" w:right="-648"/>
        <w:jc w:val="both"/>
        <w:rPr>
          <w:rFonts w:cs="Calibri"/>
          <w:b/>
          <w:sz w:val="20"/>
          <w:szCs w:val="20"/>
        </w:rPr>
      </w:pPr>
    </w:p>
    <w:p w:rsidR="007C4E4D" w:rsidRPr="00341575" w:rsidRDefault="007C4E4D" w:rsidP="009408C2">
      <w:pPr>
        <w:tabs>
          <w:tab w:val="left" w:pos="1440"/>
        </w:tabs>
        <w:spacing w:line="360" w:lineRule="auto"/>
        <w:ind w:left="-720" w:right="-648"/>
        <w:jc w:val="both"/>
        <w:rPr>
          <w:rFonts w:cs="Calibri"/>
          <w:b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Imagerie</w:t>
      </w:r>
      <w:r>
        <w:rPr>
          <w:rFonts w:cs="Calibri"/>
          <w:b/>
          <w:sz w:val="20"/>
          <w:szCs w:val="20"/>
        </w:rPr>
        <w:t> :</w:t>
      </w:r>
    </w:p>
    <w:p w:rsidR="007C4E4D" w:rsidRPr="00341575" w:rsidRDefault="007C4E4D" w:rsidP="009408C2">
      <w:pPr>
        <w:numPr>
          <w:ilvl w:val="0"/>
          <w:numId w:val="9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échographie </w:t>
      </w:r>
      <w:r>
        <w:rPr>
          <w:rFonts w:cs="Calibri"/>
          <w:sz w:val="20"/>
          <w:szCs w:val="20"/>
        </w:rPr>
        <w:t>de l’</w:t>
      </w:r>
      <w:r w:rsidRPr="00341575">
        <w:rPr>
          <w:rFonts w:cs="Calibri"/>
          <w:sz w:val="20"/>
          <w:szCs w:val="20"/>
        </w:rPr>
        <w:t>abdomen (1</w:t>
      </w:r>
      <w:r w:rsidRPr="00341575">
        <w:rPr>
          <w:rFonts w:cs="Calibri"/>
          <w:sz w:val="20"/>
          <w:szCs w:val="20"/>
          <w:vertAlign w:val="superscript"/>
        </w:rPr>
        <w:t>ère</w:t>
      </w:r>
      <w:r w:rsidRPr="00341575">
        <w:rPr>
          <w:rFonts w:cs="Calibri"/>
          <w:sz w:val="20"/>
          <w:szCs w:val="20"/>
        </w:rPr>
        <w:t xml:space="preserve">  intention, prolongement de l’examen clinique)</w:t>
      </w:r>
    </w:p>
    <w:p w:rsidR="007C4E4D" w:rsidRPr="00341575" w:rsidRDefault="007C4E4D" w:rsidP="009408C2">
      <w:pPr>
        <w:numPr>
          <w:ilvl w:val="0"/>
          <w:numId w:val="9"/>
        </w:numPr>
        <w:tabs>
          <w:tab w:val="clear" w:pos="360"/>
          <w:tab w:val="num" w:pos="0"/>
          <w:tab w:val="left" w:pos="144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 xml:space="preserve">scanner avec injection de produit de contraste. </w:t>
      </w:r>
      <w:r>
        <w:rPr>
          <w:rFonts w:cs="Calibri"/>
          <w:b/>
          <w:sz w:val="20"/>
          <w:szCs w:val="20"/>
          <w:shd w:val="clear" w:color="auto" w:fill="E6E6E6"/>
        </w:rPr>
        <w:t>Ex</w:t>
      </w:r>
      <w:r w:rsidRPr="00341575">
        <w:rPr>
          <w:rFonts w:cs="Calibri"/>
          <w:b/>
          <w:sz w:val="20"/>
          <w:szCs w:val="20"/>
          <w:shd w:val="clear" w:color="auto" w:fill="E6E6E6"/>
        </w:rPr>
        <w:t>amen de référence</w:t>
      </w:r>
      <w:r>
        <w:rPr>
          <w:rFonts w:cs="Calibri"/>
          <w:sz w:val="20"/>
          <w:szCs w:val="20"/>
        </w:rPr>
        <w:t xml:space="preserve"> : voir la masse et </w:t>
      </w:r>
      <w:r w:rsidRPr="00341575">
        <w:rPr>
          <w:rFonts w:cs="Calibri"/>
          <w:sz w:val="20"/>
          <w:szCs w:val="20"/>
        </w:rPr>
        <w:t xml:space="preserve">donner un </w:t>
      </w:r>
      <w:r w:rsidRPr="00341575">
        <w:rPr>
          <w:rFonts w:cs="Calibri"/>
          <w:b/>
          <w:sz w:val="20"/>
          <w:szCs w:val="20"/>
          <w:shd w:val="clear" w:color="auto" w:fill="E6E6E6"/>
        </w:rPr>
        <w:t>bilan d’extension</w:t>
      </w:r>
    </w:p>
    <w:p w:rsidR="007C4E4D" w:rsidRPr="00341575" w:rsidRDefault="007C4E4D" w:rsidP="009408C2">
      <w:pPr>
        <w:numPr>
          <w:ilvl w:val="0"/>
          <w:numId w:val="10"/>
        </w:numPr>
        <w:tabs>
          <w:tab w:val="clear" w:pos="720"/>
          <w:tab w:val="num" w:pos="540"/>
          <w:tab w:val="left" w:pos="1440"/>
        </w:tabs>
        <w:spacing w:line="360" w:lineRule="auto"/>
        <w:ind w:left="54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masse hypodense, mal limitée</w:t>
      </w:r>
    </w:p>
    <w:p w:rsidR="007C4E4D" w:rsidRPr="00341575" w:rsidRDefault="007C4E4D" w:rsidP="009408C2">
      <w:pPr>
        <w:numPr>
          <w:ilvl w:val="0"/>
          <w:numId w:val="10"/>
        </w:numPr>
        <w:tabs>
          <w:tab w:val="clear" w:pos="720"/>
          <w:tab w:val="num" w:pos="540"/>
          <w:tab w:val="left" w:pos="1440"/>
        </w:tabs>
        <w:spacing w:line="360" w:lineRule="auto"/>
        <w:ind w:left="54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dilatation des voies biliaires hépatique (VBIH et VBEH) et du canal pancréatique en amont</w:t>
      </w:r>
    </w:p>
    <w:p w:rsidR="007C4E4D" w:rsidRPr="00341575" w:rsidRDefault="007C4E4D" w:rsidP="009408C2">
      <w:pPr>
        <w:numPr>
          <w:ilvl w:val="0"/>
          <w:numId w:val="10"/>
        </w:numPr>
        <w:tabs>
          <w:tab w:val="clear" w:pos="720"/>
          <w:tab w:val="num" w:pos="540"/>
          <w:tab w:val="left" w:pos="1440"/>
        </w:tabs>
        <w:spacing w:line="360" w:lineRule="auto"/>
        <w:ind w:left="54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envahissement vasculaire artériel (tronc</w:t>
      </w:r>
      <w:r>
        <w:rPr>
          <w:rFonts w:cs="Calibri"/>
          <w:sz w:val="20"/>
          <w:szCs w:val="20"/>
        </w:rPr>
        <w:t xml:space="preserve"> cœliaque, artère mésentérique supérieure</w:t>
      </w:r>
      <w:r w:rsidRPr="00341575">
        <w:rPr>
          <w:rFonts w:cs="Calibri"/>
          <w:sz w:val="20"/>
          <w:szCs w:val="20"/>
        </w:rPr>
        <w:t>, artère hépatique), veineux, ganglionnaire. Non résécable si atteinte de gros troncs</w:t>
      </w:r>
    </w:p>
    <w:p w:rsidR="007C4E4D" w:rsidRPr="00341575" w:rsidRDefault="007C4E4D" w:rsidP="009408C2">
      <w:pPr>
        <w:numPr>
          <w:ilvl w:val="0"/>
          <w:numId w:val="10"/>
        </w:numPr>
        <w:tabs>
          <w:tab w:val="clear" w:pos="720"/>
          <w:tab w:val="num" w:pos="540"/>
          <w:tab w:val="left" w:pos="1440"/>
        </w:tabs>
        <w:spacing w:line="360" w:lineRule="auto"/>
        <w:ind w:left="54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métastases hépatiques</w:t>
      </w:r>
    </w:p>
    <w:p w:rsidR="007C4E4D" w:rsidRPr="009408C2" w:rsidRDefault="007C4E4D" w:rsidP="009408C2">
      <w:pPr>
        <w:numPr>
          <w:ilvl w:val="1"/>
          <w:numId w:val="10"/>
        </w:numPr>
        <w:tabs>
          <w:tab w:val="clear" w:pos="1440"/>
          <w:tab w:val="num" w:pos="0"/>
        </w:tabs>
        <w:spacing w:line="360" w:lineRule="auto"/>
        <w:ind w:left="0" w:right="-648" w:hanging="383"/>
        <w:jc w:val="both"/>
        <w:rPr>
          <w:rFonts w:cs="Calibri"/>
          <w:sz w:val="20"/>
          <w:szCs w:val="20"/>
        </w:rPr>
      </w:pPr>
      <w:r w:rsidRPr="00341575">
        <w:rPr>
          <w:rFonts w:cs="Calibri"/>
          <w:b/>
          <w:sz w:val="20"/>
          <w:szCs w:val="20"/>
          <w:shd w:val="clear" w:color="auto" w:fill="E6E6E6"/>
        </w:rPr>
        <w:t>échoendoscopie</w:t>
      </w:r>
      <w:r w:rsidRPr="00341575">
        <w:rPr>
          <w:rFonts w:cs="Calibri"/>
          <w:sz w:val="20"/>
          <w:szCs w:val="20"/>
        </w:rPr>
        <w:t xml:space="preserve"> : sonde échographique au bout de l’endoscope positionnée en face du pancréas, intéressant surtout dans les cas de </w:t>
      </w:r>
      <w:r w:rsidRPr="00341575">
        <w:rPr>
          <w:rFonts w:cs="Calibri"/>
          <w:b/>
          <w:sz w:val="20"/>
          <w:szCs w:val="20"/>
          <w:shd w:val="clear" w:color="auto" w:fill="E6E6E6"/>
        </w:rPr>
        <w:t>petites tumeurs</w:t>
      </w:r>
      <w:r w:rsidRPr="00341575">
        <w:rPr>
          <w:rFonts w:cs="Calibri"/>
          <w:sz w:val="20"/>
          <w:szCs w:val="20"/>
        </w:rPr>
        <w:t xml:space="preserve"> (quand on n’est pas sûr de l’envahissement)</w:t>
      </w:r>
      <w:r>
        <w:rPr>
          <w:rFonts w:cs="Calibri"/>
          <w:sz w:val="20"/>
          <w:szCs w:val="20"/>
        </w:rPr>
        <w:t xml:space="preserve">. Les images sont inférieures à </w:t>
      </w:r>
      <w:smartTag w:uri="urn:schemas-microsoft-com:office:smarttags" w:element="metricconverter">
        <w:smartTagPr>
          <w:attr w:name="ProductID" w:val="2 cm"/>
        </w:smartTagPr>
        <w:r>
          <w:rPr>
            <w:rFonts w:cs="Calibri"/>
            <w:sz w:val="20"/>
            <w:szCs w:val="20"/>
          </w:rPr>
          <w:t>2 cm</w:t>
        </w:r>
      </w:smartTag>
      <w:r>
        <w:rPr>
          <w:rFonts w:cs="Calibri"/>
          <w:sz w:val="20"/>
          <w:szCs w:val="20"/>
        </w:rPr>
        <w:t xml:space="preserve">. </w:t>
      </w:r>
      <w:r w:rsidRPr="009408C2">
        <w:rPr>
          <w:rFonts w:cs="Calibri"/>
          <w:sz w:val="20"/>
          <w:szCs w:val="20"/>
        </w:rPr>
        <w:t xml:space="preserve">Biopsies par échoendoscopie si tumeurs </w:t>
      </w:r>
      <w:r w:rsidRPr="009408C2">
        <w:rPr>
          <w:rFonts w:cs="Calibri"/>
          <w:b/>
          <w:sz w:val="20"/>
          <w:szCs w:val="20"/>
          <w:shd w:val="clear" w:color="auto" w:fill="E6E6E6"/>
        </w:rPr>
        <w:t>non opérables</w:t>
      </w:r>
      <w:r w:rsidRPr="009408C2">
        <w:rPr>
          <w:rFonts w:cs="Calibri"/>
          <w:sz w:val="20"/>
          <w:szCs w:val="20"/>
        </w:rPr>
        <w:t xml:space="preserve"> : soit au niveau du pancréas (site primitif), soit au niveau de la métastase hépatique. Si négativité initiale, </w:t>
      </w:r>
      <w:r w:rsidRPr="009408C2">
        <w:rPr>
          <w:rFonts w:cs="Calibri"/>
          <w:b/>
          <w:sz w:val="20"/>
          <w:szCs w:val="20"/>
          <w:shd w:val="clear" w:color="auto" w:fill="E6E6E6"/>
        </w:rPr>
        <w:t>répéter les biopsies</w:t>
      </w:r>
      <w:r w:rsidRPr="009408C2">
        <w:rPr>
          <w:rFonts w:cs="Calibri"/>
          <w:sz w:val="20"/>
          <w:szCs w:val="20"/>
        </w:rPr>
        <w:t>, qui peuv</w:t>
      </w:r>
      <w:r>
        <w:rPr>
          <w:rFonts w:cs="Calibri"/>
          <w:sz w:val="20"/>
          <w:szCs w:val="20"/>
        </w:rPr>
        <w:t>ent déboucher sur un traitement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2"/>
          <w:szCs w:val="22"/>
          <w:u w:val="single"/>
        </w:rPr>
      </w:pPr>
      <w:r w:rsidRPr="00341575">
        <w:rPr>
          <w:rFonts w:cs="Calibri"/>
          <w:sz w:val="22"/>
          <w:szCs w:val="22"/>
          <w:u w:val="single"/>
        </w:rPr>
        <w:t xml:space="preserve">2) </w:t>
      </w:r>
      <w:r>
        <w:rPr>
          <w:rFonts w:cs="Calibri"/>
          <w:sz w:val="22"/>
          <w:szCs w:val="22"/>
          <w:u w:val="single"/>
        </w:rPr>
        <w:t>BILAN D’EXTENSION</w:t>
      </w:r>
    </w:p>
    <w:p w:rsidR="007C4E4D" w:rsidRDefault="007C4E4D" w:rsidP="009408C2">
      <w:pPr>
        <w:spacing w:line="360" w:lineRule="auto"/>
        <w:ind w:left="-720" w:right="-648"/>
        <w:jc w:val="both"/>
        <w:rPr>
          <w:rFonts w:cs="Calibri"/>
          <w:b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Evaluer</w:t>
      </w:r>
      <w:r>
        <w:rPr>
          <w:rFonts w:cs="Calibri"/>
          <w:b/>
          <w:sz w:val="20"/>
          <w:szCs w:val="20"/>
        </w:rPr>
        <w:t> :</w:t>
      </w:r>
    </w:p>
    <w:p w:rsidR="007C4E4D" w:rsidRDefault="007C4E4D" w:rsidP="009408C2">
      <w:pPr>
        <w:numPr>
          <w:ilvl w:val="1"/>
          <w:numId w:val="13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la </w:t>
      </w:r>
      <w:r w:rsidRPr="000011D4">
        <w:rPr>
          <w:rFonts w:cs="Calibri"/>
          <w:b/>
          <w:sz w:val="20"/>
          <w:szCs w:val="20"/>
          <w:shd w:val="clear" w:color="auto" w:fill="E6E6E6"/>
        </w:rPr>
        <w:t>résécabilité</w:t>
      </w:r>
      <w:r w:rsidRPr="00341575">
        <w:rPr>
          <w:rFonts w:cs="Calibri"/>
          <w:sz w:val="20"/>
          <w:szCs w:val="20"/>
        </w:rPr>
        <w:t xml:space="preserve"> de la tumeur (20 %)</w:t>
      </w:r>
      <w:r>
        <w:rPr>
          <w:rFonts w:cs="Calibri"/>
          <w:sz w:val="20"/>
          <w:szCs w:val="20"/>
        </w:rPr>
        <w:t xml:space="preserve"> par </w:t>
      </w:r>
      <w:r w:rsidRPr="000011D4">
        <w:rPr>
          <w:rFonts w:cs="Calibri"/>
          <w:b/>
          <w:sz w:val="20"/>
          <w:szCs w:val="20"/>
          <w:shd w:val="clear" w:color="auto" w:fill="E6E6E6"/>
        </w:rPr>
        <w:t>scanner avec injection du produit de contraste</w:t>
      </w:r>
      <w:r>
        <w:rPr>
          <w:rFonts w:cs="Calibri"/>
          <w:sz w:val="20"/>
          <w:szCs w:val="20"/>
        </w:rPr>
        <w:t xml:space="preserve"> à la recherche d’une extension vasculaire ou ganglionnaire ou par</w:t>
      </w:r>
      <w:r w:rsidRPr="00341575">
        <w:rPr>
          <w:rFonts w:cs="Calibri"/>
          <w:sz w:val="20"/>
          <w:szCs w:val="20"/>
        </w:rPr>
        <w:t xml:space="preserve"> </w:t>
      </w:r>
      <w:r w:rsidRPr="000011D4">
        <w:rPr>
          <w:rFonts w:cs="Calibri"/>
          <w:b/>
          <w:sz w:val="20"/>
          <w:szCs w:val="20"/>
          <w:shd w:val="clear" w:color="auto" w:fill="E6E6E6"/>
        </w:rPr>
        <w:t>échoendoscopie</w:t>
      </w:r>
      <w:r>
        <w:rPr>
          <w:rFonts w:cs="Calibri"/>
          <w:sz w:val="20"/>
          <w:szCs w:val="20"/>
        </w:rPr>
        <w:t xml:space="preserve"> (si doute sur l’</w:t>
      </w:r>
      <w:r w:rsidRPr="00341575">
        <w:rPr>
          <w:rFonts w:cs="Calibri"/>
          <w:sz w:val="20"/>
          <w:szCs w:val="20"/>
        </w:rPr>
        <w:t>extension vasculaire ou ganglionnaire)</w:t>
      </w:r>
    </w:p>
    <w:p w:rsidR="007C4E4D" w:rsidRPr="00341575" w:rsidRDefault="007C4E4D" w:rsidP="009408C2">
      <w:pPr>
        <w:numPr>
          <w:ilvl w:val="1"/>
          <w:numId w:val="13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l’o</w:t>
      </w:r>
      <w:r w:rsidRPr="00341575">
        <w:rPr>
          <w:rFonts w:cs="Calibri"/>
          <w:sz w:val="20"/>
          <w:szCs w:val="20"/>
        </w:rPr>
        <w:t>pérabilité du patient</w:t>
      </w:r>
      <w:r>
        <w:rPr>
          <w:rFonts w:cs="Calibri"/>
          <w:sz w:val="20"/>
          <w:szCs w:val="20"/>
        </w:rPr>
        <w:t>, on tient compte de l’âge p</w:t>
      </w:r>
      <w:r w:rsidRPr="00341575">
        <w:rPr>
          <w:rFonts w:cs="Calibri"/>
          <w:sz w:val="20"/>
          <w:szCs w:val="20"/>
        </w:rPr>
        <w:t>hysiologique</w:t>
      </w:r>
      <w:r>
        <w:rPr>
          <w:rFonts w:cs="Calibri"/>
          <w:sz w:val="20"/>
          <w:szCs w:val="20"/>
        </w:rPr>
        <w:t xml:space="preserve"> et de la</w:t>
      </w:r>
      <w:r w:rsidRPr="00341575">
        <w:rPr>
          <w:rFonts w:cs="Calibri"/>
          <w:sz w:val="20"/>
          <w:szCs w:val="20"/>
        </w:rPr>
        <w:t xml:space="preserve"> comorbidité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b/>
          <w:sz w:val="20"/>
          <w:szCs w:val="20"/>
        </w:rPr>
      </w:pPr>
      <w:r w:rsidRPr="00341575">
        <w:rPr>
          <w:rFonts w:cs="Calibri"/>
          <w:b/>
          <w:sz w:val="20"/>
          <w:szCs w:val="20"/>
        </w:rPr>
        <w:t>Toujours refaire son propre diagnostic, remettre en cause (évite des erreurs)</w:t>
      </w:r>
      <w:r>
        <w:rPr>
          <w:rFonts w:cs="Calibri"/>
          <w:b/>
          <w:sz w:val="20"/>
          <w:szCs w:val="20"/>
        </w:rPr>
        <w:t>.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0011D4">
        <w:rPr>
          <w:rFonts w:cs="Calibri"/>
          <w:b/>
          <w:sz w:val="20"/>
          <w:szCs w:val="20"/>
          <w:shd w:val="clear" w:color="auto" w:fill="E6E6E6"/>
        </w:rPr>
        <w:t>Carcinose péritonéale</w:t>
      </w:r>
      <w:r w:rsidRPr="00341575">
        <w:rPr>
          <w:rFonts w:cs="Calibri"/>
          <w:b/>
          <w:sz w:val="20"/>
          <w:szCs w:val="20"/>
        </w:rPr>
        <w:t xml:space="preserve"> : </w:t>
      </w:r>
      <w:r w:rsidRPr="00341575">
        <w:rPr>
          <w:rFonts w:cs="Calibri"/>
          <w:sz w:val="20"/>
          <w:szCs w:val="20"/>
        </w:rPr>
        <w:t>Métastases (souvent secondaires à un cancer digestif) sous le péritoine, indétectable en préopératoire, granulés très fin qui passent inaperçus au scanner dans 10% des cas</w:t>
      </w:r>
      <w:r w:rsidRPr="00341575">
        <w:rPr>
          <w:i/>
          <w:sz w:val="20"/>
          <w:szCs w:val="20"/>
        </w:rPr>
        <w:t xml:space="preserve">.                                                      </w:t>
      </w:r>
      <w:r w:rsidRPr="00341575">
        <w:rPr>
          <w:i/>
          <w:sz w:val="20"/>
          <w:szCs w:val="20"/>
        </w:rPr>
        <w:tab/>
      </w:r>
      <w:r w:rsidRPr="00341575">
        <w:rPr>
          <w:i/>
          <w:sz w:val="20"/>
          <w:szCs w:val="20"/>
        </w:rPr>
        <w:tab/>
      </w:r>
      <w:r w:rsidRPr="00341575">
        <w:rPr>
          <w:i/>
          <w:sz w:val="20"/>
          <w:szCs w:val="20"/>
        </w:rPr>
        <w:tab/>
      </w:r>
      <w:r w:rsidRPr="00341575">
        <w:rPr>
          <w:i/>
          <w:sz w:val="20"/>
          <w:szCs w:val="20"/>
        </w:rPr>
        <w:tab/>
      </w:r>
      <w:r w:rsidRPr="00341575">
        <w:rPr>
          <w:i/>
          <w:sz w:val="20"/>
          <w:szCs w:val="20"/>
        </w:rPr>
        <w:tab/>
      </w:r>
      <w:r w:rsidRPr="00341575">
        <w:rPr>
          <w:rFonts w:cs="Calibri"/>
          <w:b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7C4E4D" w:rsidRPr="00341575" w:rsidRDefault="007C4E4D" w:rsidP="009408C2">
      <w:pPr>
        <w:spacing w:line="360" w:lineRule="auto"/>
        <w:ind w:right="-648"/>
        <w:jc w:val="both"/>
        <w:rPr>
          <w:b/>
          <w:sz w:val="20"/>
          <w:szCs w:val="20"/>
          <w:u w:val="single"/>
        </w:rPr>
      </w:pPr>
      <w:r w:rsidRPr="00341575">
        <w:rPr>
          <w:b/>
          <w:sz w:val="20"/>
          <w:szCs w:val="20"/>
          <w:u w:val="single"/>
        </w:rPr>
        <w:t>C PRONOSTIC</w:t>
      </w:r>
      <w:r w:rsidRPr="00341575">
        <w:rPr>
          <w:b/>
          <w:sz w:val="20"/>
          <w:szCs w:val="20"/>
        </w:rPr>
        <w:t xml:space="preserve">                                                                                    </w:t>
      </w:r>
      <w:r>
        <w:rPr>
          <w:b/>
          <w:sz w:val="20"/>
          <w:szCs w:val="20"/>
        </w:rPr>
        <w:t xml:space="preserve">                                  </w:t>
      </w:r>
    </w:p>
    <w:p w:rsidR="007C4E4D" w:rsidRDefault="007C4E4D" w:rsidP="009408C2">
      <w:pPr>
        <w:spacing w:line="360" w:lineRule="auto"/>
        <w:ind w:left="-720" w:right="-648" w:firstLine="720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&lt; 5 % survie à 5 ans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sz w:val="20"/>
          <w:szCs w:val="20"/>
        </w:rPr>
      </w:pPr>
      <w:r>
        <w:rPr>
          <w:sz w:val="20"/>
          <w:szCs w:val="20"/>
        </w:rPr>
        <w:t>R</w:t>
      </w:r>
      <w:r w:rsidRPr="00341575">
        <w:rPr>
          <w:sz w:val="20"/>
          <w:szCs w:val="20"/>
        </w:rPr>
        <w:t>ésection R0 (sans reliquat tumoral microscopique) : 10-30 % survie à 5 ans</w:t>
      </w:r>
      <w:r>
        <w:rPr>
          <w:sz w:val="20"/>
          <w:szCs w:val="20"/>
        </w:rPr>
        <w:t> ;  sans</w:t>
      </w:r>
      <w:r w:rsidRPr="00341575">
        <w:rPr>
          <w:sz w:val="20"/>
          <w:szCs w:val="20"/>
        </w:rPr>
        <w:t xml:space="preserve"> résection : médiane de survie à 12 mois</w:t>
      </w:r>
    </w:p>
    <w:p w:rsidR="007C4E4D" w:rsidRPr="00341575" w:rsidRDefault="007C4E4D" w:rsidP="009408C2">
      <w:pPr>
        <w:spacing w:line="360" w:lineRule="auto"/>
        <w:ind w:right="-648"/>
        <w:jc w:val="both"/>
        <w:rPr>
          <w:b/>
          <w:sz w:val="20"/>
          <w:szCs w:val="20"/>
          <w:u w:val="single"/>
        </w:rPr>
      </w:pPr>
    </w:p>
    <w:p w:rsidR="007C4E4D" w:rsidRPr="00341575" w:rsidRDefault="007C4E4D" w:rsidP="009408C2">
      <w:pPr>
        <w:spacing w:line="360" w:lineRule="auto"/>
        <w:ind w:right="-648"/>
        <w:jc w:val="both"/>
        <w:rPr>
          <w:b/>
          <w:sz w:val="20"/>
          <w:szCs w:val="20"/>
          <w:u w:val="single"/>
        </w:rPr>
      </w:pPr>
      <w:r w:rsidRPr="00341575">
        <w:rPr>
          <w:b/>
          <w:sz w:val="20"/>
          <w:szCs w:val="20"/>
          <w:u w:val="single"/>
        </w:rPr>
        <w:t>D PRINCIPE THERAPEUTIQUE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b/>
          <w:sz w:val="20"/>
          <w:szCs w:val="20"/>
        </w:rPr>
      </w:pPr>
      <w:r w:rsidRPr="00341575">
        <w:rPr>
          <w:b/>
          <w:sz w:val="20"/>
          <w:szCs w:val="20"/>
        </w:rPr>
        <w:t>Traitement curatif : chirurgie</w:t>
      </w:r>
    </w:p>
    <w:p w:rsidR="007C4E4D" w:rsidRPr="00341575" w:rsidRDefault="007C4E4D" w:rsidP="009408C2">
      <w:pPr>
        <w:numPr>
          <w:ilvl w:val="1"/>
          <w:numId w:val="16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tumeur de la tête du pancréas : duodénopancréatectomie céphalique. C’est une grosse intervention puisqu’il faut anastomoser 3 tuyaux : les voies biliaires, le canal pancréatique et l’intestin</w:t>
      </w:r>
    </w:p>
    <w:p w:rsidR="007C4E4D" w:rsidRPr="00341575" w:rsidRDefault="007C4E4D" w:rsidP="009408C2">
      <w:pPr>
        <w:numPr>
          <w:ilvl w:val="1"/>
          <w:numId w:val="16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tumeur du pancréas gauche : splénopancréatectomie gauche on enlève la rate et le pancréas</w:t>
      </w:r>
    </w:p>
    <w:p w:rsidR="007C4E4D" w:rsidRPr="00341575" w:rsidRDefault="007C4E4D" w:rsidP="009408C2">
      <w:pPr>
        <w:numPr>
          <w:ilvl w:val="1"/>
          <w:numId w:val="16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traitements associés (pas beaucoup d’effets)</w:t>
      </w:r>
      <w:r>
        <w:rPr>
          <w:sz w:val="20"/>
          <w:szCs w:val="20"/>
        </w:rPr>
        <w:t xml:space="preserve"> : </w:t>
      </w:r>
      <w:r w:rsidRPr="00341575">
        <w:rPr>
          <w:sz w:val="20"/>
          <w:szCs w:val="20"/>
        </w:rPr>
        <w:t>chimiothérapie adjuvante</w:t>
      </w:r>
      <w:r>
        <w:rPr>
          <w:sz w:val="20"/>
          <w:szCs w:val="20"/>
        </w:rPr>
        <w:t xml:space="preserve"> et </w:t>
      </w:r>
      <w:r w:rsidRPr="00341575">
        <w:rPr>
          <w:sz w:val="20"/>
          <w:szCs w:val="20"/>
        </w:rPr>
        <w:t>radiochimiothérapie néoadjuvante</w:t>
      </w:r>
    </w:p>
    <w:p w:rsidR="007C4E4D" w:rsidRPr="00341575" w:rsidRDefault="007C4E4D" w:rsidP="009408C2">
      <w:pPr>
        <w:spacing w:line="360" w:lineRule="auto"/>
        <w:ind w:left="-720" w:right="-648"/>
        <w:jc w:val="both"/>
        <w:rPr>
          <w:i/>
          <w:sz w:val="20"/>
          <w:szCs w:val="20"/>
        </w:rPr>
      </w:pPr>
    </w:p>
    <w:p w:rsidR="007C4E4D" w:rsidRPr="00341575" w:rsidRDefault="007C4E4D" w:rsidP="009408C2">
      <w:pPr>
        <w:spacing w:line="360" w:lineRule="auto"/>
        <w:ind w:left="-720" w:right="-648"/>
        <w:jc w:val="both"/>
        <w:rPr>
          <w:b/>
          <w:sz w:val="20"/>
          <w:szCs w:val="20"/>
        </w:rPr>
      </w:pPr>
      <w:r w:rsidRPr="00341575">
        <w:rPr>
          <w:b/>
          <w:sz w:val="20"/>
          <w:szCs w:val="20"/>
        </w:rPr>
        <w:t>Traitement palliatif (80%)</w:t>
      </w:r>
    </w:p>
    <w:p w:rsidR="007C4E4D" w:rsidRPr="00341575" w:rsidRDefault="007C4E4D" w:rsidP="009408C2">
      <w:pPr>
        <w:numPr>
          <w:ilvl w:val="1"/>
          <w:numId w:val="19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chimiothérapie (réponse tumorale : survie médiane 18 mois)</w:t>
      </w:r>
    </w:p>
    <w:p w:rsidR="007C4E4D" w:rsidRPr="00341575" w:rsidRDefault="007C4E4D" w:rsidP="009408C2">
      <w:pPr>
        <w:numPr>
          <w:ilvl w:val="1"/>
          <w:numId w:val="19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obstacle biliaire : prothèse biliaire</w:t>
      </w:r>
      <w:r>
        <w:rPr>
          <w:sz w:val="20"/>
          <w:szCs w:val="20"/>
        </w:rPr>
        <w:t>,</w:t>
      </w:r>
      <w:r w:rsidRPr="00341575">
        <w:rPr>
          <w:sz w:val="20"/>
          <w:szCs w:val="20"/>
        </w:rPr>
        <w:t xml:space="preserve"> o</w:t>
      </w:r>
      <w:r>
        <w:rPr>
          <w:sz w:val="20"/>
          <w:szCs w:val="20"/>
        </w:rPr>
        <w:t>bstacle duodénal</w:t>
      </w:r>
      <w:r w:rsidRPr="00341575">
        <w:rPr>
          <w:sz w:val="20"/>
          <w:szCs w:val="20"/>
        </w:rPr>
        <w:t xml:space="preserve"> : prothèse duodénale</w:t>
      </w:r>
    </w:p>
    <w:p w:rsidR="007C4E4D" w:rsidRPr="00341575" w:rsidRDefault="007C4E4D" w:rsidP="009408C2">
      <w:pPr>
        <w:numPr>
          <w:ilvl w:val="1"/>
          <w:numId w:val="19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traitements chirurgicaux palliatifs de dérivation (ne sont plus utilisés depuis la pose de prothèses)</w:t>
      </w:r>
    </w:p>
    <w:p w:rsidR="007C4E4D" w:rsidRPr="00341575" w:rsidRDefault="007C4E4D" w:rsidP="009408C2">
      <w:pPr>
        <w:numPr>
          <w:ilvl w:val="1"/>
          <w:numId w:val="19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antalgiques de pallier 1 à 3 (opiacés)</w:t>
      </w:r>
    </w:p>
    <w:p w:rsidR="007C4E4D" w:rsidRPr="00341575" w:rsidRDefault="007C4E4D" w:rsidP="009408C2">
      <w:pPr>
        <w:numPr>
          <w:ilvl w:val="1"/>
          <w:numId w:val="19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 xml:space="preserve">prise en charge de la dénutrition </w:t>
      </w:r>
    </w:p>
    <w:p w:rsidR="007C4E4D" w:rsidRDefault="007C4E4D" w:rsidP="009408C2">
      <w:pPr>
        <w:numPr>
          <w:ilvl w:val="1"/>
          <w:numId w:val="19"/>
        </w:numPr>
        <w:tabs>
          <w:tab w:val="clear" w:pos="1440"/>
          <w:tab w:val="num" w:pos="0"/>
          <w:tab w:val="left" w:pos="3084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prise en charge psychologique</w:t>
      </w:r>
      <w:r>
        <w:rPr>
          <w:sz w:val="20"/>
          <w:szCs w:val="20"/>
        </w:rPr>
        <w:tab/>
      </w:r>
    </w:p>
    <w:p w:rsidR="007C4E4D" w:rsidRDefault="007C4E4D" w:rsidP="009408C2">
      <w:pPr>
        <w:tabs>
          <w:tab w:val="num" w:pos="1440"/>
          <w:tab w:val="left" w:pos="3084"/>
        </w:tabs>
        <w:spacing w:line="360" w:lineRule="auto"/>
        <w:ind w:left="-720" w:right="-648" w:firstLine="360"/>
        <w:jc w:val="both"/>
        <w:rPr>
          <w:sz w:val="20"/>
          <w:szCs w:val="20"/>
        </w:rPr>
      </w:pPr>
    </w:p>
    <w:p w:rsidR="007C4E4D" w:rsidRPr="00341575" w:rsidRDefault="007C4E4D" w:rsidP="005973B9">
      <w:pPr>
        <w:tabs>
          <w:tab w:val="num" w:pos="1440"/>
          <w:tab w:val="left" w:pos="3084"/>
        </w:tabs>
        <w:spacing w:line="360" w:lineRule="auto"/>
        <w:ind w:left="-720" w:right="-648" w:firstLine="360"/>
        <w:rPr>
          <w:sz w:val="20"/>
          <w:szCs w:val="20"/>
        </w:rPr>
      </w:pPr>
    </w:p>
    <w:p w:rsidR="007C4E4D" w:rsidRPr="00341575" w:rsidRDefault="007C4E4D" w:rsidP="00E17B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left="-720" w:right="-646"/>
        <w:rPr>
          <w:b/>
          <w:sz w:val="26"/>
          <w:szCs w:val="26"/>
        </w:rPr>
      </w:pPr>
      <w:r w:rsidRPr="00341575">
        <w:rPr>
          <w:b/>
          <w:sz w:val="26"/>
          <w:szCs w:val="26"/>
        </w:rPr>
        <w:t>II TUMEURS ENDOCRINE PANCREATIQUES</w:t>
      </w:r>
    </w:p>
    <w:p w:rsidR="007C4E4D" w:rsidRDefault="007C4E4D" w:rsidP="005973B9">
      <w:pPr>
        <w:spacing w:line="360" w:lineRule="auto"/>
        <w:ind w:left="-720" w:right="-648" w:firstLine="720"/>
        <w:rPr>
          <w:rFonts w:cs="Calibri"/>
          <w:sz w:val="20"/>
          <w:szCs w:val="20"/>
        </w:rPr>
      </w:pPr>
    </w:p>
    <w:p w:rsidR="007C4E4D" w:rsidRPr="009408C2" w:rsidRDefault="007C4E4D" w:rsidP="009408C2">
      <w:pPr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  <w:r w:rsidRPr="000C0985">
        <w:rPr>
          <w:rFonts w:cs="Calibri"/>
          <w:sz w:val="20"/>
          <w:szCs w:val="20"/>
        </w:rPr>
        <w:t>Avec une incidence de 4 cas par million, c’est la 2</w:t>
      </w:r>
      <w:r w:rsidRPr="000C0985">
        <w:rPr>
          <w:rFonts w:cs="Calibri"/>
          <w:sz w:val="20"/>
          <w:szCs w:val="20"/>
          <w:vertAlign w:val="superscript"/>
        </w:rPr>
        <w:t>ème</w:t>
      </w:r>
      <w:r w:rsidRPr="000C0985">
        <w:rPr>
          <w:rFonts w:cs="Calibri"/>
          <w:sz w:val="20"/>
          <w:szCs w:val="20"/>
        </w:rPr>
        <w:t xml:space="preserve"> cause de tumeur solide du pancréas</w:t>
      </w:r>
      <w:r>
        <w:rPr>
          <w:rFonts w:cs="Calibri"/>
          <w:sz w:val="20"/>
          <w:szCs w:val="20"/>
        </w:rPr>
        <w:t xml:space="preserve">. </w:t>
      </w:r>
      <w:r>
        <w:rPr>
          <w:b/>
          <w:sz w:val="20"/>
          <w:szCs w:val="20"/>
        </w:rPr>
        <w:t xml:space="preserve">5 </w:t>
      </w:r>
      <w:r w:rsidRPr="00341575">
        <w:rPr>
          <w:b/>
          <w:sz w:val="20"/>
          <w:szCs w:val="20"/>
        </w:rPr>
        <w:t>à 10 % des tumeurs pancréatiques</w:t>
      </w:r>
      <w:r>
        <w:rPr>
          <w:b/>
          <w:sz w:val="20"/>
          <w:szCs w:val="20"/>
        </w:rPr>
        <w:t xml:space="preserve">. </w:t>
      </w:r>
      <w:r w:rsidRPr="000C0985">
        <w:rPr>
          <w:rFonts w:cs="Calibri"/>
          <w:sz w:val="20"/>
          <w:szCs w:val="20"/>
        </w:rPr>
        <w:t>Son potentiel de malignité augmente quand</w:t>
      </w:r>
      <w:r>
        <w:rPr>
          <w:rFonts w:cs="Calibri"/>
          <w:sz w:val="20"/>
          <w:szCs w:val="20"/>
        </w:rPr>
        <w:t xml:space="preserve"> sa</w:t>
      </w:r>
      <w:bookmarkStart w:id="0" w:name="_GoBack"/>
      <w:bookmarkEnd w:id="0"/>
      <w:r w:rsidRPr="000C0985">
        <w:rPr>
          <w:rFonts w:cs="Calibri"/>
          <w:sz w:val="20"/>
          <w:szCs w:val="20"/>
        </w:rPr>
        <w:t xml:space="preserve"> taille dépasse  </w:t>
      </w:r>
      <w:r w:rsidRPr="000C0985">
        <w:rPr>
          <w:rFonts w:cs="Calibri"/>
          <w:b/>
          <w:sz w:val="20"/>
          <w:szCs w:val="20"/>
          <w:shd w:val="clear" w:color="auto" w:fill="E6E6E6"/>
        </w:rPr>
        <w:t>2-</w:t>
      </w:r>
      <w:smartTag w:uri="urn:schemas-microsoft-com:office:smarttags" w:element="metricconverter">
        <w:smartTagPr>
          <w:attr w:name="ProductID" w:val="3 cm"/>
        </w:smartTagPr>
        <w:r w:rsidRPr="000C0985">
          <w:rPr>
            <w:rFonts w:cs="Calibri"/>
            <w:b/>
            <w:sz w:val="20"/>
            <w:szCs w:val="20"/>
            <w:shd w:val="clear" w:color="auto" w:fill="E6E6E6"/>
          </w:rPr>
          <w:t>3 cm</w:t>
        </w:r>
      </w:smartTag>
      <w:r w:rsidRPr="000C0985">
        <w:rPr>
          <w:rFonts w:cs="Calibri"/>
          <w:b/>
          <w:sz w:val="20"/>
          <w:szCs w:val="20"/>
          <w:shd w:val="clear" w:color="auto" w:fill="E6E6E6"/>
        </w:rPr>
        <w:t>.</w:t>
      </w:r>
      <w:r w:rsidRPr="00341575">
        <w:rPr>
          <w:b/>
          <w:sz w:val="20"/>
          <w:szCs w:val="20"/>
        </w:rPr>
        <w:t xml:space="preserve"> </w:t>
      </w:r>
    </w:p>
    <w:p w:rsidR="007C4E4D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 w:rsidRPr="000C0985">
        <w:rPr>
          <w:rFonts w:cs="Calibri"/>
          <w:sz w:val="20"/>
          <w:szCs w:val="20"/>
        </w:rPr>
        <w:t xml:space="preserve">Sa symptomatologie est liée à </w:t>
      </w:r>
      <w:r w:rsidRPr="000C0985">
        <w:rPr>
          <w:rFonts w:cs="Calibri"/>
          <w:b/>
          <w:sz w:val="20"/>
          <w:szCs w:val="20"/>
          <w:shd w:val="clear" w:color="auto" w:fill="E6E6E6"/>
        </w:rPr>
        <w:t>l’hypersécrétion hormonale</w:t>
      </w:r>
      <w:r>
        <w:rPr>
          <w:rFonts w:cs="Calibri"/>
          <w:sz w:val="20"/>
          <w:szCs w:val="20"/>
        </w:rPr>
        <w:t> (insuline qui</w:t>
      </w:r>
      <w:r w:rsidRPr="000C0985">
        <w:rPr>
          <w:rFonts w:cs="Calibri"/>
          <w:sz w:val="20"/>
          <w:szCs w:val="20"/>
        </w:rPr>
        <w:t xml:space="preserve"> va donner une </w:t>
      </w:r>
      <w:r w:rsidRPr="000C0985">
        <w:rPr>
          <w:rFonts w:cs="Calibri"/>
          <w:b/>
          <w:sz w:val="20"/>
          <w:szCs w:val="20"/>
          <w:shd w:val="clear" w:color="auto" w:fill="E6E6E6"/>
        </w:rPr>
        <w:t>hypoglycémie majeure</w:t>
      </w:r>
      <w:r w:rsidRPr="000C0985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tandis que la gastrine</w:t>
      </w:r>
      <w:r w:rsidRPr="000C0985">
        <w:rPr>
          <w:rFonts w:cs="Calibri"/>
          <w:sz w:val="20"/>
          <w:szCs w:val="20"/>
        </w:rPr>
        <w:t xml:space="preserve"> donne des ulcères graves multiples comme dans </w:t>
      </w:r>
      <w:r w:rsidRPr="000C0985">
        <w:rPr>
          <w:rFonts w:cs="Calibri"/>
          <w:b/>
          <w:sz w:val="20"/>
          <w:szCs w:val="20"/>
          <w:shd w:val="clear" w:color="auto" w:fill="E6E6E6"/>
        </w:rPr>
        <w:t xml:space="preserve">le syndrome de </w:t>
      </w:r>
      <w:r w:rsidRPr="000C0985">
        <w:rPr>
          <w:rFonts w:cs="Calibri"/>
          <w:b/>
          <w:i/>
          <w:sz w:val="20"/>
          <w:szCs w:val="20"/>
          <w:shd w:val="clear" w:color="auto" w:fill="E6E6E6"/>
        </w:rPr>
        <w:t>Zollinger-Ellison</w:t>
      </w:r>
      <w:r w:rsidRPr="000C0985">
        <w:rPr>
          <w:rFonts w:cs="Calibri"/>
          <w:sz w:val="20"/>
          <w:szCs w:val="20"/>
        </w:rPr>
        <w:t>).</w:t>
      </w:r>
    </w:p>
    <w:p w:rsidR="007C4E4D" w:rsidRPr="000C098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</w:p>
    <w:p w:rsidR="007C4E4D" w:rsidRPr="00341575" w:rsidRDefault="007C4E4D" w:rsidP="009408C2">
      <w:pPr>
        <w:numPr>
          <w:ilvl w:val="1"/>
          <w:numId w:val="23"/>
        </w:numPr>
        <w:tabs>
          <w:tab w:val="clear" w:pos="144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i</w:t>
      </w:r>
      <w:r>
        <w:rPr>
          <w:sz w:val="20"/>
          <w:szCs w:val="20"/>
        </w:rPr>
        <w:t>nsulinomes (hypoglycémie), gastrinomes</w:t>
      </w:r>
      <w:r w:rsidRPr="00341575">
        <w:rPr>
          <w:sz w:val="20"/>
          <w:szCs w:val="20"/>
        </w:rPr>
        <w:t xml:space="preserve"> (syndrome de </w:t>
      </w:r>
      <w:r w:rsidRPr="00341575">
        <w:rPr>
          <w:i/>
          <w:sz w:val="20"/>
          <w:szCs w:val="20"/>
        </w:rPr>
        <w:t>Zollinger Ellison</w:t>
      </w:r>
      <w:r w:rsidRPr="00341575">
        <w:rPr>
          <w:sz w:val="20"/>
          <w:szCs w:val="20"/>
        </w:rPr>
        <w:t>), vipome</w:t>
      </w:r>
      <w:r>
        <w:rPr>
          <w:sz w:val="20"/>
          <w:szCs w:val="20"/>
        </w:rPr>
        <w:t>s</w:t>
      </w:r>
      <w:r w:rsidRPr="00341575">
        <w:rPr>
          <w:sz w:val="20"/>
          <w:szCs w:val="20"/>
        </w:rPr>
        <w:t>, glucagonome</w:t>
      </w:r>
      <w:r>
        <w:rPr>
          <w:sz w:val="20"/>
          <w:szCs w:val="20"/>
        </w:rPr>
        <w:t>s</w:t>
      </w:r>
      <w:r w:rsidRPr="00341575">
        <w:rPr>
          <w:sz w:val="20"/>
          <w:szCs w:val="20"/>
        </w:rPr>
        <w:t>, somatostatinome</w:t>
      </w:r>
      <w:r>
        <w:rPr>
          <w:sz w:val="20"/>
          <w:szCs w:val="20"/>
        </w:rPr>
        <w:t>s</w:t>
      </w:r>
    </w:p>
    <w:p w:rsidR="007C4E4D" w:rsidRPr="009408C2" w:rsidRDefault="007C4E4D" w:rsidP="009408C2">
      <w:pPr>
        <w:numPr>
          <w:ilvl w:val="0"/>
          <w:numId w:val="24"/>
        </w:numPr>
        <w:spacing w:line="360" w:lineRule="auto"/>
        <w:ind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 xml:space="preserve">généralement on a affaire à un </w:t>
      </w:r>
      <w:r w:rsidRPr="00341575">
        <w:rPr>
          <w:b/>
          <w:sz w:val="20"/>
          <w:szCs w:val="20"/>
          <w:shd w:val="clear" w:color="auto" w:fill="E6E6E6"/>
        </w:rPr>
        <w:t>syndrome de masse</w:t>
      </w:r>
      <w:r w:rsidRPr="00341575">
        <w:rPr>
          <w:sz w:val="20"/>
          <w:szCs w:val="20"/>
        </w:rPr>
        <w:t xml:space="preserve"> qui peut être </w:t>
      </w:r>
      <w:r w:rsidRPr="00341575">
        <w:rPr>
          <w:b/>
          <w:sz w:val="20"/>
          <w:szCs w:val="20"/>
          <w:shd w:val="clear" w:color="auto" w:fill="E6E6E6"/>
        </w:rPr>
        <w:t>confondu avec un adénocarcinome</w:t>
      </w:r>
      <w:r w:rsidRPr="00341575">
        <w:rPr>
          <w:sz w:val="20"/>
          <w:szCs w:val="20"/>
        </w:rPr>
        <w:t xml:space="preserve"> car dans </w:t>
      </w:r>
      <w:r w:rsidRPr="00341575">
        <w:rPr>
          <w:b/>
          <w:sz w:val="20"/>
          <w:szCs w:val="20"/>
          <w:shd w:val="clear" w:color="auto" w:fill="E6E6E6"/>
        </w:rPr>
        <w:t>50% des cas ces tumeurs endocrines ne secrètent pas</w:t>
      </w:r>
      <w:r w:rsidRPr="00341575">
        <w:rPr>
          <w:sz w:val="20"/>
          <w:szCs w:val="20"/>
        </w:rPr>
        <w:t xml:space="preserve"> (pas de signes). </w:t>
      </w:r>
      <w:r w:rsidRPr="009408C2">
        <w:rPr>
          <w:sz w:val="20"/>
          <w:szCs w:val="20"/>
        </w:rPr>
        <w:t>La biopsie va être indispensable pour donner un diagnostic et établir une thérapeutique (dans un cas sur 10)</w:t>
      </w:r>
    </w:p>
    <w:p w:rsidR="007C4E4D" w:rsidRPr="00341575" w:rsidRDefault="007C4E4D" w:rsidP="009408C2">
      <w:pPr>
        <w:numPr>
          <w:ilvl w:val="0"/>
          <w:numId w:val="24"/>
        </w:numPr>
        <w:spacing w:line="360" w:lineRule="auto"/>
        <w:ind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découverte fortuite</w:t>
      </w:r>
    </w:p>
    <w:p w:rsidR="007C4E4D" w:rsidRPr="00341575" w:rsidRDefault="007C4E4D" w:rsidP="009408C2">
      <w:pPr>
        <w:numPr>
          <w:ilvl w:val="1"/>
          <w:numId w:val="26"/>
        </w:numPr>
        <w:tabs>
          <w:tab w:val="clear" w:pos="1440"/>
          <w:tab w:val="left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b/>
          <w:sz w:val="20"/>
          <w:szCs w:val="20"/>
        </w:rPr>
        <w:t>bilan d’extension pour une analyse génétique</w:t>
      </w:r>
      <w:r w:rsidRPr="00341575">
        <w:rPr>
          <w:sz w:val="20"/>
          <w:szCs w:val="20"/>
        </w:rPr>
        <w:t xml:space="preserve"> afin de mettre en évidence une NEM ou </w:t>
      </w:r>
      <w:r w:rsidRPr="00D9050F">
        <w:rPr>
          <w:b/>
          <w:sz w:val="20"/>
          <w:szCs w:val="20"/>
          <w:shd w:val="clear" w:color="auto" w:fill="E6E6E6"/>
        </w:rPr>
        <w:t>néoplasie endocrinienne multiple de type 1</w:t>
      </w:r>
      <w:r w:rsidRPr="00341575">
        <w:rPr>
          <w:sz w:val="20"/>
          <w:szCs w:val="20"/>
        </w:rPr>
        <w:t xml:space="preserve"> (a</w:t>
      </w:r>
      <w:r>
        <w:rPr>
          <w:sz w:val="20"/>
          <w:szCs w:val="20"/>
        </w:rPr>
        <w:t>ffection autosomique dominante)</w:t>
      </w:r>
    </w:p>
    <w:p w:rsidR="007C4E4D" w:rsidRPr="00341575" w:rsidRDefault="007C4E4D" w:rsidP="009408C2">
      <w:pPr>
        <w:numPr>
          <w:ilvl w:val="1"/>
          <w:numId w:val="26"/>
        </w:numPr>
        <w:tabs>
          <w:tab w:val="clear" w:pos="1440"/>
          <w:tab w:val="left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marqueurs : chromogranine A, hormones</w:t>
      </w:r>
    </w:p>
    <w:p w:rsidR="007C4E4D" w:rsidRDefault="007C4E4D" w:rsidP="009408C2">
      <w:pPr>
        <w:numPr>
          <w:ilvl w:val="1"/>
          <w:numId w:val="26"/>
        </w:numPr>
        <w:tabs>
          <w:tab w:val="clear" w:pos="1440"/>
          <w:tab w:val="left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 xml:space="preserve">scanner, échoendoscopie, </w:t>
      </w:r>
      <w:r w:rsidRPr="00341575">
        <w:rPr>
          <w:b/>
          <w:sz w:val="20"/>
          <w:szCs w:val="20"/>
          <w:shd w:val="clear" w:color="auto" w:fill="E6E6E6"/>
        </w:rPr>
        <w:t>scintigraphie à l’octréotide au Tc99</w:t>
      </w:r>
      <w:r w:rsidRPr="00341575">
        <w:rPr>
          <w:sz w:val="20"/>
          <w:szCs w:val="20"/>
        </w:rPr>
        <w:t xml:space="preserve"> (se fixe aux récepteurs à la somatostat</w:t>
      </w:r>
      <w:r>
        <w:rPr>
          <w:sz w:val="20"/>
          <w:szCs w:val="20"/>
        </w:rPr>
        <w:t>ine)</w:t>
      </w:r>
      <w:r w:rsidRPr="00341575">
        <w:rPr>
          <w:sz w:val="20"/>
          <w:szCs w:val="20"/>
        </w:rPr>
        <w:t xml:space="preserve"> intéressant dans les néoplasies multiples pour r</w:t>
      </w:r>
      <w:r>
        <w:rPr>
          <w:sz w:val="20"/>
          <w:szCs w:val="20"/>
        </w:rPr>
        <w:t>epérer la tumeur neuroendocrine</w:t>
      </w:r>
    </w:p>
    <w:p w:rsidR="007C4E4D" w:rsidRPr="00AD5347" w:rsidRDefault="007C4E4D" w:rsidP="00E17B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left="-720" w:right="-646"/>
        <w:rPr>
          <w:b/>
          <w:sz w:val="26"/>
          <w:szCs w:val="26"/>
        </w:rPr>
      </w:pPr>
      <w:r>
        <w:rPr>
          <w:b/>
          <w:sz w:val="26"/>
          <w:szCs w:val="26"/>
        </w:rPr>
        <w:t>II TUMEURS KYSTIQUES</w:t>
      </w:r>
    </w:p>
    <w:p w:rsidR="007C4E4D" w:rsidRDefault="007C4E4D" w:rsidP="00591A87">
      <w:pPr>
        <w:spacing w:line="360" w:lineRule="auto"/>
        <w:ind w:left="-720" w:right="-648"/>
        <w:rPr>
          <w:i/>
          <w:sz w:val="20"/>
          <w:szCs w:val="20"/>
        </w:rPr>
      </w:pPr>
    </w:p>
    <w:p w:rsidR="007C4E4D" w:rsidRDefault="007C4E4D" w:rsidP="009408C2">
      <w:pPr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La </w:t>
      </w:r>
      <w:r w:rsidRPr="00341575">
        <w:rPr>
          <w:rFonts w:cs="Calibri"/>
          <w:sz w:val="20"/>
          <w:szCs w:val="20"/>
        </w:rPr>
        <w:t xml:space="preserve">découverte </w:t>
      </w:r>
      <w:r>
        <w:rPr>
          <w:rFonts w:cs="Calibri"/>
          <w:sz w:val="20"/>
          <w:szCs w:val="20"/>
        </w:rPr>
        <w:t xml:space="preserve">des tumeurs kystiques est </w:t>
      </w:r>
      <w:r w:rsidRPr="00341575">
        <w:rPr>
          <w:rFonts w:cs="Calibri"/>
          <w:sz w:val="20"/>
          <w:szCs w:val="20"/>
        </w:rPr>
        <w:t>fortuite</w:t>
      </w:r>
      <w:r>
        <w:rPr>
          <w:rFonts w:cs="Calibri"/>
          <w:sz w:val="20"/>
          <w:szCs w:val="20"/>
        </w:rPr>
        <w:t xml:space="preserve"> mais fréquente (</w:t>
      </w:r>
      <w:r w:rsidRPr="00341575">
        <w:rPr>
          <w:rFonts w:cs="Calibri"/>
          <w:sz w:val="20"/>
          <w:szCs w:val="20"/>
        </w:rPr>
        <w:t>1 échographie digestive sur 1000</w:t>
      </w:r>
      <w:r>
        <w:rPr>
          <w:rFonts w:cs="Calibri"/>
          <w:sz w:val="20"/>
          <w:szCs w:val="20"/>
        </w:rPr>
        <w:t>). 2 catégories : le c</w:t>
      </w:r>
      <w:r w:rsidRPr="00341575">
        <w:rPr>
          <w:rFonts w:cs="Calibri"/>
          <w:sz w:val="20"/>
          <w:szCs w:val="20"/>
        </w:rPr>
        <w:t xml:space="preserve">ystadénome </w:t>
      </w:r>
      <w:r w:rsidRPr="00341575">
        <w:rPr>
          <w:rFonts w:cs="Calibri"/>
          <w:b/>
          <w:sz w:val="20"/>
          <w:szCs w:val="20"/>
          <w:shd w:val="clear" w:color="auto" w:fill="E6E6E6"/>
        </w:rPr>
        <w:t>séreux</w:t>
      </w:r>
      <w:r w:rsidRPr="00341575">
        <w:rPr>
          <w:rFonts w:cs="Calibri"/>
          <w:sz w:val="20"/>
          <w:szCs w:val="20"/>
        </w:rPr>
        <w:t xml:space="preserve"> qui est toujours bénin</w:t>
      </w:r>
      <w:r>
        <w:rPr>
          <w:rFonts w:cs="Calibri"/>
          <w:sz w:val="20"/>
          <w:szCs w:val="20"/>
        </w:rPr>
        <w:t xml:space="preserve"> et le </w:t>
      </w:r>
      <w:r w:rsidRPr="00341575">
        <w:rPr>
          <w:rFonts w:cs="Calibri"/>
          <w:b/>
          <w:sz w:val="20"/>
          <w:szCs w:val="20"/>
          <w:shd w:val="clear" w:color="auto" w:fill="E6E6E6"/>
        </w:rPr>
        <w:t>contingent mucineux</w:t>
      </w:r>
      <w:r>
        <w:rPr>
          <w:rFonts w:cs="Calibri"/>
          <w:sz w:val="20"/>
          <w:szCs w:val="20"/>
        </w:rPr>
        <w:t xml:space="preserve"> qui a un </w:t>
      </w:r>
      <w:r w:rsidRPr="00341575">
        <w:rPr>
          <w:rFonts w:cs="Calibri"/>
          <w:sz w:val="20"/>
          <w:szCs w:val="20"/>
        </w:rPr>
        <w:t>potentiel de dégénérescence, de cancérisation</w:t>
      </w:r>
      <w:r>
        <w:rPr>
          <w:rFonts w:cs="Calibri"/>
          <w:sz w:val="20"/>
          <w:szCs w:val="20"/>
        </w:rPr>
        <w:t>.</w:t>
      </w:r>
    </w:p>
    <w:p w:rsidR="007C4E4D" w:rsidRDefault="007C4E4D" w:rsidP="009408C2">
      <w:pPr>
        <w:spacing w:line="360" w:lineRule="auto"/>
        <w:ind w:left="-720" w:right="-648" w:firstLine="720"/>
        <w:jc w:val="both"/>
        <w:rPr>
          <w:rFonts w:cs="Calibri"/>
          <w:sz w:val="20"/>
          <w:szCs w:val="20"/>
        </w:rPr>
      </w:pPr>
    </w:p>
    <w:p w:rsidR="007C4E4D" w:rsidRPr="00341575" w:rsidRDefault="007C4E4D" w:rsidP="009408C2">
      <w:pPr>
        <w:spacing w:line="360" w:lineRule="auto"/>
        <w:ind w:left="-720" w:right="-64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Le </w:t>
      </w:r>
      <w:r w:rsidRPr="000C0985">
        <w:rPr>
          <w:rFonts w:cs="Calibri"/>
          <w:b/>
          <w:sz w:val="20"/>
          <w:szCs w:val="20"/>
        </w:rPr>
        <w:t>contingent mucineux</w:t>
      </w:r>
      <w:r>
        <w:rPr>
          <w:rFonts w:cs="Calibri"/>
          <w:sz w:val="20"/>
          <w:szCs w:val="20"/>
        </w:rPr>
        <w:t xml:space="preserve"> se retrouve sous 2 formes : </w:t>
      </w:r>
    </w:p>
    <w:p w:rsidR="007C4E4D" w:rsidRPr="00341575" w:rsidRDefault="007C4E4D" w:rsidP="009408C2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648"/>
        <w:jc w:val="both"/>
        <w:rPr>
          <w:rFonts w:cs="Calibri"/>
          <w:sz w:val="20"/>
          <w:szCs w:val="20"/>
        </w:rPr>
      </w:pPr>
      <w:r w:rsidRPr="00341575">
        <w:rPr>
          <w:rFonts w:cs="Calibri"/>
          <w:sz w:val="20"/>
          <w:szCs w:val="20"/>
        </w:rPr>
        <w:t>cystadénome mucineux : pas de communication avec le système canalaire pancréatique</w:t>
      </w:r>
    </w:p>
    <w:p w:rsidR="007C4E4D" w:rsidRPr="00341575" w:rsidRDefault="007C4E4D" w:rsidP="009408C2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648"/>
        <w:jc w:val="both"/>
        <w:rPr>
          <w:sz w:val="20"/>
          <w:szCs w:val="20"/>
        </w:rPr>
      </w:pPr>
      <w:r w:rsidRPr="00341575">
        <w:rPr>
          <w:rFonts w:cs="Calibri"/>
          <w:sz w:val="20"/>
          <w:szCs w:val="20"/>
        </w:rPr>
        <w:t>tumeur intracanalaire papillaire mucineuse pancréatique (</w:t>
      </w:r>
      <w:r w:rsidRPr="00341575">
        <w:rPr>
          <w:rFonts w:cs="Calibri"/>
          <w:b/>
          <w:sz w:val="20"/>
          <w:szCs w:val="20"/>
          <w:shd w:val="clear" w:color="auto" w:fill="E6E6E6"/>
        </w:rPr>
        <w:t>TIPMP</w:t>
      </w:r>
      <w:r w:rsidRPr="00341575">
        <w:rPr>
          <w:rFonts w:cs="Calibri"/>
          <w:sz w:val="20"/>
          <w:szCs w:val="20"/>
        </w:rPr>
        <w:t xml:space="preserve">) : en continuité avec branches secondaires du canal de </w:t>
      </w:r>
      <w:r w:rsidRPr="00341575">
        <w:rPr>
          <w:rFonts w:cs="Calibri"/>
          <w:i/>
          <w:sz w:val="20"/>
          <w:szCs w:val="20"/>
        </w:rPr>
        <w:t>Wirsung</w:t>
      </w:r>
      <w:r w:rsidRPr="00341575">
        <w:rPr>
          <w:rFonts w:cs="Calibri"/>
          <w:sz w:val="20"/>
          <w:szCs w:val="20"/>
        </w:rPr>
        <w:t xml:space="preserve"> ou dans la paroi du canal pancréatique</w:t>
      </w:r>
      <w:r>
        <w:rPr>
          <w:rFonts w:cs="Calibri"/>
          <w:sz w:val="20"/>
          <w:szCs w:val="20"/>
        </w:rPr>
        <w:t>. Ce sont des t</w:t>
      </w:r>
      <w:r w:rsidRPr="00341575">
        <w:rPr>
          <w:sz w:val="20"/>
          <w:szCs w:val="20"/>
        </w:rPr>
        <w:t xml:space="preserve">umeurs kystiques dues à une </w:t>
      </w:r>
      <w:r w:rsidRPr="00341575">
        <w:rPr>
          <w:b/>
          <w:sz w:val="20"/>
          <w:szCs w:val="20"/>
          <w:shd w:val="clear" w:color="auto" w:fill="E6E6E6"/>
        </w:rPr>
        <w:t>métaplasie mucineuse de l’épithélium canalaire pancréatique</w:t>
      </w:r>
    </w:p>
    <w:p w:rsidR="007C4E4D" w:rsidRPr="00341575" w:rsidRDefault="007C4E4D" w:rsidP="009408C2">
      <w:pPr>
        <w:numPr>
          <w:ilvl w:val="0"/>
          <w:numId w:val="31"/>
        </w:numPr>
        <w:spacing w:line="360" w:lineRule="auto"/>
        <w:ind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crises de pancréatite</w:t>
      </w:r>
    </w:p>
    <w:p w:rsidR="007C4E4D" w:rsidRPr="00341575" w:rsidRDefault="007C4E4D" w:rsidP="009408C2">
      <w:pPr>
        <w:numPr>
          <w:ilvl w:val="0"/>
          <w:numId w:val="31"/>
        </w:numPr>
        <w:spacing w:line="360" w:lineRule="auto"/>
        <w:ind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potentiel de dégénérescence (5-50 %)</w:t>
      </w:r>
    </w:p>
    <w:p w:rsidR="007C4E4D" w:rsidRPr="00341575" w:rsidRDefault="007C4E4D" w:rsidP="009408C2">
      <w:pPr>
        <w:numPr>
          <w:ilvl w:val="0"/>
          <w:numId w:val="31"/>
        </w:numPr>
        <w:spacing w:line="360" w:lineRule="auto"/>
        <w:ind w:right="-648"/>
        <w:jc w:val="both"/>
        <w:rPr>
          <w:sz w:val="20"/>
          <w:szCs w:val="20"/>
        </w:rPr>
      </w:pPr>
      <w:r w:rsidRPr="00341575">
        <w:rPr>
          <w:sz w:val="20"/>
          <w:szCs w:val="20"/>
        </w:rPr>
        <w:t>imagerie (scanner, échoendoscopie, IRM bilio-pancréatique) pour apprécier les calculs</w:t>
      </w:r>
    </w:p>
    <w:p w:rsidR="007C4E4D" w:rsidRPr="00341575" w:rsidRDefault="007C4E4D" w:rsidP="009408C2">
      <w:pPr>
        <w:numPr>
          <w:ilvl w:val="0"/>
          <w:numId w:val="31"/>
        </w:numPr>
        <w:spacing w:line="360" w:lineRule="auto"/>
        <w:ind w:right="-648"/>
        <w:jc w:val="both"/>
        <w:rPr>
          <w:rFonts w:cs="Arial"/>
          <w:bCs/>
          <w:i/>
          <w:sz w:val="20"/>
          <w:szCs w:val="20"/>
        </w:rPr>
      </w:pPr>
      <w:r w:rsidRPr="00341575">
        <w:rPr>
          <w:b/>
          <w:sz w:val="20"/>
          <w:szCs w:val="20"/>
          <w:shd w:val="clear" w:color="auto" w:fill="E6E6E6"/>
        </w:rPr>
        <w:t>surveillance ou résection</w:t>
      </w:r>
      <w:r w:rsidRPr="00341575">
        <w:rPr>
          <w:sz w:val="20"/>
          <w:szCs w:val="20"/>
        </w:rPr>
        <w:t xml:space="preserve"> en fonction de l’étendue de l’atteinte canalaire ou signes de dégénérescence</w:t>
      </w:r>
    </w:p>
    <w:p w:rsidR="007C4E4D" w:rsidRDefault="007C4E4D" w:rsidP="009408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Default="007C4E4D" w:rsidP="00591A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</w:p>
    <w:p w:rsidR="007C4E4D" w:rsidRPr="00341575" w:rsidRDefault="007C4E4D" w:rsidP="00591A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720" w:right="-674"/>
        <w:jc w:val="both"/>
        <w:rPr>
          <w:rFonts w:cs="Arial"/>
          <w:bCs/>
          <w:i/>
          <w:sz w:val="20"/>
          <w:szCs w:val="20"/>
        </w:rPr>
      </w:pPr>
      <w:r>
        <w:rPr>
          <w:noProof/>
        </w:rPr>
        <w:pict>
          <v:shape id="Image 3" o:spid="_x0000_s1031" type="#_x0000_t75" style="position:absolute;left:0;text-align:left;margin-left:-36pt;margin-top:21.6pt;width:252pt;height:180.85pt;z-index:251660288;visibility:visible">
            <v:imagedata r:id="rId12" o:title=""/>
            <v:path arrowok="t"/>
            <w10:wrap type="square"/>
          </v:shape>
        </w:pict>
      </w:r>
      <w:r>
        <w:rPr>
          <w:rFonts w:cs="Arial"/>
          <w:bCs/>
          <w:i/>
          <w:sz w:val="20"/>
          <w:szCs w:val="20"/>
        </w:rPr>
        <w:t>Tumeurs et métastases non résécables</w:t>
      </w:r>
    </w:p>
    <w:sectPr w:rsidR="007C4E4D" w:rsidRPr="00341575" w:rsidSect="00E17B84">
      <w:footerReference w:type="even" r:id="rId13"/>
      <w:footerReference w:type="default" r:id="rId14"/>
      <w:pgSz w:w="12240" w:h="15840"/>
      <w:pgMar w:top="899" w:right="1417" w:bottom="1417" w:left="1417" w:header="720" w:footer="720" w:gutter="0"/>
      <w:cols w:space="72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E4D" w:rsidRDefault="007C4E4D">
      <w:r>
        <w:separator/>
      </w:r>
    </w:p>
  </w:endnote>
  <w:endnote w:type="continuationSeparator" w:id="0">
    <w:p w:rsidR="007C4E4D" w:rsidRDefault="007C4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tipasto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Eras Demi ITC">
    <w:altName w:val="Helvetica Neue Black Condensed"/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pture it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V Boli">
    <w:altName w:val="Cambria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E4D" w:rsidRDefault="007C4E4D" w:rsidP="00D0617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4E4D" w:rsidRDefault="007C4E4D" w:rsidP="00E17B8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E4D" w:rsidRDefault="007C4E4D" w:rsidP="00D0617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C4E4D" w:rsidRDefault="007C4E4D" w:rsidP="00E17B8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E4D" w:rsidRDefault="007C4E4D">
      <w:r>
        <w:separator/>
      </w:r>
    </w:p>
  </w:footnote>
  <w:footnote w:type="continuationSeparator" w:id="0">
    <w:p w:rsidR="007C4E4D" w:rsidRDefault="007C4E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0995"/>
    <w:multiLevelType w:val="hybridMultilevel"/>
    <w:tmpl w:val="70DC2F8C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2F5B97"/>
    <w:multiLevelType w:val="hybridMultilevel"/>
    <w:tmpl w:val="F62CA460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8222F48"/>
    <w:multiLevelType w:val="multilevel"/>
    <w:tmpl w:val="D11C95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DF63C81"/>
    <w:multiLevelType w:val="multilevel"/>
    <w:tmpl w:val="D61480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0874342"/>
    <w:multiLevelType w:val="multilevel"/>
    <w:tmpl w:val="8E40D0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34D1972"/>
    <w:multiLevelType w:val="multilevel"/>
    <w:tmpl w:val="614AB784"/>
    <w:lvl w:ilvl="0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156566C6"/>
    <w:multiLevelType w:val="hybridMultilevel"/>
    <w:tmpl w:val="2F68EF5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36464B1"/>
    <w:multiLevelType w:val="multilevel"/>
    <w:tmpl w:val="28F6BE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2329C5"/>
    <w:multiLevelType w:val="multilevel"/>
    <w:tmpl w:val="33E2C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B15DF9"/>
    <w:multiLevelType w:val="multilevel"/>
    <w:tmpl w:val="866C73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C823EBF"/>
    <w:multiLevelType w:val="hybridMultilevel"/>
    <w:tmpl w:val="B302EE5A"/>
    <w:lvl w:ilvl="0" w:tplc="44CE21C4">
      <w:numFmt w:val="bullet"/>
      <w:lvlText w:val="-"/>
      <w:lvlJc w:val="left"/>
      <w:pPr>
        <w:tabs>
          <w:tab w:val="num" w:pos="0"/>
        </w:tabs>
        <w:ind w:hanging="360"/>
      </w:pPr>
      <w:rPr>
        <w:rFonts w:ascii="Cambria" w:eastAsia="MS ??" w:hAnsi="Cambria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2F510283"/>
    <w:multiLevelType w:val="multilevel"/>
    <w:tmpl w:val="34FE6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583F48"/>
    <w:multiLevelType w:val="hybridMultilevel"/>
    <w:tmpl w:val="D11C950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89E3C94"/>
    <w:multiLevelType w:val="hybridMultilevel"/>
    <w:tmpl w:val="614AB784"/>
    <w:lvl w:ilvl="0" w:tplc="040C0001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4">
    <w:nsid w:val="43392934"/>
    <w:multiLevelType w:val="hybridMultilevel"/>
    <w:tmpl w:val="70642DF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89E0CC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mbria" w:eastAsia="MS ??" w:hAnsi="Cambria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DAF7B60"/>
    <w:multiLevelType w:val="hybridMultilevel"/>
    <w:tmpl w:val="D6148038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50A46AB5"/>
    <w:multiLevelType w:val="hybridMultilevel"/>
    <w:tmpl w:val="F8B610B0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10A424B"/>
    <w:multiLevelType w:val="multilevel"/>
    <w:tmpl w:val="69182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4131C1A"/>
    <w:multiLevelType w:val="hybridMultilevel"/>
    <w:tmpl w:val="8E40D0FA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4CA1DBD"/>
    <w:multiLevelType w:val="hybridMultilevel"/>
    <w:tmpl w:val="0BD67CB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9B41691"/>
    <w:multiLevelType w:val="hybridMultilevel"/>
    <w:tmpl w:val="DBD2B90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465006"/>
    <w:multiLevelType w:val="hybridMultilevel"/>
    <w:tmpl w:val="866C73E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FAA381B"/>
    <w:multiLevelType w:val="multilevel"/>
    <w:tmpl w:val="6AF221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391744"/>
    <w:multiLevelType w:val="multilevel"/>
    <w:tmpl w:val="0BD6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45D182D"/>
    <w:multiLevelType w:val="hybridMultilevel"/>
    <w:tmpl w:val="4858BEA0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653A3B9E"/>
    <w:multiLevelType w:val="multilevel"/>
    <w:tmpl w:val="6AF221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EF7D6E"/>
    <w:multiLevelType w:val="hybridMultilevel"/>
    <w:tmpl w:val="69182714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FAA0A12"/>
    <w:multiLevelType w:val="hybridMultilevel"/>
    <w:tmpl w:val="17E27960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19065A7"/>
    <w:multiLevelType w:val="hybridMultilevel"/>
    <w:tmpl w:val="FC0A911C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C1233B"/>
    <w:multiLevelType w:val="hybridMultilevel"/>
    <w:tmpl w:val="A32E8990"/>
    <w:lvl w:ilvl="0" w:tplc="040C0001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7B5412F0"/>
    <w:multiLevelType w:val="multilevel"/>
    <w:tmpl w:val="6AF221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4"/>
  </w:num>
  <w:num w:numId="3">
    <w:abstractNumId w:val="10"/>
  </w:num>
  <w:num w:numId="4">
    <w:abstractNumId w:val="26"/>
  </w:num>
  <w:num w:numId="5">
    <w:abstractNumId w:val="17"/>
  </w:num>
  <w:num w:numId="6">
    <w:abstractNumId w:val="1"/>
  </w:num>
  <w:num w:numId="7">
    <w:abstractNumId w:val="18"/>
  </w:num>
  <w:num w:numId="8">
    <w:abstractNumId w:val="4"/>
  </w:num>
  <w:num w:numId="9">
    <w:abstractNumId w:val="27"/>
  </w:num>
  <w:num w:numId="10">
    <w:abstractNumId w:val="28"/>
  </w:num>
  <w:num w:numId="11">
    <w:abstractNumId w:val="13"/>
  </w:num>
  <w:num w:numId="12">
    <w:abstractNumId w:val="5"/>
  </w:num>
  <w:num w:numId="13">
    <w:abstractNumId w:val="29"/>
  </w:num>
  <w:num w:numId="14">
    <w:abstractNumId w:val="21"/>
  </w:num>
  <w:num w:numId="15">
    <w:abstractNumId w:val="9"/>
  </w:num>
  <w:num w:numId="16">
    <w:abstractNumId w:val="24"/>
  </w:num>
  <w:num w:numId="17">
    <w:abstractNumId w:val="12"/>
  </w:num>
  <w:num w:numId="18">
    <w:abstractNumId w:val="2"/>
  </w:num>
  <w:num w:numId="19">
    <w:abstractNumId w:val="6"/>
  </w:num>
  <w:num w:numId="20">
    <w:abstractNumId w:val="25"/>
  </w:num>
  <w:num w:numId="21">
    <w:abstractNumId w:val="8"/>
  </w:num>
  <w:num w:numId="22">
    <w:abstractNumId w:val="22"/>
  </w:num>
  <w:num w:numId="23">
    <w:abstractNumId w:val="11"/>
  </w:num>
  <w:num w:numId="24">
    <w:abstractNumId w:val="0"/>
  </w:num>
  <w:num w:numId="25">
    <w:abstractNumId w:val="30"/>
  </w:num>
  <w:num w:numId="26">
    <w:abstractNumId w:val="7"/>
  </w:num>
  <w:num w:numId="27">
    <w:abstractNumId w:val="15"/>
  </w:num>
  <w:num w:numId="28">
    <w:abstractNumId w:val="3"/>
  </w:num>
  <w:num w:numId="29">
    <w:abstractNumId w:val="19"/>
  </w:num>
  <w:num w:numId="30">
    <w:abstractNumId w:val="23"/>
  </w:num>
  <w:num w:numId="31">
    <w:abstractNumId w:val="1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768B"/>
    <w:rsid w:val="00000D4B"/>
    <w:rsid w:val="000011D4"/>
    <w:rsid w:val="00007F96"/>
    <w:rsid w:val="000159F8"/>
    <w:rsid w:val="00023B29"/>
    <w:rsid w:val="000475DF"/>
    <w:rsid w:val="00056DA7"/>
    <w:rsid w:val="00064C46"/>
    <w:rsid w:val="00083B21"/>
    <w:rsid w:val="000B12B0"/>
    <w:rsid w:val="000C0985"/>
    <w:rsid w:val="000D4877"/>
    <w:rsid w:val="000E5B39"/>
    <w:rsid w:val="000F092B"/>
    <w:rsid w:val="001030C0"/>
    <w:rsid w:val="0013581A"/>
    <w:rsid w:val="00136AAC"/>
    <w:rsid w:val="001459A5"/>
    <w:rsid w:val="00157174"/>
    <w:rsid w:val="00171F0B"/>
    <w:rsid w:val="0017340B"/>
    <w:rsid w:val="001A3322"/>
    <w:rsid w:val="001C328F"/>
    <w:rsid w:val="001E2EC2"/>
    <w:rsid w:val="001E570E"/>
    <w:rsid w:val="001F0B27"/>
    <w:rsid w:val="001F59E3"/>
    <w:rsid w:val="0021701E"/>
    <w:rsid w:val="00250B9B"/>
    <w:rsid w:val="002619FF"/>
    <w:rsid w:val="002637E5"/>
    <w:rsid w:val="002713AA"/>
    <w:rsid w:val="00296C5E"/>
    <w:rsid w:val="002A7114"/>
    <w:rsid w:val="002D4B17"/>
    <w:rsid w:val="002D6AB1"/>
    <w:rsid w:val="002E10E8"/>
    <w:rsid w:val="002E7B0A"/>
    <w:rsid w:val="002F204A"/>
    <w:rsid w:val="00315868"/>
    <w:rsid w:val="00332C67"/>
    <w:rsid w:val="003334ED"/>
    <w:rsid w:val="003371A4"/>
    <w:rsid w:val="00341575"/>
    <w:rsid w:val="0035276C"/>
    <w:rsid w:val="00360B51"/>
    <w:rsid w:val="003713A9"/>
    <w:rsid w:val="00380B3A"/>
    <w:rsid w:val="00383888"/>
    <w:rsid w:val="00384ED3"/>
    <w:rsid w:val="00390A5A"/>
    <w:rsid w:val="003A1C20"/>
    <w:rsid w:val="003A4EA6"/>
    <w:rsid w:val="003D5C5F"/>
    <w:rsid w:val="003E40A0"/>
    <w:rsid w:val="004050BE"/>
    <w:rsid w:val="00415F97"/>
    <w:rsid w:val="00441581"/>
    <w:rsid w:val="004716FA"/>
    <w:rsid w:val="0048422A"/>
    <w:rsid w:val="00487F44"/>
    <w:rsid w:val="00493EDB"/>
    <w:rsid w:val="004A5863"/>
    <w:rsid w:val="004E0D3A"/>
    <w:rsid w:val="004E4A65"/>
    <w:rsid w:val="00516EF1"/>
    <w:rsid w:val="00522C2D"/>
    <w:rsid w:val="00543C7A"/>
    <w:rsid w:val="00555FD3"/>
    <w:rsid w:val="00572078"/>
    <w:rsid w:val="00591A87"/>
    <w:rsid w:val="005973B9"/>
    <w:rsid w:val="005B57C6"/>
    <w:rsid w:val="005C403E"/>
    <w:rsid w:val="005F443C"/>
    <w:rsid w:val="00621C55"/>
    <w:rsid w:val="00636D32"/>
    <w:rsid w:val="006372D9"/>
    <w:rsid w:val="00644DB6"/>
    <w:rsid w:val="00666EA2"/>
    <w:rsid w:val="00666EAC"/>
    <w:rsid w:val="006C6314"/>
    <w:rsid w:val="006E1D34"/>
    <w:rsid w:val="00702223"/>
    <w:rsid w:val="0070710C"/>
    <w:rsid w:val="00712123"/>
    <w:rsid w:val="00745710"/>
    <w:rsid w:val="0074595A"/>
    <w:rsid w:val="007A03FF"/>
    <w:rsid w:val="007A78E5"/>
    <w:rsid w:val="007C0ADA"/>
    <w:rsid w:val="007C4E4D"/>
    <w:rsid w:val="007D30FE"/>
    <w:rsid w:val="007D62BB"/>
    <w:rsid w:val="007E6A23"/>
    <w:rsid w:val="007F53BB"/>
    <w:rsid w:val="00806680"/>
    <w:rsid w:val="00806E14"/>
    <w:rsid w:val="008343FB"/>
    <w:rsid w:val="00835EB4"/>
    <w:rsid w:val="008416F0"/>
    <w:rsid w:val="00851367"/>
    <w:rsid w:val="008675F6"/>
    <w:rsid w:val="0088768B"/>
    <w:rsid w:val="00891D84"/>
    <w:rsid w:val="0089336F"/>
    <w:rsid w:val="00896E71"/>
    <w:rsid w:val="008A6275"/>
    <w:rsid w:val="008A7836"/>
    <w:rsid w:val="008D4882"/>
    <w:rsid w:val="008E29DF"/>
    <w:rsid w:val="008F04EC"/>
    <w:rsid w:val="008F7F11"/>
    <w:rsid w:val="00910C2D"/>
    <w:rsid w:val="00933B04"/>
    <w:rsid w:val="009408C2"/>
    <w:rsid w:val="0095121C"/>
    <w:rsid w:val="009B4DD7"/>
    <w:rsid w:val="009C0D71"/>
    <w:rsid w:val="009C1161"/>
    <w:rsid w:val="009C5629"/>
    <w:rsid w:val="009D3F56"/>
    <w:rsid w:val="009D6326"/>
    <w:rsid w:val="009D7CC4"/>
    <w:rsid w:val="009F5010"/>
    <w:rsid w:val="009F621D"/>
    <w:rsid w:val="00A27A10"/>
    <w:rsid w:val="00A31815"/>
    <w:rsid w:val="00A44981"/>
    <w:rsid w:val="00A543DB"/>
    <w:rsid w:val="00A605B3"/>
    <w:rsid w:val="00A60AA2"/>
    <w:rsid w:val="00A76262"/>
    <w:rsid w:val="00A8421F"/>
    <w:rsid w:val="00A90D96"/>
    <w:rsid w:val="00A979EF"/>
    <w:rsid w:val="00AA74D2"/>
    <w:rsid w:val="00AC7E64"/>
    <w:rsid w:val="00AD5347"/>
    <w:rsid w:val="00AD5DE6"/>
    <w:rsid w:val="00B05B71"/>
    <w:rsid w:val="00B0671D"/>
    <w:rsid w:val="00B13486"/>
    <w:rsid w:val="00B229DC"/>
    <w:rsid w:val="00B25551"/>
    <w:rsid w:val="00B50D85"/>
    <w:rsid w:val="00B510E5"/>
    <w:rsid w:val="00B53EAC"/>
    <w:rsid w:val="00B55B8D"/>
    <w:rsid w:val="00BA19BC"/>
    <w:rsid w:val="00BA57CA"/>
    <w:rsid w:val="00BC12D8"/>
    <w:rsid w:val="00BC17E6"/>
    <w:rsid w:val="00BD245A"/>
    <w:rsid w:val="00BE06E5"/>
    <w:rsid w:val="00BF3561"/>
    <w:rsid w:val="00C12C94"/>
    <w:rsid w:val="00C438FD"/>
    <w:rsid w:val="00C44FC0"/>
    <w:rsid w:val="00C50AB5"/>
    <w:rsid w:val="00C57F6D"/>
    <w:rsid w:val="00C70135"/>
    <w:rsid w:val="00C97BFE"/>
    <w:rsid w:val="00CC2A20"/>
    <w:rsid w:val="00D0617B"/>
    <w:rsid w:val="00D06738"/>
    <w:rsid w:val="00D26380"/>
    <w:rsid w:val="00D7094F"/>
    <w:rsid w:val="00D84CB6"/>
    <w:rsid w:val="00D9050F"/>
    <w:rsid w:val="00DC1842"/>
    <w:rsid w:val="00DD36CB"/>
    <w:rsid w:val="00DD6AE1"/>
    <w:rsid w:val="00DE23D3"/>
    <w:rsid w:val="00DE3559"/>
    <w:rsid w:val="00E0525E"/>
    <w:rsid w:val="00E17B84"/>
    <w:rsid w:val="00E2608B"/>
    <w:rsid w:val="00E40975"/>
    <w:rsid w:val="00E53D93"/>
    <w:rsid w:val="00E634CF"/>
    <w:rsid w:val="00E74A98"/>
    <w:rsid w:val="00E767F9"/>
    <w:rsid w:val="00E940EA"/>
    <w:rsid w:val="00EE3F25"/>
    <w:rsid w:val="00EE3F99"/>
    <w:rsid w:val="00EF37D4"/>
    <w:rsid w:val="00F010D3"/>
    <w:rsid w:val="00F0640C"/>
    <w:rsid w:val="00F06777"/>
    <w:rsid w:val="00F1182F"/>
    <w:rsid w:val="00F15BEC"/>
    <w:rsid w:val="00F22633"/>
    <w:rsid w:val="00F37523"/>
    <w:rsid w:val="00F45842"/>
    <w:rsid w:val="00F61EAF"/>
    <w:rsid w:val="00F82513"/>
    <w:rsid w:val="00F90108"/>
    <w:rsid w:val="00FA451C"/>
    <w:rsid w:val="00FB1076"/>
    <w:rsid w:val="00FD7188"/>
    <w:rsid w:val="00FD7E33"/>
    <w:rsid w:val="00FE3AEA"/>
    <w:rsid w:val="00FF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9A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76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D7E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7E33"/>
    <w:rPr>
      <w:rFonts w:ascii="Lucida Grande" w:hAnsi="Lucida Grande" w:cs="Lucida Grande"/>
      <w:sz w:val="18"/>
      <w:szCs w:val="18"/>
    </w:rPr>
  </w:style>
  <w:style w:type="paragraph" w:customStyle="1" w:styleId="ListParagraph10pt">
    <w:name w:val="List Paragraph + 10 pt"/>
    <w:basedOn w:val="Normal"/>
    <w:uiPriority w:val="99"/>
    <w:rsid w:val="00F010D3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line="276" w:lineRule="auto"/>
      <w:ind w:left="-720" w:right="-674"/>
      <w:jc w:val="both"/>
    </w:pPr>
    <w:rPr>
      <w:sz w:val="22"/>
      <w:szCs w:val="22"/>
    </w:rPr>
  </w:style>
  <w:style w:type="paragraph" w:customStyle="1" w:styleId="Contenuducadre">
    <w:name w:val="Contenu du cadre"/>
    <w:basedOn w:val="BodyText"/>
    <w:uiPriority w:val="99"/>
    <w:rsid w:val="00F06777"/>
    <w:pPr>
      <w:widowControl w:val="0"/>
      <w:suppressAutoHyphens/>
    </w:pPr>
    <w:rPr>
      <w:rFonts w:ascii="Times New Roman" w:hAnsi="Times New Roman" w:cs="Tahoma"/>
      <w:color w:val="00000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F067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37D4"/>
    <w:rPr>
      <w:rFonts w:cs="Times New Roman"/>
      <w:sz w:val="24"/>
      <w:szCs w:val="24"/>
    </w:rPr>
  </w:style>
  <w:style w:type="paragraph" w:customStyle="1" w:styleId="Calibri">
    <w:name w:val="Calibri"/>
    <w:basedOn w:val="Contenuducadre"/>
    <w:uiPriority w:val="99"/>
    <w:rsid w:val="00F06777"/>
    <w:pPr>
      <w:spacing w:after="0"/>
    </w:pPr>
    <w:rPr>
      <w:rFonts w:ascii="Antipasto" w:eastAsia="Antipasto"/>
      <w:b/>
      <w:bCs/>
      <w:lang w:val="fr-FR"/>
    </w:rPr>
  </w:style>
  <w:style w:type="character" w:styleId="Hyperlink">
    <w:name w:val="Hyperlink"/>
    <w:basedOn w:val="DefaultParagraphFont"/>
    <w:uiPriority w:val="99"/>
    <w:rsid w:val="00F0677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17B8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528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17B8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528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17B8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mailto:vproneo@g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1373</Words>
  <Characters>7553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Maëva Triquet</dc:creator>
  <cp:keywords/>
  <dc:description/>
  <cp:lastModifiedBy>Athéna Blachier</cp:lastModifiedBy>
  <cp:revision>2</cp:revision>
  <dcterms:created xsi:type="dcterms:W3CDTF">2012-01-15T12:28:00Z</dcterms:created>
  <dcterms:modified xsi:type="dcterms:W3CDTF">2012-01-15T12:28:00Z</dcterms:modified>
</cp:coreProperties>
</file>