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47745" w:rsidRDefault="00147745">
      <w:pPr>
        <w:jc w:val="center"/>
        <w:rPr>
          <w:sz w:val="20"/>
        </w:rPr>
      </w:pPr>
      <w:r>
        <w:rPr>
          <w:noProof/>
          <w:lang w:eastAsia="fr-FR"/>
        </w:rPr>
        <w:pict>
          <v:shapetype id="_x0000_t202" coordsize="21600,21600" o:spt="202" path="m,l,21600r21600,l21600,xe">
            <v:stroke joinstyle="miter"/>
            <v:path gradientshapeok="t" o:connecttype="rect"/>
          </v:shapetype>
          <v:shape id="_x0000_s1026" type="#_x0000_t202" style="position:absolute;left:0;text-align:left;margin-left:30pt;margin-top:31.15pt;width:532.55pt;height:287.8pt;z-index:251654656;mso-wrap-distance-left:5.7pt;mso-wrap-distance-top:5.7pt;mso-wrap-distance-right:5.7pt;mso-wrap-distance-bottom:5.7pt;mso-position-horizontal-relative:page;mso-position-vertical-relative:page" strokeweight="5pt">
            <v:fill color2="black"/>
            <v:textbox inset="4.25pt,4.25pt,4.25pt,4.25pt">
              <w:txbxContent>
                <w:p w:rsidR="00147745" w:rsidRDefault="00147745">
                  <w:pPr>
                    <w:pStyle w:val="Contenuducadre"/>
                    <w:rPr>
                      <w:rFonts w:ascii="Eras Demi ITC" w:hAnsi="Eras Demi ITC"/>
                    </w:rPr>
                  </w:pPr>
                  <w:r>
                    <w:rPr>
                      <w:rFonts w:ascii="Arial" w:hAnsi="Arial"/>
                      <w:b/>
                      <w:bCs/>
                      <w:sz w:val="16"/>
                      <w:szCs w:val="16"/>
                    </w:rPr>
                    <w:tab/>
                  </w:r>
                  <w:r>
                    <w:rPr>
                      <w:rFonts w:ascii="Arial" w:hAnsi="Arial"/>
                      <w:b/>
                      <w:bCs/>
                      <w:sz w:val="16"/>
                      <w:szCs w:val="16"/>
                    </w:rPr>
                    <w:tab/>
                  </w:r>
                  <w:r>
                    <w:rPr>
                      <w:rFonts w:ascii="Eras Demi ITC" w:hAnsi="Eras Demi ITC"/>
                    </w:rPr>
                    <w:t>Date : 13/01/12</w:t>
                  </w:r>
                </w:p>
                <w:p w:rsidR="00147745" w:rsidRDefault="00147745">
                  <w:pPr>
                    <w:pStyle w:val="Contenuducadre"/>
                    <w:rPr>
                      <w:rFonts w:ascii="Eras Demi ITC" w:hAnsi="Eras Demi ITC"/>
                    </w:rPr>
                  </w:pPr>
                  <w:r>
                    <w:rPr>
                      <w:rFonts w:ascii="Arial" w:hAnsi="Arial"/>
                      <w:b/>
                      <w:bCs/>
                      <w:sz w:val="16"/>
                      <w:szCs w:val="16"/>
                    </w:rPr>
                    <w:tab/>
                  </w:r>
                  <w:r>
                    <w:rPr>
                      <w:rFonts w:ascii="Arial" w:hAnsi="Arial"/>
                      <w:b/>
                      <w:bCs/>
                      <w:sz w:val="16"/>
                      <w:szCs w:val="16"/>
                    </w:rPr>
                    <w:tab/>
                  </w:r>
                  <w:r>
                    <w:rPr>
                      <w:rFonts w:ascii="Eras Demi ITC" w:hAnsi="Eras Demi ITC"/>
                    </w:rPr>
                    <w:t>Professeur : Garaffo</w:t>
                  </w:r>
                </w:p>
                <w:p w:rsidR="00147745" w:rsidRDefault="00147745">
                  <w:pPr>
                    <w:pStyle w:val="Contenuducadre"/>
                    <w:rPr>
                      <w:rFonts w:ascii="Eras Demi ITC" w:hAnsi="Eras Demi ITC"/>
                    </w:rPr>
                  </w:pPr>
                  <w:r>
                    <w:rPr>
                      <w:rFonts w:ascii="Eras Demi ITC" w:hAnsi="Eras Demi ITC"/>
                    </w:rPr>
                    <w:tab/>
                  </w:r>
                  <w:r>
                    <w:rPr>
                      <w:rFonts w:ascii="Eras Demi ITC" w:hAnsi="Eras Demi ITC"/>
                    </w:rPr>
                    <w:tab/>
                    <w:t xml:space="preserve">Nombre de pages : 11 </w:t>
                  </w:r>
                </w:p>
                <w:p w:rsidR="00147745" w:rsidRDefault="00147745">
                  <w:pPr>
                    <w:pStyle w:val="Contenuducadre"/>
                    <w:rPr>
                      <w:rFonts w:ascii="Arial" w:hAnsi="Arial"/>
                    </w:rPr>
                  </w:pPr>
                </w:p>
                <w:p w:rsidR="00147745" w:rsidRDefault="00147745">
                  <w:pPr>
                    <w:pStyle w:val="Contenuducadre"/>
                    <w:rPr>
                      <w:rFonts w:ascii="Capture it" w:eastAsia="Capture it"/>
                      <w:sz w:val="72"/>
                      <w:szCs w:val="72"/>
                    </w:rPr>
                  </w:pPr>
                  <w:r>
                    <w:rPr>
                      <w:rFonts w:ascii="Capture it" w:eastAsia="Capture it"/>
                      <w:sz w:val="72"/>
                      <w:szCs w:val="72"/>
                    </w:rPr>
                    <w:t xml:space="preserve">   </w:t>
                  </w:r>
                  <w:r>
                    <w:rPr>
                      <w:rFonts w:ascii="Arial Black" w:hAnsi="Arial Black"/>
                      <w:sz w:val="80"/>
                      <w:szCs w:val="80"/>
                    </w:rPr>
                    <w:t>APPAREIL DIGESTIF</w:t>
                  </w:r>
                  <w:r>
                    <w:rPr>
                      <w:rFonts w:ascii="Capture it" w:eastAsia="Capture it"/>
                      <w:sz w:val="72"/>
                      <w:szCs w:val="72"/>
                    </w:rPr>
                    <w:t xml:space="preserve">      </w:t>
                  </w:r>
                </w:p>
                <w:p w:rsidR="00147745" w:rsidRDefault="00147745">
                  <w:pPr>
                    <w:pStyle w:val="Contenuducadre"/>
                    <w:rPr>
                      <w:rFonts w:ascii="Antipasto" w:eastAsia="Antipasto"/>
                      <w:b/>
                      <w:bCs/>
                    </w:rPr>
                  </w:pPr>
                  <w:r>
                    <w:rPr>
                      <w:rFonts w:ascii="Antipasto" w:eastAsia="Antipasto"/>
                      <w:b/>
                      <w:bCs/>
                    </w:rPr>
                    <w:t>Ron</w:t>
                  </w:r>
                  <w:r>
                    <w:rPr>
                      <w:rFonts w:ascii="Antipasto" w:hAnsi="Antipasto" w:hint="eastAsia"/>
                      <w:b/>
                      <w:bCs/>
                    </w:rPr>
                    <w:t>é</w:t>
                  </w:r>
                  <w:r>
                    <w:rPr>
                      <w:rFonts w:ascii="Antipasto" w:eastAsia="Antipasto"/>
                      <w:b/>
                      <w:bCs/>
                    </w:rPr>
                    <w:t>o n</w:t>
                  </w:r>
                  <w:r>
                    <w:rPr>
                      <w:rFonts w:ascii="Antipasto" w:eastAsia="Antipasto" w:hint="eastAsia"/>
                      <w:b/>
                      <w:bCs/>
                    </w:rPr>
                    <w:t>°</w:t>
                  </w:r>
                  <w:r>
                    <w:rPr>
                      <w:rFonts w:ascii="Antipasto" w:eastAsia="Antipasto"/>
                      <w:b/>
                      <w:bCs/>
                    </w:rPr>
                    <w:t xml:space="preserve"> : 26</w:t>
                  </w:r>
                </w:p>
                <w:p w:rsidR="00147745" w:rsidRPr="006760FF" w:rsidRDefault="00147745" w:rsidP="006760FF">
                  <w:pPr>
                    <w:widowControl/>
                    <w:suppressAutoHyphens w:val="0"/>
                    <w:autoSpaceDE w:val="0"/>
                    <w:autoSpaceDN w:val="0"/>
                    <w:adjustRightInd w:val="0"/>
                    <w:rPr>
                      <w:rFonts w:ascii="Arial" w:hAnsi="Arial" w:cs="Arial"/>
                      <w:color w:val="auto"/>
                      <w:sz w:val="20"/>
                      <w:szCs w:val="20"/>
                      <w:lang w:eastAsia="fr-FR"/>
                    </w:rPr>
                  </w:pPr>
                  <w:r>
                    <w:rPr>
                      <w:rFonts w:ascii="Antipasto" w:eastAsia="Antipasto"/>
                    </w:rPr>
                    <w:t>Intitul</w:t>
                  </w:r>
                  <w:r>
                    <w:rPr>
                      <w:rFonts w:ascii="Antipasto" w:hAnsi="Antipasto" w:hint="eastAsia"/>
                    </w:rPr>
                    <w:t>é</w:t>
                  </w:r>
                  <w:r>
                    <w:rPr>
                      <w:rFonts w:ascii="Antipasto" w:eastAsia="Antipasto"/>
                    </w:rPr>
                    <w:t xml:space="preserve"> du cours :</w:t>
                  </w:r>
                  <w:r w:rsidRPr="00DF09C0">
                    <w:rPr>
                      <w:rFonts w:ascii="Arial" w:hAnsi="Arial" w:cs="Arial"/>
                      <w:color w:val="auto"/>
                      <w:sz w:val="20"/>
                      <w:szCs w:val="20"/>
                      <w:lang w:eastAsia="fr-FR"/>
                    </w:rPr>
                    <w:t xml:space="preserve"> </w:t>
                  </w:r>
                  <w:r>
                    <w:rPr>
                      <w:rFonts w:ascii="Arial" w:hAnsi="Arial" w:cs="Arial"/>
                      <w:color w:val="auto"/>
                      <w:sz w:val="20"/>
                      <w:szCs w:val="20"/>
                      <w:lang w:eastAsia="fr-FR"/>
                    </w:rPr>
                    <w:t>médicaments de l'hépatite virale, insuffisance hépatique et médicaments</w:t>
                  </w:r>
                </w:p>
                <w:p w:rsidR="00147745" w:rsidRPr="002C6F00" w:rsidRDefault="00147745" w:rsidP="002C6F00">
                  <w:pPr>
                    <w:pStyle w:val="Contenuducadre"/>
                    <w:rPr>
                      <w:rFonts w:ascii="Antipasto" w:eastAsia="Antipasto"/>
                      <w:b/>
                      <w:bCs/>
                    </w:rPr>
                  </w:pPr>
                  <w:r w:rsidRPr="00D11F1B">
                    <w:rPr>
                      <w:rFonts w:ascii="MV Boli" w:hAnsi="MV Boli"/>
                      <w:b/>
                      <w:bCs/>
                    </w:rPr>
                    <w:t>Chef Ronéo :</w:t>
                  </w:r>
                  <w:r>
                    <w:rPr>
                      <w:rFonts w:ascii="MV Boli" w:hAnsi="MV Boli"/>
                      <w:b/>
                      <w:bCs/>
                    </w:rPr>
                    <w:t>Gabriel</w:t>
                  </w:r>
                  <w:r w:rsidRPr="00D11F1B">
                    <w:rPr>
                      <w:rFonts w:ascii="MV Boli" w:hAnsi="MV Boli"/>
                      <w:b/>
                      <w:bCs/>
                    </w:rPr>
                    <w:t xml:space="preserve"> </w:t>
                  </w:r>
                  <w:r w:rsidRPr="005D50AA">
                    <w:rPr>
                      <w:rStyle w:val="prs1"/>
                      <w:rFonts w:ascii="MV Boli" w:hAnsi="MV Boli" w:cs="MV Boli"/>
                      <w:b/>
                      <w:color w:val="auto"/>
                    </w:rPr>
                    <w:t>Al</w:t>
                  </w:r>
                  <w:r>
                    <w:rPr>
                      <w:rStyle w:val="prs1"/>
                      <w:rFonts w:ascii="MV Boli" w:hAnsi="MV Boli" w:cs="MV Boli"/>
                      <w:b/>
                      <w:color w:val="auto"/>
                    </w:rPr>
                    <w:t xml:space="preserve"> K</w:t>
                  </w:r>
                  <w:r w:rsidRPr="005D50AA">
                    <w:rPr>
                      <w:rStyle w:val="prs1"/>
                      <w:rFonts w:ascii="MV Boli" w:hAnsi="MV Boli" w:cs="MV Boli"/>
                      <w:b/>
                      <w:color w:val="auto"/>
                    </w:rPr>
                    <w:t>hansa</w:t>
                  </w:r>
                </w:p>
                <w:p w:rsidR="00147745" w:rsidRDefault="00147745" w:rsidP="00D11F1B">
                  <w:pPr>
                    <w:pStyle w:val="Contenuducadre"/>
                    <w:rPr>
                      <w:rFonts w:ascii="Antipasto" w:eastAsia="Antipasto"/>
                      <w:b/>
                      <w:bCs/>
                    </w:rPr>
                  </w:pPr>
                  <w:r>
                    <w:rPr>
                      <w:rFonts w:ascii="Antipasto" w:eastAsia="Antipasto"/>
                      <w:b/>
                      <w:bCs/>
                    </w:rPr>
                    <w:t>Bin</w:t>
                  </w:r>
                  <w:r>
                    <w:rPr>
                      <w:rFonts w:ascii="Antipasto" w:hAnsi="Antipasto" w:hint="eastAsia"/>
                      <w:b/>
                      <w:bCs/>
                    </w:rPr>
                    <w:t>ô</w:t>
                  </w:r>
                  <w:r>
                    <w:rPr>
                      <w:rFonts w:ascii="Antipasto" w:eastAsia="Antipasto"/>
                      <w:b/>
                      <w:bCs/>
                    </w:rPr>
                    <w:t>me</w:t>
                  </w:r>
                  <w:r>
                    <w:rPr>
                      <w:rFonts w:ascii="Antipasto" w:eastAsia="Antipasto"/>
                      <w:b/>
                      <w:bCs/>
                    </w:rPr>
                    <w:t> </w:t>
                  </w:r>
                  <w:r>
                    <w:rPr>
                      <w:rFonts w:ascii="Antipasto" w:eastAsia="Antipasto"/>
                      <w:b/>
                      <w:bCs/>
                    </w:rPr>
                    <w:t>: Alix Schoulmann</w:t>
                  </w:r>
                </w:p>
                <w:p w:rsidR="00147745" w:rsidRDefault="00147745" w:rsidP="00D11F1B">
                  <w:pPr>
                    <w:pStyle w:val="Contenuducadre"/>
                    <w:rPr>
                      <w:rFonts w:ascii="Antipasto" w:eastAsia="Antipasto"/>
                      <w:b/>
                      <w:bCs/>
                    </w:rPr>
                  </w:pPr>
                  <w:r>
                    <w:rPr>
                      <w:rFonts w:ascii="Antipasto" w:eastAsia="Antipasto"/>
                      <w:b/>
                      <w:bCs/>
                    </w:rPr>
                    <w:t>/Kellen Briot</w:t>
                  </w:r>
                </w:p>
                <w:p w:rsidR="00147745" w:rsidRDefault="00147745">
                  <w:pPr>
                    <w:pStyle w:val="Contenuducadre"/>
                    <w:rPr>
                      <w:rFonts w:ascii="Antipasto" w:eastAsia="Antipasto"/>
                      <w:b/>
                      <w:bCs/>
                    </w:rPr>
                  </w:pPr>
                </w:p>
                <w:p w:rsidR="00147745" w:rsidRDefault="00147745">
                  <w:pPr>
                    <w:pStyle w:val="Contenuducadre"/>
                    <w:rPr>
                      <w:rFonts w:ascii="MV Boli" w:hAnsi="MV Boli"/>
                      <w:b/>
                      <w:bCs/>
                    </w:rPr>
                  </w:pPr>
                  <w:r>
                    <w:rPr>
                      <w:rFonts w:ascii="MV Boli" w:hAnsi="MV Boli"/>
                      <w:b/>
                      <w:bCs/>
                    </w:rPr>
                    <w:t xml:space="preserve">Binôme: </w:t>
                  </w:r>
                </w:p>
              </w:txbxContent>
            </v:textbox>
            <w10:wrap anchorx="page" anchory="page"/>
          </v:shape>
        </w:pict>
      </w:r>
      <w:r>
        <w:rPr>
          <w:noProof/>
          <w:lang w:eastAsia="fr-FR"/>
        </w:rPr>
        <w:pict>
          <v:shape id="_x0000_s1027" type="#_x0000_t202" style="position:absolute;left:0;text-align:left;margin-left:10.25pt;margin-top:11pt;width:89.95pt;height:34.3pt;z-index:251655680;mso-wrap-distance-left:5.7pt;mso-wrap-distance-top:5.7pt;mso-wrap-distance-right:5.7pt;mso-wrap-distance-bottom:5.7pt" fillcolor="black" strokeweight=".05pt">
            <v:textbox inset="4.25pt,4.25pt,4.25pt,4.25pt">
              <w:txbxContent>
                <w:p w:rsidR="00147745" w:rsidRPr="002C6F00" w:rsidRDefault="00147745">
                  <w:pPr>
                    <w:pStyle w:val="Contenuducadre"/>
                    <w:jc w:val="center"/>
                    <w:rPr>
                      <w:rFonts w:ascii="Kristen ITC" w:hAnsi="Kristen ITC"/>
                      <w:b/>
                      <w:bCs/>
                      <w:color w:val="FFFFFF"/>
                      <w:sz w:val="36"/>
                      <w:szCs w:val="36"/>
                    </w:rPr>
                  </w:pPr>
                  <w:r>
                    <w:rPr>
                      <w:rFonts w:ascii="Kristen ITC" w:hAnsi="Kristen ITC"/>
                      <w:b/>
                      <w:bCs/>
                      <w:color w:val="FFFFFF"/>
                      <w:sz w:val="36"/>
                      <w:szCs w:val="36"/>
                    </w:rPr>
                    <w:t>L2</w:t>
                  </w:r>
                </w:p>
                <w:p w:rsidR="00147745" w:rsidRDefault="00147745">
                  <w:pPr>
                    <w:rPr>
                      <w:rFonts w:ascii="Aharoni" w:hAnsi="Aharoni"/>
                      <w:szCs w:val="40"/>
                      <w:lang w:bidi="he-IL"/>
                    </w:rPr>
                  </w:pPr>
                </w:p>
              </w:txbxContent>
            </v:textbox>
            <w10:wrap type="square"/>
          </v:shape>
        </w:pict>
      </w:r>
    </w:p>
    <w:p w:rsidR="00147745" w:rsidRDefault="00147745">
      <w:r>
        <w:rPr>
          <w:noProof/>
          <w:lang w:eastAsia="fr-FR"/>
        </w:rPr>
        <w:pict>
          <v:shape id="_x0000_s1028" type="#_x0000_t202" style="position:absolute;margin-left:281pt;margin-top:.75pt;width:137.75pt;height:37.35pt;z-index:251656704;mso-wrap-distance-left:9.05pt;mso-wrap-distance-right:9.05pt" stroked="f">
            <v:fill color2="black"/>
            <v:textbox inset="0,0,0,0">
              <w:txbxContent>
                <w:p w:rsidR="00147745" w:rsidRDefault="00147745">
                  <w:pPr>
                    <w:rPr>
                      <w:rFonts w:ascii="Engravers MT" w:hAnsi="Engravers MT"/>
                      <w:sz w:val="40"/>
                      <w:szCs w:val="40"/>
                    </w:rPr>
                  </w:pPr>
                  <w:r>
                    <w:rPr>
                      <w:rFonts w:ascii="Engravers MT" w:hAnsi="Engravers MT"/>
                      <w:sz w:val="40"/>
                      <w:szCs w:val="40"/>
                    </w:rPr>
                    <w:t>2011-2012</w:t>
                  </w:r>
                </w:p>
                <w:p w:rsidR="00147745" w:rsidRDefault="00147745">
                  <w:pPr>
                    <w:rPr>
                      <w:szCs w:val="40"/>
                    </w:rPr>
                  </w:pPr>
                </w:p>
              </w:txbxContent>
            </v:textbox>
          </v:shape>
        </w:pict>
      </w:r>
    </w:p>
    <w:p w:rsidR="00147745" w:rsidRDefault="00147745"/>
    <w:p w:rsidR="00147745" w:rsidRDefault="00147745"/>
    <w:p w:rsidR="00147745" w:rsidRDefault="00147745"/>
    <w:p w:rsidR="00147745" w:rsidRDefault="00147745"/>
    <w:p w:rsidR="00147745" w:rsidRDefault="00147745"/>
    <w:p w:rsidR="00147745" w:rsidRDefault="00147745"/>
    <w:p w:rsidR="00147745" w:rsidRDefault="00147745">
      <w:pPr>
        <w:jc w:val="center"/>
        <w:rPr>
          <w:sz w:val="64"/>
          <w:szCs w:val="64"/>
        </w:rPr>
      </w:pPr>
    </w:p>
    <w:p w:rsidR="00147745" w:rsidRDefault="00147745"/>
    <w:p w:rsidR="00147745" w:rsidRDefault="00147745">
      <w:pPr>
        <w:rPr>
          <w:sz w:val="64"/>
          <w:szCs w:val="64"/>
          <w:lang w:eastAsia="ar-SA"/>
        </w:rPr>
      </w:pPr>
      <w:r>
        <w:rPr>
          <w:noProof/>
          <w:lang w:eastAsia="fr-FR"/>
        </w:rPr>
        <w:pict>
          <v:shape id="_x0000_s1029" type="#_x0000_t202" style="position:absolute;margin-left:392.75pt;margin-top:32.25pt;width:125.75pt;height:88.85pt;z-index:251658752;mso-wrap-distance-left:9.05pt;mso-wrap-distance-right:9.05pt" stroked="f">
            <v:fill opacity="0" color2="black"/>
            <v:textbox inset="0,0,0,0">
              <w:txbxContent>
                <w:p w:rsidR="00147745" w:rsidRPr="0067219E" w:rsidRDefault="00147745">
                  <w:pPr>
                    <w:pStyle w:val="Contenuducadre"/>
                    <w:rPr>
                      <w:rFonts w:ascii="Eras Demi ITC" w:hAnsi="Eras Demi ITC"/>
                      <w:bCs/>
                      <w:color w:val="auto"/>
                      <w:sz w:val="16"/>
                      <w:szCs w:val="16"/>
                    </w:rPr>
                  </w:pPr>
                  <w:r w:rsidRPr="0067219E">
                    <w:rPr>
                      <w:rFonts w:ascii="Eras Demi ITC" w:hAnsi="Eras Demi ITC"/>
                      <w:bCs/>
                      <w:color w:val="auto"/>
                      <w:sz w:val="16"/>
                      <w:szCs w:val="16"/>
                    </w:rPr>
                    <w:t>Corporation des Carabins</w:t>
                  </w:r>
                </w:p>
                <w:p w:rsidR="00147745" w:rsidRPr="0067219E" w:rsidRDefault="00147745">
                  <w:pPr>
                    <w:pStyle w:val="Contenuducadre"/>
                    <w:rPr>
                      <w:rFonts w:ascii="Eras Demi ITC" w:hAnsi="Eras Demi ITC"/>
                      <w:bCs/>
                      <w:color w:val="auto"/>
                      <w:sz w:val="16"/>
                      <w:szCs w:val="16"/>
                    </w:rPr>
                  </w:pPr>
                  <w:r w:rsidRPr="0067219E">
                    <w:rPr>
                      <w:rFonts w:ascii="Eras Demi ITC" w:hAnsi="Eras Demi ITC"/>
                      <w:bCs/>
                      <w:color w:val="auto"/>
                      <w:sz w:val="16"/>
                      <w:szCs w:val="16"/>
                    </w:rPr>
                    <w:t>Niçois</w:t>
                  </w:r>
                </w:p>
                <w:p w:rsidR="00147745" w:rsidRPr="0067219E" w:rsidRDefault="00147745">
                  <w:pPr>
                    <w:pStyle w:val="Contenuducadre"/>
                    <w:rPr>
                      <w:sz w:val="16"/>
                      <w:szCs w:val="16"/>
                    </w:rPr>
                  </w:pPr>
                  <w:r w:rsidRPr="0067219E">
                    <w:rPr>
                      <w:rFonts w:ascii="Calibri" w:hAnsi="Calibri"/>
                      <w:bCs/>
                      <w:color w:val="auto"/>
                      <w:sz w:val="16"/>
                      <w:szCs w:val="16"/>
                    </w:rPr>
                    <w:t>UFR Médecine</w:t>
                  </w:r>
                  <w:r w:rsidRPr="0067219E">
                    <w:rPr>
                      <w:rFonts w:ascii="Calibri" w:hAnsi="Calibri"/>
                      <w:bCs/>
                      <w:color w:val="auto"/>
                      <w:sz w:val="16"/>
                      <w:szCs w:val="16"/>
                    </w:rPr>
                    <w:br/>
                    <w:t>28, av. de Valombrose</w:t>
                  </w:r>
                  <w:r w:rsidRPr="0067219E">
                    <w:rPr>
                      <w:rFonts w:ascii="Calibri" w:hAnsi="Calibri"/>
                      <w:bCs/>
                      <w:color w:val="auto"/>
                      <w:sz w:val="16"/>
                      <w:szCs w:val="16"/>
                    </w:rPr>
                    <w:br/>
                    <w:t>06107 Nice Cedex 2</w:t>
                  </w:r>
                  <w:r w:rsidRPr="0067219E">
                    <w:rPr>
                      <w:rFonts w:ascii="Calibri" w:hAnsi="Calibri"/>
                      <w:bCs/>
                      <w:color w:val="auto"/>
                      <w:sz w:val="16"/>
                      <w:szCs w:val="16"/>
                    </w:rPr>
                    <w:br/>
                  </w:r>
                  <w:r w:rsidRPr="0067219E">
                    <w:rPr>
                      <w:rFonts w:ascii="Calibri" w:hAnsi="Calibri"/>
                      <w:bCs/>
                      <w:color w:val="auto"/>
                      <w:sz w:val="16"/>
                      <w:szCs w:val="16"/>
                      <w:u w:val="single"/>
                    </w:rPr>
                    <w:t>www.carabinsnicois.com</w:t>
                  </w:r>
                  <w:r w:rsidRPr="0067219E">
                    <w:rPr>
                      <w:rFonts w:ascii="Calibri" w:hAnsi="Calibri"/>
                      <w:bCs/>
                      <w:color w:val="auto"/>
                      <w:sz w:val="16"/>
                      <w:szCs w:val="16"/>
                      <w:u w:val="single"/>
                    </w:rPr>
                    <w:br/>
                  </w:r>
                  <w:r w:rsidRPr="0067219E">
                    <w:rPr>
                      <w:rFonts w:ascii="Calibri" w:hAnsi="Calibri"/>
                      <w:bCs/>
                      <w:color w:val="auto"/>
                      <w:sz w:val="16"/>
                      <w:szCs w:val="16"/>
                    </w:rPr>
                    <w:t xml:space="preserve"> </w:t>
                  </w:r>
                  <w:hyperlink r:id="rId7" w:history="1">
                    <w:r w:rsidRPr="0067219E">
                      <w:rPr>
                        <w:rStyle w:val="Hyperlink"/>
                        <w:rFonts w:ascii="Calibri" w:hAnsi="Calibri" w:cs="Tahoma"/>
                        <w:sz w:val="16"/>
                        <w:szCs w:val="16"/>
                      </w:rPr>
                      <w:t>vproneo@gmail.com</w:t>
                    </w:r>
                  </w:hyperlink>
                </w:p>
                <w:p w:rsidR="00147745" w:rsidRPr="0067219E" w:rsidRDefault="00147745">
                  <w:pPr>
                    <w:rPr>
                      <w:sz w:val="16"/>
                      <w:szCs w:val="16"/>
                    </w:rPr>
                  </w:pPr>
                </w:p>
              </w:txbxContent>
            </v:textbox>
          </v:shape>
        </w:pict>
      </w:r>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30" type="#_x0000_t75" style="position:absolute;margin-left:232.7pt;margin-top:236.9pt;width:135.4pt;height:60.55pt;z-index:251657728;visibility:visible;mso-wrap-distance-left:0;mso-wrap-distance-right:0;mso-position-horizontal-relative:page;mso-position-vertical-relative:page" filled="t">
            <v:imagedata r:id="rId8" o:title=""/>
            <w10:wrap anchorx="page" anchory="page"/>
          </v:shape>
        </w:pict>
      </w:r>
    </w:p>
    <w:p w:rsidR="00147745" w:rsidRDefault="00147745">
      <w:pPr>
        <w:jc w:val="center"/>
      </w:pPr>
    </w:p>
    <w:p w:rsidR="00147745" w:rsidRDefault="00147745">
      <w:pPr>
        <w:jc w:val="center"/>
      </w:pPr>
    </w:p>
    <w:p w:rsidR="00147745" w:rsidRDefault="00147745">
      <w:pPr>
        <w:jc w:val="center"/>
      </w:pPr>
    </w:p>
    <w:p w:rsidR="00147745" w:rsidRDefault="00147745">
      <w:pPr>
        <w:jc w:val="center"/>
      </w:pPr>
    </w:p>
    <w:p w:rsidR="00147745" w:rsidRDefault="00147745">
      <w:pPr>
        <w:jc w:val="center"/>
      </w:pPr>
    </w:p>
    <w:p w:rsidR="00147745" w:rsidRDefault="00147745">
      <w:pPr>
        <w:jc w:val="center"/>
      </w:pPr>
    </w:p>
    <w:p w:rsidR="00147745" w:rsidRDefault="00147745">
      <w:pPr>
        <w:jc w:val="center"/>
      </w:pPr>
    </w:p>
    <w:p w:rsidR="00147745" w:rsidRDefault="00147745">
      <w:pPr>
        <w:jc w:val="center"/>
      </w:pPr>
    </w:p>
    <w:p w:rsidR="00147745" w:rsidRPr="00470C1B" w:rsidRDefault="00147745">
      <w:pPr>
        <w:rPr>
          <w:rFonts w:ascii="Georgia" w:hAnsi="Georgia"/>
          <w:i/>
          <w:iCs/>
          <w:sz w:val="20"/>
          <w:szCs w:val="20"/>
        </w:rPr>
      </w:pPr>
      <w:r w:rsidRPr="00470C1B">
        <w:rPr>
          <w:rFonts w:ascii="Georgia" w:hAnsi="Georgia"/>
          <w:i/>
          <w:iCs/>
          <w:sz w:val="20"/>
          <w:szCs w:val="20"/>
        </w:rPr>
        <w:t>Partenaires</w:t>
      </w:r>
    </w:p>
    <w:p w:rsidR="00147745" w:rsidRPr="00470C1B" w:rsidRDefault="00147745"/>
    <w:p w:rsidR="00147745" w:rsidRPr="00470C1B" w:rsidRDefault="00147745"/>
    <w:p w:rsidR="00147745" w:rsidRPr="00470C1B" w:rsidRDefault="00147745">
      <w:r>
        <w:rPr>
          <w:noProof/>
          <w:lang w:eastAsia="fr-FR"/>
        </w:rPr>
        <w:pict>
          <v:shape id="Image 2" o:spid="_x0000_s1031" type="#_x0000_t75" style="position:absolute;margin-left:0;margin-top:0;width:425.1pt;height:297.6pt;z-index:251653632;visibility:visible;mso-wrap-distance-left:0;mso-wrap-distance-right:0;mso-position-horizontal:center" filled="t">
            <v:imagedata r:id="rId9" o:title=""/>
            <w10:wrap type="topAndBottom"/>
          </v:shape>
        </w:pict>
      </w:r>
      <w:r w:rsidRPr="00470C1B">
        <w:t xml:space="preserve">                                                                      </w:t>
      </w:r>
    </w:p>
    <w:p w:rsidR="00147745" w:rsidRPr="00470C1B" w:rsidRDefault="00147745"/>
    <w:p w:rsidR="00147745" w:rsidRPr="00470C1B" w:rsidRDefault="00147745"/>
    <w:p w:rsidR="00147745" w:rsidRPr="00470C1B" w:rsidRDefault="00147745"/>
    <w:p w:rsidR="00147745" w:rsidRPr="00470C1B" w:rsidRDefault="00147745"/>
    <w:p w:rsidR="00147745" w:rsidRPr="00470C1B" w:rsidRDefault="00147745"/>
    <w:p w:rsidR="00147745" w:rsidRPr="00470C1B" w:rsidRDefault="00147745"/>
    <w:p w:rsidR="00147745" w:rsidRPr="00470C1B" w:rsidRDefault="00147745"/>
    <w:p w:rsidR="00147745" w:rsidRDefault="00147745" w:rsidP="00DF09C0">
      <w:pPr>
        <w:jc w:val="center"/>
        <w:rPr>
          <w:rFonts w:ascii="Book Antiqua" w:hAnsi="Book Antiqua"/>
          <w:sz w:val="28"/>
          <w:szCs w:val="28"/>
        </w:rPr>
      </w:pPr>
    </w:p>
    <w:p w:rsidR="00147745" w:rsidRPr="001F17D3" w:rsidRDefault="00147745" w:rsidP="00DF09C0">
      <w:pPr>
        <w:jc w:val="center"/>
        <w:rPr>
          <w:rFonts w:ascii="Lucida Handwriting" w:hAnsi="Lucida Handwriting"/>
          <w:sz w:val="28"/>
          <w:szCs w:val="28"/>
        </w:rPr>
      </w:pPr>
      <w:r w:rsidRPr="001F17D3">
        <w:rPr>
          <w:rFonts w:ascii="Lucida Handwriting" w:hAnsi="Lucida Handwriting"/>
          <w:sz w:val="28"/>
          <w:szCs w:val="28"/>
        </w:rPr>
        <w:t>Pharmacologie</w:t>
      </w:r>
    </w:p>
    <w:p w:rsidR="00147745" w:rsidRPr="001F17D3" w:rsidRDefault="00147745" w:rsidP="00DF09C0">
      <w:pPr>
        <w:widowControl/>
        <w:suppressAutoHyphens w:val="0"/>
        <w:autoSpaceDE w:val="0"/>
        <w:autoSpaceDN w:val="0"/>
        <w:adjustRightInd w:val="0"/>
        <w:jc w:val="center"/>
        <w:rPr>
          <w:rFonts w:ascii="Lucida Handwriting" w:hAnsi="Lucida Handwriting" w:cs="Arial"/>
          <w:color w:val="auto"/>
          <w:sz w:val="28"/>
          <w:szCs w:val="28"/>
          <w:lang w:eastAsia="fr-FR"/>
        </w:rPr>
      </w:pPr>
      <w:r w:rsidRPr="001F17D3">
        <w:rPr>
          <w:rFonts w:ascii="Lucida Handwriting" w:hAnsi="Lucida Handwriting" w:cs="Arial"/>
          <w:color w:val="auto"/>
          <w:sz w:val="28"/>
          <w:szCs w:val="28"/>
          <w:lang w:eastAsia="fr-FR"/>
        </w:rPr>
        <w:t>Médicaments de l'hépatite virale, insuffisance hépatique et médicaments</w:t>
      </w:r>
    </w:p>
    <w:p w:rsidR="00147745" w:rsidRPr="00DF09C0" w:rsidRDefault="00147745"/>
    <w:p w:rsidR="00147745" w:rsidRPr="008051B1" w:rsidRDefault="00147745">
      <w:pPr>
        <w:rPr>
          <w:rFonts w:ascii="Calibri" w:hAnsi="Calibri" w:cs="Calibri"/>
          <w:i/>
          <w:sz w:val="22"/>
          <w:szCs w:val="22"/>
        </w:rPr>
      </w:pPr>
      <w:r>
        <w:rPr>
          <w:rFonts w:ascii="Calibri" w:hAnsi="Calibri" w:cs="Calibri"/>
          <w:i/>
          <w:sz w:val="22"/>
          <w:szCs w:val="22"/>
        </w:rPr>
        <w:t>Coucou à tous alors le prof nous a dit qu’il avait mis les diapos sur internatice mais ce jour elles n’y sont toujours pas et je doute qu’on les ait un jour. Cependant les photos des diapos seront sur Carabins d’ici peu.</w:t>
      </w:r>
    </w:p>
    <w:p w:rsidR="00147745" w:rsidRDefault="00147745">
      <w:pPr>
        <w:rPr>
          <w:rFonts w:ascii="Book Antiqua" w:hAnsi="Book Antiqua"/>
          <w:sz w:val="22"/>
          <w:szCs w:val="22"/>
        </w:rPr>
      </w:pPr>
    </w:p>
    <w:p w:rsidR="00147745" w:rsidRDefault="00147745">
      <w:pPr>
        <w:rPr>
          <w:rFonts w:ascii="Book Antiqua" w:hAnsi="Book Antiqua"/>
          <w:sz w:val="22"/>
          <w:szCs w:val="22"/>
        </w:rPr>
      </w:pPr>
      <w:r>
        <w:rPr>
          <w:rFonts w:ascii="Book Antiqua" w:hAnsi="Book Antiqua"/>
          <w:sz w:val="22"/>
          <w:szCs w:val="22"/>
        </w:rPr>
        <w:t>Le foie est un organe important dans le métabolisme des médicaments et notamment par le biais des microsomes hépatiques de type cytochrome P450 il va avoir la capacité de métaboliser des substances exogènes comme les médicaments.</w:t>
      </w:r>
    </w:p>
    <w:p w:rsidR="00147745" w:rsidRDefault="00147745">
      <w:pPr>
        <w:rPr>
          <w:rFonts w:ascii="Book Antiqua" w:hAnsi="Book Antiqua"/>
          <w:sz w:val="22"/>
          <w:szCs w:val="22"/>
        </w:rPr>
      </w:pPr>
      <w:r>
        <w:rPr>
          <w:rFonts w:ascii="Book Antiqua" w:hAnsi="Book Antiqua"/>
          <w:sz w:val="22"/>
          <w:szCs w:val="22"/>
        </w:rPr>
        <w:t>Le foie peut être très sensible à l’effet de ces médicaments d’une part et d’autre part peut souffrir d’autre atteinte de type infection virale,… qui peut le mettre en difficulté dans son fonctionnement et donc avoir une répercussion sur le métabolisme des médicaments.</w:t>
      </w:r>
    </w:p>
    <w:p w:rsidR="00147745" w:rsidRDefault="00147745">
      <w:pPr>
        <w:rPr>
          <w:rFonts w:ascii="Book Antiqua" w:hAnsi="Book Antiqua"/>
          <w:sz w:val="22"/>
          <w:szCs w:val="22"/>
        </w:rPr>
      </w:pPr>
    </w:p>
    <w:p w:rsidR="00147745" w:rsidRPr="00DF09C0" w:rsidRDefault="00147745">
      <w:pPr>
        <w:rPr>
          <w:rFonts w:ascii="Book Antiqua" w:hAnsi="Book Antiqua"/>
          <w:sz w:val="22"/>
          <w:szCs w:val="22"/>
        </w:rPr>
      </w:pPr>
      <w:r>
        <w:rPr>
          <w:rFonts w:ascii="Book Antiqua" w:hAnsi="Book Antiqua"/>
          <w:sz w:val="22"/>
          <w:szCs w:val="22"/>
        </w:rPr>
        <w:t xml:space="preserve">Au niveau du foie il y a le métabolisme par les cytochromes : les biotransformations mais aussi directement de l’excrétion. </w:t>
      </w:r>
    </w:p>
    <w:p w:rsidR="00147745" w:rsidRDefault="00147745" w:rsidP="00DF09C0">
      <w:pPr>
        <w:rPr>
          <w:rFonts w:ascii="Book Antiqua" w:hAnsi="Book Antiqua"/>
          <w:sz w:val="22"/>
          <w:szCs w:val="22"/>
        </w:rPr>
      </w:pPr>
      <w:r w:rsidRPr="00DF09C0">
        <w:rPr>
          <w:rFonts w:ascii="Book Antiqua" w:hAnsi="Book Antiqua"/>
          <w:sz w:val="22"/>
          <w:szCs w:val="22"/>
        </w:rPr>
        <w:t xml:space="preserve"> </w:t>
      </w:r>
    </w:p>
    <w:p w:rsidR="00147745" w:rsidRPr="00DF09C0" w:rsidRDefault="00147745" w:rsidP="00080E67">
      <w:pPr>
        <w:rPr>
          <w:rFonts w:ascii="Book Antiqua" w:hAnsi="Book Antiqua"/>
          <w:sz w:val="22"/>
          <w:szCs w:val="22"/>
        </w:rPr>
      </w:pPr>
      <w:r w:rsidRPr="00DF09C0">
        <w:rPr>
          <w:rFonts w:ascii="Book Antiqua" w:hAnsi="Book Antiqua"/>
          <w:sz w:val="22"/>
          <w:szCs w:val="22"/>
        </w:rPr>
        <w:t>Si</w:t>
      </w:r>
      <w:r>
        <w:rPr>
          <w:rFonts w:ascii="Book Antiqua" w:hAnsi="Book Antiqua"/>
          <w:sz w:val="22"/>
          <w:szCs w:val="22"/>
        </w:rPr>
        <w:t xml:space="preserve"> </w:t>
      </w:r>
      <w:r w:rsidRPr="00DF09C0">
        <w:rPr>
          <w:rFonts w:ascii="Book Antiqua" w:hAnsi="Book Antiqua"/>
          <w:sz w:val="22"/>
          <w:szCs w:val="22"/>
        </w:rPr>
        <w:t xml:space="preserve">: </w:t>
      </w:r>
    </w:p>
    <w:p w:rsidR="00147745" w:rsidRPr="00DF09C0" w:rsidRDefault="00147745" w:rsidP="00080E67">
      <w:pPr>
        <w:pStyle w:val="ListParagraph"/>
        <w:numPr>
          <w:ilvl w:val="0"/>
          <w:numId w:val="1"/>
        </w:numPr>
        <w:jc w:val="left"/>
        <w:rPr>
          <w:rFonts w:ascii="Book Antiqua" w:hAnsi="Book Antiqua"/>
        </w:rPr>
      </w:pPr>
      <w:r>
        <w:rPr>
          <w:rFonts w:ascii="Book Antiqua" w:hAnsi="Book Antiqua"/>
        </w:rPr>
        <w:t xml:space="preserve">Les cytochromes sont atteints : </w:t>
      </w:r>
      <w:r w:rsidRPr="00470C1B">
        <w:rPr>
          <w:rFonts w:ascii="Book Antiqua" w:hAnsi="Book Antiqua"/>
          <w:b/>
        </w:rPr>
        <w:t>insuffisance hépatocellulaire</w:t>
      </w:r>
      <w:r>
        <w:rPr>
          <w:rFonts w:ascii="Book Antiqua" w:hAnsi="Book Antiqua"/>
        </w:rPr>
        <w:t xml:space="preserve"> =&gt; </w:t>
      </w:r>
      <w:r w:rsidRPr="00DF09C0">
        <w:rPr>
          <w:rFonts w:ascii="Book Antiqua" w:hAnsi="Book Antiqua"/>
        </w:rPr>
        <w:t xml:space="preserve">diminution de la </w:t>
      </w:r>
      <w:r w:rsidRPr="00470C1B">
        <w:rPr>
          <w:rFonts w:ascii="Book Antiqua" w:hAnsi="Book Antiqua"/>
          <w:b/>
        </w:rPr>
        <w:t>biotransformation</w:t>
      </w:r>
    </w:p>
    <w:p w:rsidR="00147745" w:rsidRPr="00DF09C0" w:rsidRDefault="00147745" w:rsidP="00080E67">
      <w:pPr>
        <w:pStyle w:val="ListParagraph"/>
        <w:numPr>
          <w:ilvl w:val="0"/>
          <w:numId w:val="1"/>
        </w:numPr>
        <w:jc w:val="left"/>
        <w:rPr>
          <w:rFonts w:ascii="Book Antiqua" w:hAnsi="Book Antiqua"/>
        </w:rPr>
      </w:pPr>
      <w:r>
        <w:rPr>
          <w:rFonts w:ascii="Book Antiqua" w:hAnsi="Book Antiqua"/>
        </w:rPr>
        <w:t>L’</w:t>
      </w:r>
      <w:r w:rsidRPr="00470C1B">
        <w:rPr>
          <w:rFonts w:ascii="Book Antiqua" w:hAnsi="Book Antiqua"/>
          <w:b/>
        </w:rPr>
        <w:t>excrétion</w:t>
      </w:r>
      <w:r>
        <w:rPr>
          <w:rFonts w:ascii="Book Antiqua" w:hAnsi="Book Antiqua"/>
        </w:rPr>
        <w:t xml:space="preserve"> (se fait par les voies biliaires) se fait mal : </w:t>
      </w:r>
      <w:r w:rsidRPr="00470C1B">
        <w:rPr>
          <w:rFonts w:ascii="Book Antiqua" w:hAnsi="Book Antiqua"/>
          <w:b/>
        </w:rPr>
        <w:t>cholestase</w:t>
      </w:r>
      <w:r>
        <w:rPr>
          <w:rFonts w:ascii="Book Antiqua" w:hAnsi="Book Antiqua"/>
        </w:rPr>
        <w:t> =&gt;</w:t>
      </w:r>
      <w:r w:rsidRPr="00DF09C0">
        <w:rPr>
          <w:rFonts w:ascii="Book Antiqua" w:hAnsi="Book Antiqua"/>
        </w:rPr>
        <w:t xml:space="preserve"> diminution des </w:t>
      </w:r>
      <w:r w:rsidRPr="00470C1B">
        <w:rPr>
          <w:rFonts w:ascii="Book Antiqua" w:hAnsi="Book Antiqua"/>
          <w:b/>
        </w:rPr>
        <w:t>excrétions</w:t>
      </w:r>
      <w:r w:rsidRPr="00DF09C0">
        <w:rPr>
          <w:rFonts w:ascii="Book Antiqua" w:hAnsi="Book Antiqua"/>
        </w:rPr>
        <w:t xml:space="preserve"> et </w:t>
      </w:r>
      <w:r>
        <w:rPr>
          <w:rFonts w:ascii="Book Antiqua" w:hAnsi="Book Antiqua"/>
        </w:rPr>
        <w:t xml:space="preserve">à un degré moindre </w:t>
      </w:r>
      <w:r w:rsidRPr="00DF09C0">
        <w:rPr>
          <w:rFonts w:ascii="Book Antiqua" w:hAnsi="Book Antiqua"/>
        </w:rPr>
        <w:t>de la biotransformation</w:t>
      </w:r>
      <w:r>
        <w:rPr>
          <w:rFonts w:ascii="Book Antiqua" w:hAnsi="Book Antiqua"/>
        </w:rPr>
        <w:t xml:space="preserve"> si se sont des médicaments qui entrent en compétition avec les sels biliaires</w:t>
      </w:r>
    </w:p>
    <w:p w:rsidR="00147745" w:rsidRPr="00DF09C0" w:rsidRDefault="00147745" w:rsidP="00DF09C0">
      <w:pPr>
        <w:rPr>
          <w:rFonts w:ascii="Book Antiqua" w:hAnsi="Book Antiqua"/>
          <w:sz w:val="22"/>
          <w:szCs w:val="22"/>
        </w:rPr>
      </w:pPr>
    </w:p>
    <w:p w:rsidR="00147745" w:rsidRPr="003239A0" w:rsidRDefault="00147745" w:rsidP="003239A0">
      <w:pPr>
        <w:rPr>
          <w:rFonts w:ascii="Book Antiqua" w:hAnsi="Book Antiqua"/>
          <w:sz w:val="22"/>
          <w:szCs w:val="22"/>
        </w:rPr>
      </w:pPr>
      <w:r w:rsidRPr="003239A0">
        <w:rPr>
          <w:rFonts w:ascii="Book Antiqua" w:hAnsi="Book Antiqua"/>
        </w:rPr>
        <w:t xml:space="preserve">Les modifications cinétiques que l’on observe dans </w:t>
      </w:r>
      <w:r w:rsidRPr="003239A0">
        <w:rPr>
          <w:rFonts w:ascii="Book Antiqua" w:hAnsi="Book Antiqua"/>
          <w:sz w:val="22"/>
          <w:szCs w:val="22"/>
        </w:rPr>
        <w:t xml:space="preserve"> </w:t>
      </w:r>
      <w:r w:rsidRPr="003239A0">
        <w:rPr>
          <w:rFonts w:ascii="Book Antiqua" w:hAnsi="Book Antiqua"/>
        </w:rPr>
        <w:t>l’</w:t>
      </w:r>
      <w:r w:rsidRPr="003239A0">
        <w:rPr>
          <w:rFonts w:ascii="Book Antiqua" w:hAnsi="Book Antiqua"/>
          <w:sz w:val="22"/>
          <w:szCs w:val="22"/>
        </w:rPr>
        <w:t xml:space="preserve">insuffisance hépatique : </w:t>
      </w:r>
    </w:p>
    <w:p w:rsidR="00147745" w:rsidRPr="00DF09C0" w:rsidRDefault="00147745" w:rsidP="0066434C">
      <w:pPr>
        <w:pStyle w:val="ListParagraph"/>
        <w:numPr>
          <w:ilvl w:val="0"/>
          <w:numId w:val="1"/>
        </w:numPr>
        <w:jc w:val="left"/>
        <w:rPr>
          <w:rFonts w:ascii="Book Antiqua" w:hAnsi="Book Antiqua"/>
        </w:rPr>
      </w:pPr>
      <w:r w:rsidRPr="00DF09C0">
        <w:rPr>
          <w:rFonts w:ascii="Book Antiqua" w:hAnsi="Book Antiqua"/>
        </w:rPr>
        <w:t>Augmentation de la bio disponibilité</w:t>
      </w:r>
    </w:p>
    <w:p w:rsidR="00147745" w:rsidRDefault="00147745" w:rsidP="0066434C">
      <w:pPr>
        <w:pStyle w:val="ListParagraph"/>
        <w:numPr>
          <w:ilvl w:val="0"/>
          <w:numId w:val="1"/>
        </w:numPr>
        <w:jc w:val="left"/>
        <w:rPr>
          <w:rFonts w:ascii="Book Antiqua" w:hAnsi="Book Antiqua"/>
        </w:rPr>
      </w:pPr>
      <w:r w:rsidRPr="00DF09C0">
        <w:rPr>
          <w:rFonts w:ascii="Book Antiqua" w:hAnsi="Book Antiqua"/>
        </w:rPr>
        <w:t>Ralentiss</w:t>
      </w:r>
      <w:r>
        <w:rPr>
          <w:rFonts w:ascii="Book Antiqua" w:hAnsi="Book Antiqua"/>
        </w:rPr>
        <w:t>ement de l’absorption digestive</w:t>
      </w:r>
    </w:p>
    <w:p w:rsidR="00147745" w:rsidRDefault="00147745" w:rsidP="0066434C">
      <w:pPr>
        <w:pStyle w:val="ListParagraph"/>
        <w:numPr>
          <w:ilvl w:val="0"/>
          <w:numId w:val="1"/>
        </w:numPr>
        <w:jc w:val="left"/>
        <w:rPr>
          <w:rFonts w:ascii="Book Antiqua" w:hAnsi="Book Antiqua"/>
        </w:rPr>
      </w:pPr>
      <w:r>
        <w:rPr>
          <w:rFonts w:ascii="Book Antiqua" w:hAnsi="Book Antiqua"/>
        </w:rPr>
        <w:t>Diminution de la fixation aux protéines (moins de protéines sont synthétisées donc les médicaments se fixeront moins que d’habitude)</w:t>
      </w:r>
    </w:p>
    <w:p w:rsidR="00147745" w:rsidRDefault="00147745" w:rsidP="0066434C">
      <w:pPr>
        <w:pStyle w:val="ListParagraph"/>
        <w:numPr>
          <w:ilvl w:val="0"/>
          <w:numId w:val="1"/>
        </w:numPr>
        <w:jc w:val="left"/>
        <w:rPr>
          <w:rFonts w:ascii="Book Antiqua" w:hAnsi="Book Antiqua"/>
        </w:rPr>
      </w:pPr>
      <w:r>
        <w:rPr>
          <w:rFonts w:ascii="Book Antiqua" w:hAnsi="Book Antiqua"/>
        </w:rPr>
        <w:t>Augmentation du volume de distribution (il y a plus de forme libre parce que le médicament est moins fixé)</w:t>
      </w:r>
    </w:p>
    <w:p w:rsidR="00147745" w:rsidRPr="00DF09C0" w:rsidRDefault="00147745" w:rsidP="0066434C">
      <w:pPr>
        <w:pStyle w:val="ListParagraph"/>
        <w:numPr>
          <w:ilvl w:val="0"/>
          <w:numId w:val="1"/>
        </w:numPr>
        <w:jc w:val="left"/>
        <w:rPr>
          <w:rFonts w:ascii="Book Antiqua" w:hAnsi="Book Antiqua"/>
        </w:rPr>
      </w:pPr>
      <w:r>
        <w:rPr>
          <w:rFonts w:ascii="Book Antiqua" w:hAnsi="Book Antiqua"/>
        </w:rPr>
        <w:t>Diminution des biotransformations</w:t>
      </w:r>
    </w:p>
    <w:p w:rsidR="00147745" w:rsidRPr="0066434C" w:rsidRDefault="00147745" w:rsidP="00DF09C0">
      <w:pPr>
        <w:rPr>
          <w:rFonts w:ascii="Book Antiqua" w:hAnsi="Book Antiqua"/>
          <w:sz w:val="22"/>
          <w:szCs w:val="22"/>
        </w:rPr>
      </w:pPr>
    </w:p>
    <w:p w:rsidR="00147745" w:rsidRDefault="00147745" w:rsidP="003239A0">
      <w:pPr>
        <w:rPr>
          <w:rFonts w:ascii="Book Antiqua" w:hAnsi="Book Antiqua"/>
          <w:sz w:val="22"/>
          <w:szCs w:val="22"/>
        </w:rPr>
      </w:pPr>
      <w:r>
        <w:rPr>
          <w:rFonts w:ascii="Book Antiqua" w:hAnsi="Book Antiqua"/>
          <w:sz w:val="22"/>
          <w:szCs w:val="22"/>
        </w:rPr>
        <w:t>Extraction hépatique des médicaments :</w:t>
      </w:r>
    </w:p>
    <w:p w:rsidR="00147745" w:rsidRDefault="00147745" w:rsidP="003239A0">
      <w:pPr>
        <w:rPr>
          <w:rFonts w:ascii="Book Antiqua" w:hAnsi="Book Antiqua"/>
          <w:sz w:val="22"/>
          <w:szCs w:val="22"/>
        </w:rPr>
      </w:pPr>
    </w:p>
    <w:p w:rsidR="00147745" w:rsidRPr="00DF09C0" w:rsidRDefault="00147745" w:rsidP="003239A0">
      <w:pPr>
        <w:rPr>
          <w:rFonts w:ascii="Book Antiqua" w:hAnsi="Book Antiqua"/>
          <w:sz w:val="22"/>
          <w:szCs w:val="22"/>
        </w:rPr>
      </w:pPr>
      <w:r>
        <w:rPr>
          <w:rFonts w:ascii="Book Antiqua" w:hAnsi="Book Antiqua"/>
          <w:sz w:val="22"/>
          <w:szCs w:val="22"/>
        </w:rPr>
        <w:t>La clairance est</w:t>
      </w:r>
      <w:r w:rsidRPr="00DF09C0">
        <w:rPr>
          <w:rFonts w:ascii="Book Antiqua" w:hAnsi="Book Antiqua"/>
          <w:sz w:val="22"/>
          <w:szCs w:val="22"/>
        </w:rPr>
        <w:t xml:space="preserve"> fonction du débit et</w:t>
      </w:r>
      <w:r>
        <w:rPr>
          <w:rFonts w:ascii="Book Antiqua" w:hAnsi="Book Antiqua"/>
          <w:sz w:val="22"/>
          <w:szCs w:val="22"/>
        </w:rPr>
        <w:t xml:space="preserve"> du coefficient d’extraction </w:t>
      </w:r>
    </w:p>
    <w:p w:rsidR="00147745" w:rsidRDefault="00147745" w:rsidP="003239A0">
      <w:pPr>
        <w:rPr>
          <w:rFonts w:ascii="Book Antiqua" w:hAnsi="Book Antiqua"/>
          <w:sz w:val="22"/>
          <w:szCs w:val="22"/>
        </w:rPr>
      </w:pPr>
      <w:r>
        <w:rPr>
          <w:rFonts w:ascii="Book Antiqua" w:hAnsi="Book Antiqua"/>
          <w:sz w:val="22"/>
          <w:szCs w:val="22"/>
        </w:rPr>
        <w:t>Cl</w:t>
      </w:r>
      <w:r>
        <w:rPr>
          <w:rFonts w:ascii="Book Antiqua" w:hAnsi="Book Antiqua"/>
          <w:sz w:val="22"/>
          <w:szCs w:val="22"/>
          <w:vertAlign w:val="subscript"/>
        </w:rPr>
        <w:t>H</w:t>
      </w:r>
      <w:r>
        <w:rPr>
          <w:rFonts w:ascii="Book Antiqua" w:hAnsi="Book Antiqua"/>
          <w:sz w:val="22"/>
          <w:szCs w:val="22"/>
        </w:rPr>
        <w:t xml:space="preserve"> = Q</w:t>
      </w:r>
      <w:r>
        <w:rPr>
          <w:rFonts w:ascii="Book Antiqua" w:hAnsi="Book Antiqua"/>
          <w:sz w:val="22"/>
          <w:szCs w:val="22"/>
          <w:vertAlign w:val="subscript"/>
        </w:rPr>
        <w:t>H</w:t>
      </w:r>
      <w:r>
        <w:rPr>
          <w:rFonts w:ascii="Book Antiqua" w:hAnsi="Book Antiqua"/>
          <w:sz w:val="22"/>
          <w:szCs w:val="22"/>
        </w:rPr>
        <w:t>* E</w:t>
      </w:r>
      <w:r>
        <w:rPr>
          <w:rFonts w:ascii="Book Antiqua" w:hAnsi="Book Antiqua"/>
          <w:sz w:val="22"/>
          <w:szCs w:val="22"/>
          <w:vertAlign w:val="subscript"/>
        </w:rPr>
        <w:t>H</w:t>
      </w:r>
      <w:r>
        <w:rPr>
          <w:rFonts w:ascii="Book Antiqua" w:hAnsi="Book Antiqua"/>
          <w:sz w:val="22"/>
          <w:szCs w:val="22"/>
        </w:rPr>
        <w:t xml:space="preserve">                   avec</w:t>
      </w:r>
      <w:r w:rsidRPr="00F96B94">
        <w:rPr>
          <w:rFonts w:ascii="Book Antiqua" w:hAnsi="Book Antiqua"/>
          <w:sz w:val="22"/>
          <w:szCs w:val="22"/>
        </w:rPr>
        <w:t xml:space="preserve"> </w:t>
      </w:r>
      <w:r>
        <w:rPr>
          <w:rFonts w:ascii="Book Antiqua" w:hAnsi="Book Antiqua"/>
          <w:sz w:val="22"/>
          <w:szCs w:val="22"/>
        </w:rPr>
        <w:t xml:space="preserve"> Q</w:t>
      </w:r>
      <w:r>
        <w:rPr>
          <w:rFonts w:ascii="Book Antiqua" w:hAnsi="Book Antiqua"/>
          <w:sz w:val="22"/>
          <w:szCs w:val="22"/>
          <w:vertAlign w:val="subscript"/>
        </w:rPr>
        <w:t>H</w:t>
      </w:r>
      <w:r>
        <w:rPr>
          <w:rFonts w:ascii="Book Antiqua" w:hAnsi="Book Antiqua"/>
          <w:sz w:val="22"/>
          <w:szCs w:val="22"/>
        </w:rPr>
        <w:t xml:space="preserve"> le débit sanguin hépatique et E</w:t>
      </w:r>
      <w:r>
        <w:rPr>
          <w:rFonts w:ascii="Book Antiqua" w:hAnsi="Book Antiqua"/>
          <w:sz w:val="22"/>
          <w:szCs w:val="22"/>
          <w:vertAlign w:val="subscript"/>
        </w:rPr>
        <w:t>H</w:t>
      </w:r>
      <w:r>
        <w:rPr>
          <w:rFonts w:ascii="Book Antiqua" w:hAnsi="Book Antiqua"/>
          <w:sz w:val="22"/>
          <w:szCs w:val="22"/>
        </w:rPr>
        <w:t xml:space="preserve"> le </w:t>
      </w:r>
      <w:r w:rsidRPr="00DF09C0">
        <w:rPr>
          <w:rFonts w:ascii="Book Antiqua" w:hAnsi="Book Antiqua"/>
          <w:sz w:val="22"/>
          <w:szCs w:val="22"/>
        </w:rPr>
        <w:t>coefficient d’extraction</w:t>
      </w:r>
    </w:p>
    <w:p w:rsidR="00147745" w:rsidRDefault="00147745" w:rsidP="003239A0">
      <w:pPr>
        <w:rPr>
          <w:rFonts w:ascii="Book Antiqua" w:hAnsi="Book Antiqua"/>
          <w:sz w:val="22"/>
          <w:szCs w:val="22"/>
        </w:rPr>
      </w:pPr>
    </w:p>
    <w:p w:rsidR="00147745" w:rsidRPr="00F96B94" w:rsidRDefault="00147745" w:rsidP="003239A0">
      <w:pPr>
        <w:rPr>
          <w:rFonts w:ascii="Book Antiqua" w:hAnsi="Book Antiqua"/>
          <w:sz w:val="22"/>
          <w:szCs w:val="22"/>
        </w:rPr>
      </w:pPr>
      <w:r>
        <w:rPr>
          <w:rFonts w:ascii="Book Antiqua" w:hAnsi="Book Antiqua"/>
          <w:sz w:val="22"/>
          <w:szCs w:val="22"/>
        </w:rPr>
        <w:t>E</w:t>
      </w:r>
      <w:r>
        <w:rPr>
          <w:rFonts w:ascii="Book Antiqua" w:hAnsi="Book Antiqua"/>
          <w:sz w:val="22"/>
          <w:szCs w:val="22"/>
          <w:vertAlign w:val="subscript"/>
        </w:rPr>
        <w:t>H</w:t>
      </w:r>
      <w:r>
        <w:rPr>
          <w:rFonts w:ascii="Book Antiqua" w:hAnsi="Book Antiqua"/>
          <w:sz w:val="22"/>
          <w:szCs w:val="22"/>
        </w:rPr>
        <w:t xml:space="preserve"> =</w:t>
      </w:r>
      <w:r w:rsidRPr="001A4127">
        <w:rPr>
          <w:rFonts w:ascii="Book Antiqua" w:hAnsi="Book Antiqua"/>
          <w:sz w:val="28"/>
          <w:szCs w:val="28"/>
        </w:rPr>
        <w:fldChar w:fldCharType="begin"/>
      </w:r>
      <w:r w:rsidRPr="001A4127">
        <w:rPr>
          <w:rFonts w:ascii="Book Antiqua" w:hAnsi="Book Antiqua"/>
          <w:sz w:val="28"/>
          <w:szCs w:val="28"/>
        </w:rPr>
        <w:instrText xml:space="preserve"> QUOTE </w:instrText>
      </w:r>
      <w:r>
        <w:pict>
          <v:shape id="_x0000_i1025" type="#_x0000_t75" style="width:59.25pt;height:38.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stylePaneFormatFilter w:val=&quot;0000&quot;/&gt;&lt;w:defaultTabStop w:val=&quot;1134&quot;/&gt;&lt;w:hyphenationZone w:val=&quot;425&quot;/&gt;&lt;w:defaultTableStyle w:sti=&quot;0&quot; w:val=&quot;Normal&quot;/&gt;&lt;w:drawingGridHorizontalSpacing w:val=&quot;0&quot;/&gt;&lt;w:drawingGridVerticalSpacing w:val=&quot;0&quot;/&gt;&lt;w:displayHorizontalDrawingGridEvery w:val=&quot;0&quot;/&gt;&lt;w:displayVerticalDrawingGridEvery w:val=&quot;0&quot;/&gt;&lt;w:useMarginsForDrawingGridOrigin/&gt;&lt;w:drawingGridHorizontalOrigin w:val=&quot;0&quot;/&gt;&lt;w:drawingGridVerticalOrigin w:val=&quot;0&quot;/&gt;&lt;w:characterSpacingControl w:val=&quot;DontCompress&quot;/&gt;&lt;w:strictFirstAndLastChars/&gt;&lt;w:optimizeForBrowser/&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compat&gt;&lt;wsp:rsids&gt;&lt;wsp:rsidRoot wsp:val=&quot;00D11F1B&quot;/&gt;&lt;wsp:rsid wsp:val=&quot;00023301&quot;/&gt;&lt;wsp:rsid wsp:val=&quot;00044A28&quot;/&gt;&lt;wsp:rsid wsp:val=&quot;00080E67&quot;/&gt;&lt;wsp:rsid wsp:val=&quot;000C44C2&quot;/&gt;&lt;wsp:rsid wsp:val=&quot;000F2E51&quot;/&gt;&lt;wsp:rsid wsp:val=&quot;00194808&quot;/&gt;&lt;wsp:rsid wsp:val=&quot;001A1CAD&quot;/&gt;&lt;wsp:rsid wsp:val=&quot;001F17D3&quot;/&gt;&lt;wsp:rsid wsp:val=&quot;00215924&quot;/&gt;&lt;wsp:rsid wsp:val=&quot;00221BBC&quot;/&gt;&lt;wsp:rsid wsp:val=&quot;002342F1&quot;/&gt;&lt;wsp:rsid wsp:val=&quot;00235C06&quot;/&gt;&lt;wsp:rsid wsp:val=&quot;002B449F&quot;/&gt;&lt;wsp:rsid wsp:val=&quot;002C6F00&quot;/&gt;&lt;wsp:rsid wsp:val=&quot;00322BBD&quot;/&gt;&lt;wsp:rsid wsp:val=&quot;003239A0&quot;/&gt;&lt;wsp:rsid wsp:val=&quot;0036418D&quot;/&gt;&lt;wsp:rsid wsp:val=&quot;00384C9E&quot;/&gt;&lt;wsp:rsid wsp:val=&quot;00396AE2&quot;/&gt;&lt;wsp:rsid wsp:val=&quot;00407B4E&quot;/&gt;&lt;wsp:rsid wsp:val=&quot;00414B96&quot;/&gt;&lt;wsp:rsid wsp:val=&quot;004239B2&quot;/&gt;&lt;wsp:rsid wsp:val=&quot;0044139B&quot;/&gt;&lt;wsp:rsid wsp:val=&quot;004540E2&quot;/&gt;&lt;wsp:rsid wsp:val=&quot;00455072&quot;/&gt;&lt;wsp:rsid wsp:val=&quot;00461385&quot;/&gt;&lt;wsp:rsid wsp:val=&quot;00470C1B&quot;/&gt;&lt;wsp:rsid wsp:val=&quot;004B08D0&quot;/&gt;&lt;wsp:rsid wsp:val=&quot;004B5553&quot;/&gt;&lt;wsp:rsid wsp:val=&quot;00580978&quot;/&gt;&lt;wsp:rsid wsp:val=&quot;005834BF&quot;/&gt;&lt;wsp:rsid wsp:val=&quot;00595B75&quot;/&gt;&lt;wsp:rsid wsp:val=&quot;005C25B3&quot;/&gt;&lt;wsp:rsid wsp:val=&quot;005C30EF&quot;/&gt;&lt;wsp:rsid wsp:val=&quot;005D50AA&quot;/&gt;&lt;wsp:rsid wsp:val=&quot;006511E2&quot;/&gt;&lt;wsp:rsid wsp:val=&quot;00655C86&quot;/&gt;&lt;wsp:rsid wsp:val=&quot;0066434C&quot;/&gt;&lt;wsp:rsid wsp:val=&quot;00667BCF&quot;/&gt;&lt;wsp:rsid wsp:val=&quot;006760FF&quot;/&gt;&lt;wsp:rsid wsp:val=&quot;006A79CB&quot;/&gt;&lt;wsp:rsid wsp:val=&quot;006E2E01&quot;/&gt;&lt;wsp:rsid wsp:val=&quot;006F65C4&quot;/&gt;&lt;wsp:rsid wsp:val=&quot;008051B1&quot;/&gt;&lt;wsp:rsid wsp:val=&quot;008560CD&quot;/&gt;&lt;wsp:rsid wsp:val=&quot;008B6F2F&quot;/&gt;&lt;wsp:rsid wsp:val=&quot;008F0B4A&quot;/&gt;&lt;wsp:rsid wsp:val=&quot;00927BBC&quot;/&gt;&lt;wsp:rsid wsp:val=&quot;00952827&quot;/&gt;&lt;wsp:rsid wsp:val=&quot;009A115C&quot;/&gt;&lt;wsp:rsid wsp:val=&quot;009D47F8&quot;/&gt;&lt;wsp:rsid wsp:val=&quot;009F63A6&quot;/&gt;&lt;wsp:rsid wsp:val=&quot;00A94F6C&quot;/&gt;&lt;wsp:rsid wsp:val=&quot;00AC4615&quot;/&gt;&lt;wsp:rsid wsp:val=&quot;00AE5C42&quot;/&gt;&lt;wsp:rsid wsp:val=&quot;00B6119F&quot;/&gt;&lt;wsp:rsid wsp:val=&quot;00B85198&quot;/&gt;&lt;wsp:rsid wsp:val=&quot;00BA7DB4&quot;/&gt;&lt;wsp:rsid wsp:val=&quot;00BC5F16&quot;/&gt;&lt;wsp:rsid wsp:val=&quot;00C3548F&quot;/&gt;&lt;wsp:rsid wsp:val=&quot;00C564BF&quot;/&gt;&lt;wsp:rsid wsp:val=&quot;00C7108B&quot;/&gt;&lt;wsp:rsid wsp:val=&quot;00CB6526&quot;/&gt;&lt;wsp:rsid wsp:val=&quot;00CD7D81&quot;/&gt;&lt;wsp:rsid wsp:val=&quot;00D078DC&quot;/&gt;&lt;wsp:rsid wsp:val=&quot;00D11F1B&quot;/&gt;&lt;wsp:rsid wsp:val=&quot;00DB7BA1&quot;/&gt;&lt;wsp:rsid wsp:val=&quot;00DE31F9&quot;/&gt;&lt;wsp:rsid wsp:val=&quot;00DF09C0&quot;/&gt;&lt;wsp:rsid wsp:val=&quot;00E428D8&quot;/&gt;&lt;wsp:rsid wsp:val=&quot;00E568A3&quot;/&gt;&lt;wsp:rsid wsp:val=&quot;00E91FCD&quot;/&gt;&lt;wsp:rsid wsp:val=&quot;00EF4708&quot;/&gt;&lt;wsp:rsid wsp:val=&quot;00F04D55&quot;/&gt;&lt;wsp:rsid wsp:val=&quot;00F81178&quot;/&gt;&lt;wsp:rsid wsp:val=&quot;00F87CD6&quot;/&gt;&lt;wsp:rsid wsp:val=&quot;00F96B94&quot;/&gt;&lt;wsp:rsid wsp:val=&quot;00FA7BDC&quot;/&gt;&lt;wsp:rsid wsp:val=&quot;00FE0B1D&quot;/&gt;&lt;/wsp:rsids&gt;&lt;/w:docPr&gt;&lt;w:body&gt;&lt;w:p wsp:rsidR=&quot;00000000&quot; wsp:rsidRDefault=&quot;00580978&quot;&gt;&lt;m:oMathPara&gt;&lt;m:oMath&gt;&lt;m:r&gt;&lt;w:rPr&gt;&lt;w:rFonts w:ascii=&quot;Cambria Math&quot; w:h-ansi=&quot;Cambria Math&quot;/&gt;&lt;wx:font wx:val=&quot;Cambria Math&quot;/&gt;&lt;w:i/&gt;&lt;w:sz w:val=&quot;28&quot;/&gt;&lt;w:sz-cs w:val=&quot;28&quot;/&gt;&lt;/w:rPr&gt;&lt;m:t&gt; &lt;/m:t&gt;&lt;/m:r&gt;&lt;m:f&gt;&lt;m:fPr&gt;&lt;m:ctrlPr&gt;&lt;w:rPr&gt;&lt;w:rFonts w:ascii=&quot;Cambria Math&quot; w:h-ansi=&quot;Cambria Math&quot;/&gt;&lt;wx:font wx:val=&quot;Cambria Math&quot;/&gt;&lt;w:i/&gt;&lt;w:sz w:val=&quot;28&quot;/&gt;&lt;w:sz-cs w:val=&quot;28&quot;/&gt;&lt;/w:rPr&gt;&lt;/m:ctrlPr&gt;&lt;/m:fPr&gt;&lt;m:num&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w:rPr&gt;&lt;w:rFonts w:ascii=&quot;Cambria Math&quot; w:h-ansi=&quot;Cambria Math&quot;/&gt;&lt;wx:font wx:val=&quot;Cambria Math&quot;/&gt;&lt;w:i/&gt;&lt;w:sz w:val=&quot;28&quot;/&gt;&lt;w:sz-cs w:val=&quot;28&quot;/&gt;&lt;/w:rPr&gt;&lt;m:t&gt;uÃ—&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Cl&lt;/m:t&gt;&lt;/m:r&gt;&lt;/m:e&gt;&lt;m:sub&gt;&lt;m:r&gt;&lt;w:rPr&gt;&lt;w:rFonts w:ascii=&quot;Cambria Math&quot; w:h-ansi=&quot;Cambria Math&quot;/&gt;&lt;wx:font wx:val=&quot;Cambria Math&quot;/&gt;&lt;w:i/&gt;&lt;w:sz w:val=&quot;28&quot;/&gt;&lt;w:sz-cs w:val=&quot;28&quot;/&gt;&lt;/w:rPr&gt;&lt;m:t&gt;i&lt;/m:t&gt;&lt;/m:r&gt;&lt;/m:sub&gt;&lt;/m:sSub&gt;&lt;/m:sub&gt;&lt;/m:sSub&gt;&lt;/m:num&gt;&lt;m:den&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Q&lt;/m:t&gt;&lt;/m:r&gt;&lt;/m:e&gt;&lt;m:sub&gt;&lt;m:r&gt;&lt;w:rPr&gt;&lt;w:rFonts w:ascii=&quot;Cambria Math&quot; w:h-ansi=&quot;Cambria Math&quot;/&gt;&lt;wx:font wx:val=&quot;Cambria Math&quot;/&gt;&lt;w:i/&gt;&lt;w:sz w:val=&quot;28&quot;/&gt;&lt;w:sz-cs w:val=&quot;28&quot;/&gt;&lt;/w:rPr&gt;&lt;m:t&gt;H+&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w:rPr&gt;&lt;w:rFonts w:ascii=&quot;Cambria Math&quot; w:h-ansi=&quot;Cambria Math&quot;/&gt;&lt;wx:font wx:val=&quot;Cambria Math&quot;/&gt;&lt;w:i/&gt;&lt;w:sz w:val=&quot;28&quot;/&gt;&lt;w:sz-cs w:val=&quot;28&quot;/&gt;&lt;/w:rPr&gt;&lt;m:t&gt;u Ã—&lt;/m:t&gt;&lt;/m:r&gt;&lt;/m:sub&gt;&lt;/m:sSub&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Cl&lt;/m:t&gt;&lt;/m:r&gt;&lt;/m:e&gt;&lt;m:sub&gt;&lt;m:r&gt;&lt;w:rPr&gt;&lt;w:rFonts w:ascii=&quot;Cambria Math&quot; w:h-ansi=&quot;Cambria Math&quot;/&gt;&lt;wx:font wx:val=&quot;Cambria Math&quot;/&gt;&lt;w:i/&gt;&lt;w:sz w:val=&quot;28&quot;/&gt;&lt;w:sz-cs w:val=&quot;28&quot;/&gt;&lt;/w:rPr&gt;&lt;m:t&gt;i&lt;/m:t&gt;&lt;/m:r&gt;&lt;/m:sub&gt;&lt;/m:sSub&gt;&lt;/m:sub&gt;&lt;/m:sSub&gt;&lt;/m:den&gt;&lt;/m:f&gt;&lt;/m:oMath&gt;&lt;/m:oMathPara&gt;&lt;/w:p&gt;&lt;w:sectPr wsp:rsidR=&quot;00000000&quot;&gt;&lt;w:pgSz w:w=&quot;12240&quot; w:h=&quot;15840&quot;/&gt;&lt;w:pgMar w:top=&quot;1417&quot; w:right=&quot;1417&quot; w:bottom=&quot;1417&quot; w:left=&quot;1417&quot; w:header=&quot;720&quot; w:footer=&quot;720&quot; w:gutter=&quot;0&quot;/&gt;&lt;w:cols w:space=&quot;720&quot;/&gt;&lt;/w:sectPr&gt;&lt;/w:body&gt;&lt;/w:wordDocument&gt;">
            <v:imagedata r:id="rId10" o:title="" chromakey="white"/>
          </v:shape>
        </w:pict>
      </w:r>
      <w:r w:rsidRPr="001A4127">
        <w:rPr>
          <w:rFonts w:ascii="Book Antiqua" w:hAnsi="Book Antiqua"/>
          <w:sz w:val="28"/>
          <w:szCs w:val="28"/>
        </w:rPr>
        <w:instrText xml:space="preserve"> </w:instrText>
      </w:r>
      <w:r w:rsidRPr="001A4127">
        <w:rPr>
          <w:rFonts w:ascii="Book Antiqua" w:hAnsi="Book Antiqua"/>
          <w:sz w:val="28"/>
          <w:szCs w:val="28"/>
        </w:rPr>
        <w:fldChar w:fldCharType="separate"/>
      </w:r>
      <w:r>
        <w:pict>
          <v:shape id="_x0000_i1026" type="#_x0000_t75" style="width:59.25pt;height:38.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stylePaneFormatFilter w:val=&quot;0000&quot;/&gt;&lt;w:defaultTabStop w:val=&quot;1134&quot;/&gt;&lt;w:hyphenationZone w:val=&quot;425&quot;/&gt;&lt;w:defaultTableStyle w:sti=&quot;0&quot; w:val=&quot;Normal&quot;/&gt;&lt;w:drawingGridHorizontalSpacing w:val=&quot;0&quot;/&gt;&lt;w:drawingGridVerticalSpacing w:val=&quot;0&quot;/&gt;&lt;w:displayHorizontalDrawingGridEvery w:val=&quot;0&quot;/&gt;&lt;w:displayVerticalDrawingGridEvery w:val=&quot;0&quot;/&gt;&lt;w:useMarginsForDrawingGridOrigin/&gt;&lt;w:drawingGridHorizontalOrigin w:val=&quot;0&quot;/&gt;&lt;w:drawingGridVerticalOrigin w:val=&quot;0&quot;/&gt;&lt;w:characterSpacingControl w:val=&quot;DontCompress&quot;/&gt;&lt;w:strictFirstAndLastChars/&gt;&lt;w:optimizeForBrowser/&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compat&gt;&lt;wsp:rsids&gt;&lt;wsp:rsidRoot wsp:val=&quot;00D11F1B&quot;/&gt;&lt;wsp:rsid wsp:val=&quot;00023301&quot;/&gt;&lt;wsp:rsid wsp:val=&quot;00044A28&quot;/&gt;&lt;wsp:rsid wsp:val=&quot;00080E67&quot;/&gt;&lt;wsp:rsid wsp:val=&quot;000C44C2&quot;/&gt;&lt;wsp:rsid wsp:val=&quot;000F2E51&quot;/&gt;&lt;wsp:rsid wsp:val=&quot;00194808&quot;/&gt;&lt;wsp:rsid wsp:val=&quot;001A1CAD&quot;/&gt;&lt;wsp:rsid wsp:val=&quot;001F17D3&quot;/&gt;&lt;wsp:rsid wsp:val=&quot;00215924&quot;/&gt;&lt;wsp:rsid wsp:val=&quot;00221BBC&quot;/&gt;&lt;wsp:rsid wsp:val=&quot;002342F1&quot;/&gt;&lt;wsp:rsid wsp:val=&quot;00235C06&quot;/&gt;&lt;wsp:rsid wsp:val=&quot;002B449F&quot;/&gt;&lt;wsp:rsid wsp:val=&quot;002C6F00&quot;/&gt;&lt;wsp:rsid wsp:val=&quot;00322BBD&quot;/&gt;&lt;wsp:rsid wsp:val=&quot;003239A0&quot;/&gt;&lt;wsp:rsid wsp:val=&quot;0036418D&quot;/&gt;&lt;wsp:rsid wsp:val=&quot;00384C9E&quot;/&gt;&lt;wsp:rsid wsp:val=&quot;00396AE2&quot;/&gt;&lt;wsp:rsid wsp:val=&quot;00407B4E&quot;/&gt;&lt;wsp:rsid wsp:val=&quot;00414B96&quot;/&gt;&lt;wsp:rsid wsp:val=&quot;004239B2&quot;/&gt;&lt;wsp:rsid wsp:val=&quot;0044139B&quot;/&gt;&lt;wsp:rsid wsp:val=&quot;004540E2&quot;/&gt;&lt;wsp:rsid wsp:val=&quot;00455072&quot;/&gt;&lt;wsp:rsid wsp:val=&quot;00461385&quot;/&gt;&lt;wsp:rsid wsp:val=&quot;00470C1B&quot;/&gt;&lt;wsp:rsid wsp:val=&quot;004B08D0&quot;/&gt;&lt;wsp:rsid wsp:val=&quot;004B5553&quot;/&gt;&lt;wsp:rsid wsp:val=&quot;00580978&quot;/&gt;&lt;wsp:rsid wsp:val=&quot;005834BF&quot;/&gt;&lt;wsp:rsid wsp:val=&quot;00595B75&quot;/&gt;&lt;wsp:rsid wsp:val=&quot;005C25B3&quot;/&gt;&lt;wsp:rsid wsp:val=&quot;005C30EF&quot;/&gt;&lt;wsp:rsid wsp:val=&quot;005D50AA&quot;/&gt;&lt;wsp:rsid wsp:val=&quot;006511E2&quot;/&gt;&lt;wsp:rsid wsp:val=&quot;00655C86&quot;/&gt;&lt;wsp:rsid wsp:val=&quot;0066434C&quot;/&gt;&lt;wsp:rsid wsp:val=&quot;00667BCF&quot;/&gt;&lt;wsp:rsid wsp:val=&quot;006760FF&quot;/&gt;&lt;wsp:rsid wsp:val=&quot;006A79CB&quot;/&gt;&lt;wsp:rsid wsp:val=&quot;006E2E01&quot;/&gt;&lt;wsp:rsid wsp:val=&quot;006F65C4&quot;/&gt;&lt;wsp:rsid wsp:val=&quot;008051B1&quot;/&gt;&lt;wsp:rsid wsp:val=&quot;008560CD&quot;/&gt;&lt;wsp:rsid wsp:val=&quot;008B6F2F&quot;/&gt;&lt;wsp:rsid wsp:val=&quot;008F0B4A&quot;/&gt;&lt;wsp:rsid wsp:val=&quot;00927BBC&quot;/&gt;&lt;wsp:rsid wsp:val=&quot;00952827&quot;/&gt;&lt;wsp:rsid wsp:val=&quot;009A115C&quot;/&gt;&lt;wsp:rsid wsp:val=&quot;009D47F8&quot;/&gt;&lt;wsp:rsid wsp:val=&quot;009F63A6&quot;/&gt;&lt;wsp:rsid wsp:val=&quot;00A94F6C&quot;/&gt;&lt;wsp:rsid wsp:val=&quot;00AC4615&quot;/&gt;&lt;wsp:rsid wsp:val=&quot;00AE5C42&quot;/&gt;&lt;wsp:rsid wsp:val=&quot;00B6119F&quot;/&gt;&lt;wsp:rsid wsp:val=&quot;00B85198&quot;/&gt;&lt;wsp:rsid wsp:val=&quot;00BA7DB4&quot;/&gt;&lt;wsp:rsid wsp:val=&quot;00BC5F16&quot;/&gt;&lt;wsp:rsid wsp:val=&quot;00C3548F&quot;/&gt;&lt;wsp:rsid wsp:val=&quot;00C564BF&quot;/&gt;&lt;wsp:rsid wsp:val=&quot;00C7108B&quot;/&gt;&lt;wsp:rsid wsp:val=&quot;00CB6526&quot;/&gt;&lt;wsp:rsid wsp:val=&quot;00CD7D81&quot;/&gt;&lt;wsp:rsid wsp:val=&quot;00D078DC&quot;/&gt;&lt;wsp:rsid wsp:val=&quot;00D11F1B&quot;/&gt;&lt;wsp:rsid wsp:val=&quot;00DB7BA1&quot;/&gt;&lt;wsp:rsid wsp:val=&quot;00DE31F9&quot;/&gt;&lt;wsp:rsid wsp:val=&quot;00DF09C0&quot;/&gt;&lt;wsp:rsid wsp:val=&quot;00E428D8&quot;/&gt;&lt;wsp:rsid wsp:val=&quot;00E568A3&quot;/&gt;&lt;wsp:rsid wsp:val=&quot;00E91FCD&quot;/&gt;&lt;wsp:rsid wsp:val=&quot;00EF4708&quot;/&gt;&lt;wsp:rsid wsp:val=&quot;00F04D55&quot;/&gt;&lt;wsp:rsid wsp:val=&quot;00F81178&quot;/&gt;&lt;wsp:rsid wsp:val=&quot;00F87CD6&quot;/&gt;&lt;wsp:rsid wsp:val=&quot;00F96B94&quot;/&gt;&lt;wsp:rsid wsp:val=&quot;00FA7BDC&quot;/&gt;&lt;wsp:rsid wsp:val=&quot;00FE0B1D&quot;/&gt;&lt;/wsp:rsids&gt;&lt;/w:docPr&gt;&lt;w:body&gt;&lt;w:p wsp:rsidR=&quot;00000000&quot; wsp:rsidRDefault=&quot;00580978&quot;&gt;&lt;m:oMathPara&gt;&lt;m:oMath&gt;&lt;m:r&gt;&lt;w:rPr&gt;&lt;w:rFonts w:ascii=&quot;Cambria Math&quot; w:h-ansi=&quot;Cambria Math&quot;/&gt;&lt;wx:font wx:val=&quot;Cambria Math&quot;/&gt;&lt;w:i/&gt;&lt;w:sz w:val=&quot;28&quot;/&gt;&lt;w:sz-cs w:val=&quot;28&quot;/&gt;&lt;/w:rPr&gt;&lt;m:t&gt; &lt;/m:t&gt;&lt;/m:r&gt;&lt;m:f&gt;&lt;m:fPr&gt;&lt;m:ctrlPr&gt;&lt;w:rPr&gt;&lt;w:rFonts w:ascii=&quot;Cambria Math&quot; w:h-ansi=&quot;Cambria Math&quot;/&gt;&lt;wx:font wx:val=&quot;Cambria Math&quot;/&gt;&lt;w:i/&gt;&lt;w:sz w:val=&quot;28&quot;/&gt;&lt;w:sz-cs w:val=&quot;28&quot;/&gt;&lt;/w:rPr&gt;&lt;/m:ctrlPr&gt;&lt;/m:fPr&gt;&lt;m:num&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w:rPr&gt;&lt;w:rFonts w:ascii=&quot;Cambria Math&quot; w:h-ansi=&quot;Cambria Math&quot;/&gt;&lt;wx:font wx:val=&quot;Cambria Math&quot;/&gt;&lt;w:i/&gt;&lt;w:sz w:val=&quot;28&quot;/&gt;&lt;w:sz-cs w:val=&quot;28&quot;/&gt;&lt;/w:rPr&gt;&lt;m:t&gt;uÃ—&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Cl&lt;/m:t&gt;&lt;/m:r&gt;&lt;/m:e&gt;&lt;m:sub&gt;&lt;m:r&gt;&lt;w:rPr&gt;&lt;w:rFonts w:ascii=&quot;Cambria Math&quot; w:h-ansi=&quot;Cambria Math&quot;/&gt;&lt;wx:font wx:val=&quot;Cambria Math&quot;/&gt;&lt;w:i/&gt;&lt;w:sz w:val=&quot;28&quot;/&gt;&lt;w:sz-cs w:val=&quot;28&quot;/&gt;&lt;/w:rPr&gt;&lt;m:t&gt;i&lt;/m:t&gt;&lt;/m:r&gt;&lt;/m:sub&gt;&lt;/m:sSub&gt;&lt;/m:sub&gt;&lt;/m:sSub&gt;&lt;/m:num&gt;&lt;m:den&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Q&lt;/m:t&gt;&lt;/m:r&gt;&lt;/m:e&gt;&lt;m:sub&gt;&lt;m:r&gt;&lt;w:rPr&gt;&lt;w:rFonts w:ascii=&quot;Cambria Math&quot; w:h-ansi=&quot;Cambria Math&quot;/&gt;&lt;wx:font wx:val=&quot;Cambria Math&quot;/&gt;&lt;w:i/&gt;&lt;w:sz w:val=&quot;28&quot;/&gt;&lt;w:sz-cs w:val=&quot;28&quot;/&gt;&lt;/w:rPr&gt;&lt;m:t&gt;H+&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w:rPr&gt;&lt;w:rFonts w:ascii=&quot;Cambria Math&quot; w:h-ansi=&quot;Cambria Math&quot;/&gt;&lt;wx:font wx:val=&quot;Cambria Math&quot;/&gt;&lt;w:i/&gt;&lt;w:sz w:val=&quot;28&quot;/&gt;&lt;w:sz-cs w:val=&quot;28&quot;/&gt;&lt;/w:rPr&gt;&lt;m:t&gt;u Ã—&lt;/m:t&gt;&lt;/m:r&gt;&lt;/m:sub&gt;&lt;/m:sSub&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Cl&lt;/m:t&gt;&lt;/m:r&gt;&lt;/m:e&gt;&lt;m:sub&gt;&lt;m:r&gt;&lt;w:rPr&gt;&lt;w:rFonts w:ascii=&quot;Cambria Math&quot; w:h-ansi=&quot;Cambria Math&quot;/&gt;&lt;wx:font wx:val=&quot;Cambria Math&quot;/&gt;&lt;w:i/&gt;&lt;w:sz w:val=&quot;28&quot;/&gt;&lt;w:sz-cs w:val=&quot;28&quot;/&gt;&lt;/w:rPr&gt;&lt;m:t&gt;i&lt;/m:t&gt;&lt;/m:r&gt;&lt;/m:sub&gt;&lt;/m:sSub&gt;&lt;/m:sub&gt;&lt;/m:sSub&gt;&lt;/m:den&gt;&lt;/m:f&gt;&lt;/m:oMath&gt;&lt;/m:oMathPara&gt;&lt;/w:p&gt;&lt;w:sectPr wsp:rsidR=&quot;00000000&quot;&gt;&lt;w:pgSz w:w=&quot;12240&quot; w:h=&quot;15840&quot;/&gt;&lt;w:pgMar w:top=&quot;1417&quot; w:right=&quot;1417&quot; w:bottom=&quot;1417&quot; w:left=&quot;1417&quot; w:header=&quot;720&quot; w:footer=&quot;720&quot; w:gutter=&quot;0&quot;/&gt;&lt;w:cols w:space=&quot;720&quot;/&gt;&lt;/w:sectPr&gt;&lt;/w:body&gt;&lt;/w:wordDocument&gt;">
            <v:imagedata r:id="rId10" o:title="" chromakey="white"/>
          </v:shape>
        </w:pict>
      </w:r>
      <w:r w:rsidRPr="001A4127">
        <w:rPr>
          <w:rFonts w:ascii="Book Antiqua" w:hAnsi="Book Antiqua"/>
          <w:sz w:val="28"/>
          <w:szCs w:val="28"/>
        </w:rPr>
        <w:fldChar w:fldCharType="end"/>
      </w:r>
      <w:r w:rsidRPr="00470C1B">
        <w:rPr>
          <w:rFonts w:ascii="Book Antiqua" w:hAnsi="Book Antiqua"/>
          <w:sz w:val="28"/>
          <w:szCs w:val="28"/>
        </w:rPr>
        <w:t xml:space="preserve">                  </w:t>
      </w:r>
      <w:r>
        <w:rPr>
          <w:rFonts w:ascii="Book Antiqua" w:hAnsi="Book Antiqua"/>
          <w:sz w:val="22"/>
          <w:szCs w:val="22"/>
        </w:rPr>
        <w:t>avec fu la fraction libre et Cli la clairance intrinsèque</w:t>
      </w:r>
    </w:p>
    <w:p w:rsidR="00147745" w:rsidRPr="00DF09C0" w:rsidRDefault="00147745" w:rsidP="003239A0">
      <w:pPr>
        <w:pStyle w:val="ListParagraph"/>
        <w:numPr>
          <w:ilvl w:val="0"/>
          <w:numId w:val="1"/>
        </w:numPr>
        <w:jc w:val="left"/>
        <w:rPr>
          <w:rFonts w:ascii="Book Antiqua" w:hAnsi="Book Antiqua"/>
        </w:rPr>
      </w:pPr>
      <w:r w:rsidRPr="00DF09C0">
        <w:rPr>
          <w:rFonts w:ascii="Book Antiqua" w:hAnsi="Book Antiqua"/>
        </w:rPr>
        <w:t>E &gt; 0,7 </w:t>
      </w:r>
      <w:r>
        <w:rPr>
          <w:rFonts w:ascii="Book Antiqua" w:hAnsi="Book Antiqua"/>
        </w:rPr>
        <w:t>(Cl</w:t>
      </w:r>
      <w:r>
        <w:rPr>
          <w:rFonts w:ascii="Book Antiqua" w:hAnsi="Book Antiqua"/>
          <w:vertAlign w:val="subscript"/>
        </w:rPr>
        <w:t>i</w:t>
      </w:r>
      <w:r>
        <w:rPr>
          <w:rFonts w:ascii="Book Antiqua" w:hAnsi="Book Antiqua"/>
        </w:rPr>
        <w:t>&gt;&gt;</w:t>
      </w:r>
      <w:r w:rsidRPr="003239A0">
        <w:rPr>
          <w:rFonts w:ascii="Book Antiqua" w:hAnsi="Book Antiqua"/>
        </w:rPr>
        <w:t xml:space="preserve"> </w:t>
      </w:r>
      <w:r>
        <w:rPr>
          <w:rFonts w:ascii="Book Antiqua" w:hAnsi="Book Antiqua"/>
        </w:rPr>
        <w:t>Q</w:t>
      </w:r>
      <w:r>
        <w:rPr>
          <w:rFonts w:ascii="Book Antiqua" w:hAnsi="Book Antiqua"/>
          <w:vertAlign w:val="subscript"/>
        </w:rPr>
        <w:t>H</w:t>
      </w:r>
      <w:r>
        <w:rPr>
          <w:rFonts w:ascii="Book Antiqua" w:hAnsi="Book Antiqua"/>
        </w:rPr>
        <w:t>)</w:t>
      </w:r>
      <w:r w:rsidRPr="00DF09C0">
        <w:rPr>
          <w:rFonts w:ascii="Book Antiqua" w:hAnsi="Book Antiqua"/>
        </w:rPr>
        <w:t xml:space="preserve">: </w:t>
      </w:r>
      <w:r>
        <w:rPr>
          <w:rFonts w:ascii="Book Antiqua" w:hAnsi="Book Antiqua"/>
        </w:rPr>
        <w:t xml:space="preserve">les médicaments sont dépendants du </w:t>
      </w:r>
      <w:r w:rsidRPr="003239A0">
        <w:rPr>
          <w:rFonts w:ascii="Book Antiqua" w:hAnsi="Book Antiqua"/>
          <w:b/>
        </w:rPr>
        <w:t>débit sanguin</w:t>
      </w:r>
      <w:r>
        <w:rPr>
          <w:rFonts w:ascii="Book Antiqua" w:hAnsi="Book Antiqua"/>
        </w:rPr>
        <w:t xml:space="preserve"> =&gt;</w:t>
      </w:r>
      <w:r w:rsidRPr="00DF09C0">
        <w:rPr>
          <w:rFonts w:ascii="Book Antiqua" w:hAnsi="Book Antiqua"/>
        </w:rPr>
        <w:t xml:space="preserve"> </w:t>
      </w:r>
      <w:r w:rsidRPr="003239A0">
        <w:rPr>
          <w:rFonts w:ascii="Book Antiqua" w:hAnsi="Book Antiqua"/>
          <w:b/>
        </w:rPr>
        <w:t>cirrhose</w:t>
      </w:r>
      <w:r>
        <w:rPr>
          <w:rFonts w:ascii="Book Antiqua" w:hAnsi="Book Antiqua"/>
        </w:rPr>
        <w:t xml:space="preserve"> principalement</w:t>
      </w:r>
      <w:r w:rsidRPr="00DF09C0">
        <w:rPr>
          <w:rFonts w:ascii="Book Antiqua" w:hAnsi="Book Antiqua"/>
        </w:rPr>
        <w:t>.</w:t>
      </w:r>
    </w:p>
    <w:p w:rsidR="00147745" w:rsidRPr="00DF09C0" w:rsidRDefault="00147745" w:rsidP="003239A0">
      <w:pPr>
        <w:pStyle w:val="ListParagraph"/>
        <w:numPr>
          <w:ilvl w:val="0"/>
          <w:numId w:val="1"/>
        </w:numPr>
        <w:jc w:val="left"/>
        <w:rPr>
          <w:rFonts w:ascii="Book Antiqua" w:hAnsi="Book Antiqua"/>
        </w:rPr>
      </w:pPr>
      <w:r w:rsidRPr="00DF09C0">
        <w:rPr>
          <w:rFonts w:ascii="Book Antiqua" w:hAnsi="Book Antiqua"/>
        </w:rPr>
        <w:t>E &lt; 0,3 </w:t>
      </w:r>
      <w:r>
        <w:rPr>
          <w:rFonts w:ascii="Book Antiqua" w:hAnsi="Book Antiqua"/>
        </w:rPr>
        <w:t>(Cl</w:t>
      </w:r>
      <w:r>
        <w:rPr>
          <w:rFonts w:ascii="Book Antiqua" w:hAnsi="Book Antiqua"/>
          <w:vertAlign w:val="subscript"/>
        </w:rPr>
        <w:t>i</w:t>
      </w:r>
      <w:r>
        <w:rPr>
          <w:rFonts w:ascii="Book Antiqua" w:hAnsi="Book Antiqua"/>
        </w:rPr>
        <w:t>&lt;&lt;</w:t>
      </w:r>
      <w:r w:rsidRPr="003239A0">
        <w:rPr>
          <w:rFonts w:ascii="Book Antiqua" w:hAnsi="Book Antiqua"/>
        </w:rPr>
        <w:t xml:space="preserve"> </w:t>
      </w:r>
      <w:r>
        <w:rPr>
          <w:rFonts w:ascii="Book Antiqua" w:hAnsi="Book Antiqua"/>
        </w:rPr>
        <w:t>Q</w:t>
      </w:r>
      <w:r>
        <w:rPr>
          <w:rFonts w:ascii="Book Antiqua" w:hAnsi="Book Antiqua"/>
          <w:vertAlign w:val="subscript"/>
        </w:rPr>
        <w:t>H</w:t>
      </w:r>
      <w:r>
        <w:rPr>
          <w:rFonts w:ascii="Book Antiqua" w:hAnsi="Book Antiqua"/>
        </w:rPr>
        <w:t>)</w:t>
      </w:r>
      <w:r w:rsidRPr="00DF09C0">
        <w:rPr>
          <w:rFonts w:ascii="Book Antiqua" w:hAnsi="Book Antiqua"/>
        </w:rPr>
        <w:t>:</w:t>
      </w:r>
      <w:r>
        <w:rPr>
          <w:rFonts w:ascii="Book Antiqua" w:hAnsi="Book Antiqua"/>
        </w:rPr>
        <w:t xml:space="preserve"> les médicaments sont dépendants </w:t>
      </w:r>
      <w:r w:rsidRPr="00DF09C0">
        <w:rPr>
          <w:rFonts w:ascii="Book Antiqua" w:hAnsi="Book Antiqua"/>
        </w:rPr>
        <w:t xml:space="preserve">de </w:t>
      </w:r>
      <w:r>
        <w:rPr>
          <w:rFonts w:ascii="Book Antiqua" w:hAnsi="Book Antiqua"/>
        </w:rPr>
        <w:t xml:space="preserve">la </w:t>
      </w:r>
      <w:r w:rsidRPr="003239A0">
        <w:rPr>
          <w:rFonts w:ascii="Book Antiqua" w:hAnsi="Book Antiqua"/>
          <w:b/>
        </w:rPr>
        <w:t>fraction libre</w:t>
      </w:r>
      <w:r>
        <w:rPr>
          <w:rFonts w:ascii="Book Antiqua" w:hAnsi="Book Antiqua"/>
        </w:rPr>
        <w:t xml:space="preserve"> =&gt;</w:t>
      </w:r>
      <w:r w:rsidRPr="003239A0">
        <w:rPr>
          <w:rFonts w:ascii="Book Antiqua" w:hAnsi="Book Antiqua"/>
        </w:rPr>
        <w:t xml:space="preserve"> </w:t>
      </w:r>
      <w:r w:rsidRPr="003239A0">
        <w:rPr>
          <w:rFonts w:ascii="Book Antiqua" w:hAnsi="Book Antiqua"/>
          <w:b/>
        </w:rPr>
        <w:t>hépatite</w:t>
      </w:r>
      <w:r w:rsidRPr="00DF09C0">
        <w:rPr>
          <w:rFonts w:ascii="Book Antiqua" w:hAnsi="Book Antiqua"/>
        </w:rPr>
        <w:t xml:space="preserve">, </w:t>
      </w:r>
      <w:r>
        <w:rPr>
          <w:rFonts w:ascii="Book Antiqua" w:hAnsi="Book Antiqua"/>
        </w:rPr>
        <w:t xml:space="preserve">à un degré moindre </w:t>
      </w:r>
      <w:r w:rsidRPr="00DF09C0">
        <w:rPr>
          <w:rFonts w:ascii="Book Antiqua" w:hAnsi="Book Antiqua"/>
        </w:rPr>
        <w:t>cirrhose.</w:t>
      </w:r>
    </w:p>
    <w:p w:rsidR="00147745" w:rsidRPr="00DF09C0" w:rsidRDefault="00147745" w:rsidP="00DF09C0">
      <w:pPr>
        <w:rPr>
          <w:rFonts w:ascii="Book Antiqua" w:hAnsi="Book Antiqua"/>
          <w:sz w:val="22"/>
          <w:szCs w:val="22"/>
        </w:rPr>
      </w:pPr>
    </w:p>
    <w:p w:rsidR="00147745" w:rsidRPr="00DF09C0" w:rsidRDefault="00147745" w:rsidP="003239A0">
      <w:pPr>
        <w:rPr>
          <w:rFonts w:ascii="Book Antiqua" w:hAnsi="Book Antiqua"/>
          <w:sz w:val="22"/>
          <w:szCs w:val="22"/>
        </w:rPr>
      </w:pPr>
      <w:r w:rsidRPr="00470C1B">
        <w:rPr>
          <w:rFonts w:ascii="Book Antiqua" w:hAnsi="Book Antiqua"/>
          <w:sz w:val="22"/>
          <w:szCs w:val="22"/>
        </w:rPr>
        <w:t>Ce</w:t>
      </w:r>
      <w:r w:rsidRPr="00DF09C0">
        <w:rPr>
          <w:rFonts w:ascii="Book Antiqua" w:hAnsi="Book Antiqua"/>
          <w:sz w:val="22"/>
          <w:szCs w:val="22"/>
        </w:rPr>
        <w:t xml:space="preserve"> </w:t>
      </w:r>
      <w:r w:rsidRPr="00470C1B">
        <w:rPr>
          <w:rFonts w:ascii="Book Antiqua" w:hAnsi="Book Antiqua"/>
          <w:sz w:val="22"/>
          <w:szCs w:val="22"/>
        </w:rPr>
        <w:t>qu’il</w:t>
      </w:r>
      <w:r w:rsidRPr="00DF09C0">
        <w:rPr>
          <w:rFonts w:ascii="Book Antiqua" w:hAnsi="Book Antiqua"/>
          <w:sz w:val="22"/>
          <w:szCs w:val="22"/>
        </w:rPr>
        <w:t xml:space="preserve"> </w:t>
      </w:r>
      <w:r w:rsidRPr="003239A0">
        <w:rPr>
          <w:rFonts w:ascii="Book Antiqua" w:hAnsi="Book Antiqua"/>
          <w:sz w:val="22"/>
          <w:szCs w:val="22"/>
        </w:rPr>
        <w:t>faut</w:t>
      </w:r>
      <w:r w:rsidRPr="00DF09C0">
        <w:rPr>
          <w:rFonts w:ascii="Book Antiqua" w:hAnsi="Book Antiqua"/>
          <w:sz w:val="22"/>
          <w:szCs w:val="22"/>
        </w:rPr>
        <w:t xml:space="preserve"> </w:t>
      </w:r>
      <w:r w:rsidRPr="00470C1B">
        <w:rPr>
          <w:rFonts w:ascii="Book Antiqua" w:hAnsi="Book Antiqua"/>
          <w:sz w:val="22"/>
          <w:szCs w:val="22"/>
        </w:rPr>
        <w:t>retenir</w:t>
      </w:r>
      <w:r w:rsidRPr="00DF09C0">
        <w:rPr>
          <w:rFonts w:ascii="Book Antiqua" w:hAnsi="Book Antiqua"/>
          <w:sz w:val="22"/>
          <w:szCs w:val="22"/>
        </w:rPr>
        <w:t xml:space="preserve"> : </w:t>
      </w:r>
    </w:p>
    <w:p w:rsidR="00147745" w:rsidRPr="00DF09C0" w:rsidRDefault="00147745" w:rsidP="003239A0">
      <w:pPr>
        <w:pStyle w:val="ListParagraph"/>
        <w:numPr>
          <w:ilvl w:val="0"/>
          <w:numId w:val="1"/>
        </w:numPr>
        <w:jc w:val="left"/>
        <w:rPr>
          <w:rFonts w:ascii="Book Antiqua" w:hAnsi="Book Antiqua"/>
        </w:rPr>
      </w:pPr>
      <w:r w:rsidRPr="00DF09C0">
        <w:rPr>
          <w:rFonts w:ascii="Book Antiqua" w:hAnsi="Book Antiqua"/>
        </w:rPr>
        <w:t>Clairance hépatique diminuée dans la cirrhose sauf pour les médicaments de nature acide faible à fixation protéique importante (&gt;90%) et E faible.</w:t>
      </w:r>
    </w:p>
    <w:p w:rsidR="00147745" w:rsidRPr="00DF09C0" w:rsidRDefault="00147745" w:rsidP="003239A0">
      <w:pPr>
        <w:pStyle w:val="ListParagraph"/>
        <w:numPr>
          <w:ilvl w:val="0"/>
          <w:numId w:val="1"/>
        </w:numPr>
        <w:jc w:val="left"/>
        <w:rPr>
          <w:rFonts w:ascii="Book Antiqua" w:hAnsi="Book Antiqua"/>
        </w:rPr>
      </w:pPr>
      <w:r w:rsidRPr="00DF09C0">
        <w:rPr>
          <w:rFonts w:ascii="Book Antiqua" w:hAnsi="Book Antiqua"/>
        </w:rPr>
        <w:t xml:space="preserve">Fixation protéique diminuée dans la cirrhose, corrélativement à </w:t>
      </w:r>
      <w:r>
        <w:rPr>
          <w:rFonts w:ascii="Book Antiqua" w:hAnsi="Book Antiqua"/>
        </w:rPr>
        <w:t>l’</w:t>
      </w:r>
      <w:r w:rsidRPr="00DF09C0">
        <w:rPr>
          <w:rFonts w:ascii="Book Antiqua" w:hAnsi="Book Antiqua"/>
        </w:rPr>
        <w:t xml:space="preserve">hypo-albuminémie </w:t>
      </w:r>
      <w:r w:rsidRPr="00DF09C0">
        <w:rPr>
          <w:rFonts w:ascii="Book Antiqua" w:hAnsi="Book Antiqua"/>
        </w:rPr>
        <w:sym w:font="Wingdings" w:char="F0E8"/>
      </w:r>
      <w:r w:rsidRPr="003239A0">
        <w:rPr>
          <w:rFonts w:ascii="Book Antiqua" w:hAnsi="Book Antiqua"/>
        </w:rPr>
        <w:t xml:space="preserve"> </w:t>
      </w:r>
      <w:r w:rsidRPr="00DF09C0">
        <w:rPr>
          <w:rFonts w:ascii="Book Antiqua" w:hAnsi="Book Antiqua"/>
        </w:rPr>
        <w:t>augmentation</w:t>
      </w:r>
      <w:r>
        <w:rPr>
          <w:rFonts w:ascii="Book Antiqua" w:hAnsi="Book Antiqua"/>
        </w:rPr>
        <w:t xml:space="preserve"> de la fraction libre</w:t>
      </w:r>
      <w:r w:rsidRPr="00DF09C0">
        <w:rPr>
          <w:rFonts w:ascii="Book Antiqua" w:hAnsi="Book Antiqua"/>
        </w:rPr>
        <w:t xml:space="preserve"> </w:t>
      </w:r>
      <w:r w:rsidRPr="00DF09C0">
        <w:rPr>
          <w:rFonts w:ascii="Book Antiqua" w:hAnsi="Book Antiqua"/>
        </w:rPr>
        <w:sym w:font="Wingdings" w:char="F0E8"/>
      </w:r>
      <w:r w:rsidRPr="003239A0">
        <w:rPr>
          <w:rFonts w:ascii="Book Antiqua" w:hAnsi="Book Antiqua"/>
        </w:rPr>
        <w:t xml:space="preserve"> </w:t>
      </w:r>
      <w:r w:rsidRPr="00DF09C0">
        <w:rPr>
          <w:rFonts w:ascii="Book Antiqua" w:hAnsi="Book Antiqua"/>
        </w:rPr>
        <w:t>augmentation Vd</w:t>
      </w:r>
      <w:r>
        <w:rPr>
          <w:rFonts w:ascii="Book Antiqua" w:hAnsi="Book Antiqua"/>
        </w:rPr>
        <w:t xml:space="preserve"> (volume de distribution)</w:t>
      </w:r>
      <w:r w:rsidRPr="00DF09C0">
        <w:rPr>
          <w:rFonts w:ascii="Book Antiqua" w:hAnsi="Book Antiqua"/>
        </w:rPr>
        <w:t xml:space="preserve"> et Cl si E est faible</w:t>
      </w:r>
      <w:r>
        <w:rPr>
          <w:rFonts w:ascii="Book Antiqua" w:hAnsi="Book Antiqua"/>
        </w:rPr>
        <w:t xml:space="preserve"> et diminution des concentrations en médicament</w:t>
      </w:r>
      <w:r w:rsidRPr="00DF09C0">
        <w:rPr>
          <w:rFonts w:ascii="Book Antiqua" w:hAnsi="Book Antiqua"/>
        </w:rPr>
        <w:t xml:space="preserve">. </w:t>
      </w:r>
    </w:p>
    <w:p w:rsidR="00147745" w:rsidRPr="00DF09C0" w:rsidRDefault="00147745" w:rsidP="003239A0">
      <w:pPr>
        <w:pStyle w:val="ListParagraph"/>
        <w:numPr>
          <w:ilvl w:val="0"/>
          <w:numId w:val="3"/>
        </w:numPr>
        <w:jc w:val="left"/>
        <w:rPr>
          <w:rFonts w:ascii="Book Antiqua" w:hAnsi="Book Antiqua"/>
        </w:rPr>
      </w:pPr>
      <w:r w:rsidRPr="00DF09C0">
        <w:rPr>
          <w:rFonts w:ascii="Book Antiqua" w:hAnsi="Book Antiqua"/>
        </w:rPr>
        <w:t>Conséquence des fonctions des modifications respectives de FP, Cl, Qh</w:t>
      </w:r>
    </w:p>
    <w:p w:rsidR="00147745" w:rsidRPr="00DF09C0" w:rsidRDefault="00147745" w:rsidP="003239A0">
      <w:pPr>
        <w:pStyle w:val="ListParagraph"/>
        <w:numPr>
          <w:ilvl w:val="0"/>
          <w:numId w:val="1"/>
        </w:numPr>
        <w:jc w:val="left"/>
        <w:rPr>
          <w:rFonts w:ascii="Book Antiqua" w:hAnsi="Book Antiqua"/>
        </w:rPr>
      </w:pPr>
      <w:r w:rsidRPr="00DF09C0">
        <w:rPr>
          <w:rFonts w:ascii="Book Antiqua" w:hAnsi="Book Antiqua"/>
        </w:rPr>
        <w:t xml:space="preserve">Excrétion biliaire diminuée dans </w:t>
      </w:r>
      <w:r>
        <w:rPr>
          <w:rFonts w:ascii="Book Antiqua" w:hAnsi="Book Antiqua"/>
        </w:rPr>
        <w:t>l</w:t>
      </w:r>
      <w:r w:rsidRPr="00DF09C0">
        <w:rPr>
          <w:rFonts w:ascii="Book Antiqua" w:hAnsi="Book Antiqua"/>
        </w:rPr>
        <w:t>‘hépatite (aigue&gt;chronique)</w:t>
      </w:r>
    </w:p>
    <w:p w:rsidR="00147745" w:rsidRDefault="00147745" w:rsidP="008051B1">
      <w:pPr>
        <w:pStyle w:val="ListParagraph"/>
        <w:ind w:left="717" w:firstLine="0"/>
        <w:jc w:val="left"/>
        <w:rPr>
          <w:rFonts w:ascii="Book Antiqua" w:hAnsi="Book Antiqua"/>
        </w:rPr>
      </w:pPr>
    </w:p>
    <w:p w:rsidR="00147745" w:rsidRDefault="00147745" w:rsidP="008051B1">
      <w:pPr>
        <w:pStyle w:val="ListParagraph"/>
        <w:ind w:left="717" w:firstLine="0"/>
        <w:jc w:val="left"/>
        <w:rPr>
          <w:rFonts w:ascii="Book Antiqua" w:hAnsi="Book Antiqua"/>
        </w:rPr>
      </w:pPr>
    </w:p>
    <w:p w:rsidR="00147745" w:rsidRDefault="00147745" w:rsidP="008051B1">
      <w:pPr>
        <w:pStyle w:val="ListParagraph"/>
        <w:ind w:left="717" w:firstLine="0"/>
        <w:jc w:val="left"/>
        <w:rPr>
          <w:rFonts w:ascii="Book Antiqua" w:hAnsi="Book Antiqua"/>
        </w:rPr>
      </w:pPr>
    </w:p>
    <w:p w:rsidR="00147745" w:rsidRPr="008051B1" w:rsidRDefault="00147745" w:rsidP="008051B1">
      <w:pPr>
        <w:rPr>
          <w:rFonts w:ascii="Book Antiqua" w:hAnsi="Book Antiqua"/>
        </w:rPr>
      </w:pPr>
    </w:p>
    <w:p w:rsidR="00147745" w:rsidRDefault="00147745" w:rsidP="003239A0">
      <w:pPr>
        <w:pStyle w:val="ListParagraph"/>
        <w:numPr>
          <w:ilvl w:val="0"/>
          <w:numId w:val="1"/>
        </w:numPr>
        <w:jc w:val="left"/>
        <w:rPr>
          <w:rFonts w:ascii="Book Antiqua" w:hAnsi="Book Antiqua"/>
        </w:rPr>
      </w:pPr>
      <w:r>
        <w:rPr>
          <w:rFonts w:ascii="Book Antiqua" w:hAnsi="Book Antiqua"/>
        </w:rPr>
        <w:t>Réactions CYT</w:t>
      </w:r>
      <w:r w:rsidRPr="00DF09C0">
        <w:rPr>
          <w:rFonts w:ascii="Book Antiqua" w:hAnsi="Book Antiqua"/>
        </w:rPr>
        <w:t xml:space="preserve"> P450 dépendantes</w:t>
      </w:r>
      <w:r>
        <w:rPr>
          <w:rFonts w:ascii="Book Antiqua" w:hAnsi="Book Antiqua"/>
        </w:rPr>
        <w:t xml:space="preserve"> sont</w:t>
      </w:r>
      <w:r w:rsidRPr="00DF09C0">
        <w:rPr>
          <w:rFonts w:ascii="Book Antiqua" w:hAnsi="Book Antiqua"/>
        </w:rPr>
        <w:t xml:space="preserve"> plus modifiées que l</w:t>
      </w:r>
      <w:r>
        <w:rPr>
          <w:rFonts w:ascii="Book Antiqua" w:hAnsi="Book Antiqua"/>
        </w:rPr>
        <w:t>e</w:t>
      </w:r>
      <w:r w:rsidRPr="00DF09C0">
        <w:rPr>
          <w:rFonts w:ascii="Book Antiqua" w:hAnsi="Book Antiqua"/>
        </w:rPr>
        <w:t>s réactions de conjugaison : glucorono C</w:t>
      </w:r>
      <w:r>
        <w:rPr>
          <w:rFonts w:ascii="Book Antiqua" w:hAnsi="Book Antiqua"/>
        </w:rPr>
        <w:t>onjugaison</w:t>
      </w:r>
      <w:r w:rsidRPr="00DF09C0">
        <w:rPr>
          <w:rFonts w:ascii="Book Antiqua" w:hAnsi="Book Antiqua"/>
        </w:rPr>
        <w:t xml:space="preserve"> peu modifiée, sulfo/glutathion C. et acétylation plus altérée.</w:t>
      </w:r>
    </w:p>
    <w:p w:rsidR="00147745" w:rsidRPr="00DF09C0" w:rsidRDefault="00147745" w:rsidP="003239A0">
      <w:pPr>
        <w:pStyle w:val="ListParagraph"/>
        <w:numPr>
          <w:ilvl w:val="0"/>
          <w:numId w:val="1"/>
        </w:numPr>
        <w:jc w:val="left"/>
        <w:rPr>
          <w:rFonts w:ascii="Book Antiqua" w:hAnsi="Book Antiqua"/>
        </w:rPr>
      </w:pPr>
      <w:r>
        <w:rPr>
          <w:rFonts w:ascii="Book Antiqua" w:hAnsi="Book Antiqua"/>
        </w:rPr>
        <w:t>La biodisponibilité des médicaments à E</w:t>
      </w:r>
      <w:r>
        <w:rPr>
          <w:rFonts w:ascii="Book Antiqua" w:hAnsi="Book Antiqua"/>
          <w:vertAlign w:val="subscript"/>
        </w:rPr>
        <w:t>H</w:t>
      </w:r>
      <w:r>
        <w:rPr>
          <w:rFonts w:ascii="Book Antiqua" w:hAnsi="Book Antiqua"/>
        </w:rPr>
        <w:t xml:space="preserve"> élevé est augmentée par diminution de Cli et par les shunts (cirrhose). Pour les</w:t>
      </w:r>
      <w:r w:rsidRPr="00CD7D81">
        <w:rPr>
          <w:rFonts w:ascii="Book Antiqua" w:hAnsi="Book Antiqua"/>
        </w:rPr>
        <w:t xml:space="preserve"> </w:t>
      </w:r>
      <w:r>
        <w:rPr>
          <w:rFonts w:ascii="Book Antiqua" w:hAnsi="Book Antiqua"/>
        </w:rPr>
        <w:t>médicaments à E</w:t>
      </w:r>
      <w:r>
        <w:rPr>
          <w:rFonts w:ascii="Book Antiqua" w:hAnsi="Book Antiqua"/>
          <w:vertAlign w:val="subscript"/>
        </w:rPr>
        <w:t>H</w:t>
      </w:r>
      <w:r>
        <w:rPr>
          <w:rFonts w:ascii="Book Antiqua" w:hAnsi="Book Antiqua"/>
        </w:rPr>
        <w:t xml:space="preserve"> élevé, il est intéressant de faire une dose de charge pour saturer les sites de métabolisation pour ne pas laisser le patient sous-dosé pendant des périodes trop longues.</w:t>
      </w:r>
    </w:p>
    <w:p w:rsidR="00147745" w:rsidRPr="00DF09C0" w:rsidRDefault="00147745" w:rsidP="003239A0">
      <w:pPr>
        <w:rPr>
          <w:rFonts w:ascii="Book Antiqua" w:hAnsi="Book Antiqua"/>
          <w:sz w:val="22"/>
          <w:szCs w:val="22"/>
        </w:rPr>
      </w:pPr>
    </w:p>
    <w:p w:rsidR="00147745" w:rsidRPr="000F2E51" w:rsidRDefault="00147745" w:rsidP="003239A0">
      <w:pPr>
        <w:rPr>
          <w:rFonts w:ascii="Book Antiqua" w:hAnsi="Book Antiqua"/>
          <w:sz w:val="22"/>
          <w:szCs w:val="22"/>
        </w:rPr>
      </w:pPr>
    </w:p>
    <w:p w:rsidR="00147745" w:rsidRDefault="00147745" w:rsidP="003239A0">
      <w:pPr>
        <w:rPr>
          <w:rFonts w:ascii="Book Antiqua" w:hAnsi="Book Antiqua"/>
          <w:sz w:val="22"/>
          <w:szCs w:val="22"/>
        </w:rPr>
      </w:pPr>
    </w:p>
    <w:p w:rsidR="00147745" w:rsidRPr="00927BBC" w:rsidRDefault="00147745" w:rsidP="00F81178">
      <w:pPr>
        <w:ind w:right="129"/>
        <w:rPr>
          <w:rFonts w:ascii="Book Antiqua" w:hAnsi="Book Antiqua"/>
          <w:sz w:val="22"/>
          <w:szCs w:val="22"/>
        </w:rPr>
      </w:pPr>
      <w:r w:rsidRPr="00927BBC">
        <w:rPr>
          <w:rFonts w:ascii="Book Antiqua" w:hAnsi="Book Antiqua"/>
          <w:sz w:val="22"/>
          <w:szCs w:val="22"/>
        </w:rPr>
        <w:t>La toxicité des médicaments sur le foie</w:t>
      </w:r>
      <w:r>
        <w:rPr>
          <w:rFonts w:ascii="Book Antiqua" w:hAnsi="Book Antiqua"/>
          <w:sz w:val="22"/>
          <w:szCs w:val="22"/>
        </w:rPr>
        <w:t xml:space="preserve"> conduit à d</w:t>
      </w:r>
      <w:r w:rsidRPr="00927BBC">
        <w:rPr>
          <w:rFonts w:ascii="Book Antiqua" w:hAnsi="Book Antiqua"/>
          <w:sz w:val="22"/>
          <w:szCs w:val="22"/>
        </w:rPr>
        <w:t xml:space="preserve">es hépatites médicamenteuses : </w:t>
      </w:r>
    </w:p>
    <w:p w:rsidR="00147745" w:rsidRPr="00DF09C0" w:rsidRDefault="00147745" w:rsidP="00927BBC">
      <w:pPr>
        <w:pStyle w:val="ListParagraph"/>
        <w:numPr>
          <w:ilvl w:val="0"/>
          <w:numId w:val="1"/>
        </w:numPr>
        <w:jc w:val="left"/>
        <w:rPr>
          <w:rFonts w:ascii="Book Antiqua" w:hAnsi="Book Antiqua"/>
        </w:rPr>
      </w:pPr>
      <w:r w:rsidRPr="00DF09C0">
        <w:rPr>
          <w:rFonts w:ascii="Book Antiqua" w:hAnsi="Book Antiqua"/>
        </w:rPr>
        <w:t>Un risque d’hépatotoxicité faible (1/100 à 1/10000) mais sans doute sous-estimé</w:t>
      </w:r>
    </w:p>
    <w:p w:rsidR="00147745" w:rsidRPr="00DF09C0" w:rsidRDefault="00147745" w:rsidP="00927BBC">
      <w:pPr>
        <w:pStyle w:val="ListParagraph"/>
        <w:numPr>
          <w:ilvl w:val="0"/>
          <w:numId w:val="1"/>
        </w:numPr>
        <w:jc w:val="left"/>
        <w:rPr>
          <w:rFonts w:ascii="Book Antiqua" w:hAnsi="Book Antiqua"/>
        </w:rPr>
      </w:pPr>
      <w:r w:rsidRPr="00DF09C0">
        <w:rPr>
          <w:rFonts w:ascii="Book Antiqua" w:hAnsi="Book Antiqua"/>
        </w:rPr>
        <w:t>La polymédication et des mécanismes génétiques</w:t>
      </w:r>
      <w:r>
        <w:rPr>
          <w:rFonts w:ascii="Book Antiqua" w:hAnsi="Book Antiqua"/>
        </w:rPr>
        <w:t xml:space="preserve"> (qui influence le transfert des médicaments vers le foie ou la sortie du foie)</w:t>
      </w:r>
      <w:r w:rsidRPr="00DF09C0">
        <w:rPr>
          <w:rFonts w:ascii="Book Antiqua" w:hAnsi="Book Antiqua"/>
        </w:rPr>
        <w:t xml:space="preserve"> ou acquis se surajoutent à la toxicité intrinsèque des drogues, notamment chez le sujet âgé. </w:t>
      </w:r>
    </w:p>
    <w:p w:rsidR="00147745" w:rsidRPr="00470C1B" w:rsidRDefault="00147745" w:rsidP="00927BBC">
      <w:pPr>
        <w:ind w:left="357"/>
        <w:rPr>
          <w:rFonts w:ascii="Book Antiqua" w:hAnsi="Book Antiqua"/>
        </w:rPr>
      </w:pPr>
    </w:p>
    <w:p w:rsidR="00147745" w:rsidRPr="00927BBC" w:rsidRDefault="00147745" w:rsidP="00927BBC">
      <w:pPr>
        <w:ind w:left="357"/>
        <w:rPr>
          <w:rFonts w:ascii="Book Antiqua" w:hAnsi="Book Antiqua"/>
        </w:rPr>
      </w:pPr>
      <w:r w:rsidRPr="00927BBC">
        <w:rPr>
          <w:rFonts w:ascii="Book Antiqua" w:hAnsi="Book Antiqua"/>
        </w:rPr>
        <w:t xml:space="preserve">Pourquoi le foie semble plus exposé que d’autres organes à cette toxicité : </w:t>
      </w:r>
    </w:p>
    <w:p w:rsidR="00147745" w:rsidRPr="00DF09C0" w:rsidRDefault="00147745" w:rsidP="00927BBC">
      <w:pPr>
        <w:pStyle w:val="ListParagraph"/>
        <w:numPr>
          <w:ilvl w:val="0"/>
          <w:numId w:val="2"/>
        </w:numPr>
        <w:jc w:val="left"/>
        <w:rPr>
          <w:rFonts w:ascii="Book Antiqua" w:hAnsi="Book Antiqua"/>
        </w:rPr>
      </w:pPr>
      <w:r w:rsidRPr="00DF09C0">
        <w:rPr>
          <w:rFonts w:ascii="Book Antiqua" w:hAnsi="Book Antiqua"/>
        </w:rPr>
        <w:t>Débit sanguin élevé, d’où présence massive de xénobiotique au niveau du foie</w:t>
      </w:r>
    </w:p>
    <w:p w:rsidR="00147745" w:rsidRDefault="00147745" w:rsidP="00927BBC">
      <w:pPr>
        <w:pStyle w:val="ListParagraph"/>
        <w:numPr>
          <w:ilvl w:val="0"/>
          <w:numId w:val="2"/>
        </w:numPr>
        <w:jc w:val="left"/>
        <w:rPr>
          <w:rFonts w:ascii="Book Antiqua" w:hAnsi="Book Antiqua"/>
        </w:rPr>
      </w:pPr>
      <w:r w:rsidRPr="00DF09C0">
        <w:rPr>
          <w:rFonts w:ascii="Book Antiqua" w:hAnsi="Book Antiqua"/>
        </w:rPr>
        <w:t xml:space="preserve">L’hépatocyte est le siège quasi-exclusif de </w:t>
      </w:r>
      <w:r>
        <w:rPr>
          <w:rFonts w:ascii="Book Antiqua" w:hAnsi="Book Antiqua"/>
        </w:rPr>
        <w:t>l</w:t>
      </w:r>
      <w:r w:rsidRPr="00DF09C0">
        <w:rPr>
          <w:rFonts w:ascii="Book Antiqua" w:hAnsi="Book Antiqua"/>
        </w:rPr>
        <w:t>a biotransformation</w:t>
      </w:r>
      <w:r>
        <w:rPr>
          <w:rFonts w:ascii="Book Antiqua" w:hAnsi="Book Antiqua"/>
        </w:rPr>
        <w:t xml:space="preserve"> (90%) des xéniobiotiques liposolubles </w:t>
      </w:r>
    </w:p>
    <w:p w:rsidR="00147745" w:rsidRPr="00DF09C0" w:rsidRDefault="00147745" w:rsidP="00927BBC">
      <w:pPr>
        <w:pStyle w:val="ListParagraph"/>
        <w:numPr>
          <w:ilvl w:val="0"/>
          <w:numId w:val="2"/>
        </w:numPr>
        <w:jc w:val="left"/>
        <w:rPr>
          <w:rFonts w:ascii="Book Antiqua" w:hAnsi="Book Antiqua"/>
        </w:rPr>
      </w:pPr>
      <w:r>
        <w:rPr>
          <w:rFonts w:ascii="Book Antiqua" w:hAnsi="Book Antiqua"/>
        </w:rPr>
        <w:t>L</w:t>
      </w:r>
      <w:r w:rsidRPr="00927BBC">
        <w:rPr>
          <w:rFonts w:ascii="Book Antiqua" w:hAnsi="Book Antiqua"/>
        </w:rPr>
        <w:t xml:space="preserve">e foie </w:t>
      </w:r>
      <w:r>
        <w:rPr>
          <w:rFonts w:ascii="Book Antiqua" w:hAnsi="Book Antiqua"/>
        </w:rPr>
        <w:t>est donc</w:t>
      </w:r>
      <w:r w:rsidRPr="00927BBC">
        <w:rPr>
          <w:rFonts w:ascii="Book Antiqua" w:hAnsi="Book Antiqua"/>
        </w:rPr>
        <w:t xml:space="preserve"> p</w:t>
      </w:r>
      <w:r>
        <w:rPr>
          <w:rFonts w:ascii="Book Antiqua" w:hAnsi="Book Antiqua"/>
        </w:rPr>
        <w:t>articulièrement</w:t>
      </w:r>
      <w:r w:rsidRPr="00927BBC">
        <w:rPr>
          <w:rFonts w:ascii="Book Antiqua" w:hAnsi="Book Antiqua"/>
        </w:rPr>
        <w:t xml:space="preserve"> exposé à </w:t>
      </w:r>
      <w:r>
        <w:rPr>
          <w:rFonts w:ascii="Book Antiqua" w:hAnsi="Book Antiqua"/>
        </w:rPr>
        <w:t>l’éventuelle</w:t>
      </w:r>
      <w:r w:rsidRPr="00927BBC">
        <w:rPr>
          <w:rFonts w:ascii="Book Antiqua" w:hAnsi="Book Antiqua"/>
        </w:rPr>
        <w:t xml:space="preserve"> toxicité </w:t>
      </w:r>
      <w:r>
        <w:rPr>
          <w:rFonts w:ascii="Book Antiqua" w:hAnsi="Book Antiqua"/>
        </w:rPr>
        <w:t xml:space="preserve">des composés parents et de leurs métabolites </w:t>
      </w:r>
    </w:p>
    <w:p w:rsidR="00147745" w:rsidRPr="00DF09C0" w:rsidRDefault="00147745" w:rsidP="00927BBC">
      <w:pPr>
        <w:rPr>
          <w:rFonts w:ascii="Book Antiqua" w:hAnsi="Book Antiqua"/>
          <w:sz w:val="22"/>
          <w:szCs w:val="22"/>
        </w:rPr>
      </w:pPr>
    </w:p>
    <w:p w:rsidR="00147745" w:rsidRDefault="00147745" w:rsidP="00927BBC">
      <w:pPr>
        <w:rPr>
          <w:rFonts w:ascii="Book Antiqua" w:hAnsi="Book Antiqua"/>
          <w:sz w:val="22"/>
          <w:szCs w:val="22"/>
        </w:rPr>
      </w:pPr>
      <w:r w:rsidRPr="00DF09C0">
        <w:rPr>
          <w:rFonts w:ascii="Book Antiqua" w:hAnsi="Book Antiqua"/>
          <w:sz w:val="22"/>
          <w:szCs w:val="22"/>
        </w:rPr>
        <w:t xml:space="preserve">Cellules impliquées dans l’hépatotoxicité des médicaments : </w:t>
      </w:r>
    </w:p>
    <w:p w:rsidR="00147745" w:rsidRPr="00DF09C0" w:rsidRDefault="00147745" w:rsidP="00927BBC">
      <w:pPr>
        <w:rPr>
          <w:rFonts w:ascii="Book Antiqua" w:hAnsi="Book Antiqua"/>
          <w:sz w:val="22"/>
          <w:szCs w:val="22"/>
        </w:rPr>
      </w:pPr>
    </w:p>
    <w:p w:rsidR="00147745" w:rsidRDefault="00147745" w:rsidP="00927BBC">
      <w:pPr>
        <w:pStyle w:val="ListParagraph"/>
        <w:numPr>
          <w:ilvl w:val="0"/>
          <w:numId w:val="1"/>
        </w:numPr>
        <w:jc w:val="left"/>
        <w:rPr>
          <w:rFonts w:ascii="Book Antiqua" w:hAnsi="Book Antiqua"/>
        </w:rPr>
      </w:pPr>
      <w:r w:rsidRPr="00DF09C0">
        <w:rPr>
          <w:rFonts w:ascii="Book Antiqua" w:hAnsi="Book Antiqua"/>
        </w:rPr>
        <w:t>Hépatocyte :</w:t>
      </w:r>
      <w:r>
        <w:rPr>
          <w:rFonts w:ascii="Book Antiqua" w:hAnsi="Book Antiqua"/>
        </w:rPr>
        <w:t xml:space="preserve"> si cytolyse :</w:t>
      </w:r>
      <w:r w:rsidRPr="00DF09C0">
        <w:rPr>
          <w:rFonts w:ascii="Book Antiqua" w:hAnsi="Book Antiqua"/>
        </w:rPr>
        <w:t xml:space="preserve"> hépatite aigue, </w:t>
      </w:r>
      <w:r>
        <w:rPr>
          <w:rFonts w:ascii="Book Antiqua" w:hAnsi="Book Antiqua"/>
        </w:rPr>
        <w:t>cholestase, hépatite chronique,/</w:t>
      </w:r>
      <w:r w:rsidRPr="00DF09C0">
        <w:rPr>
          <w:rFonts w:ascii="Book Antiqua" w:hAnsi="Book Antiqua"/>
        </w:rPr>
        <w:t>cirrhose, stéatose, phospholipidose, stéatohépatite, hépat</w:t>
      </w:r>
      <w:r>
        <w:rPr>
          <w:rFonts w:ascii="Book Antiqua" w:hAnsi="Book Antiqua"/>
        </w:rPr>
        <w:t xml:space="preserve">ite granulomateuse </w:t>
      </w:r>
    </w:p>
    <w:p w:rsidR="00147745" w:rsidRDefault="00147745" w:rsidP="00927BBC">
      <w:pPr>
        <w:pStyle w:val="ListParagraph"/>
        <w:numPr>
          <w:ilvl w:val="0"/>
          <w:numId w:val="1"/>
        </w:numPr>
        <w:jc w:val="left"/>
        <w:rPr>
          <w:rFonts w:ascii="Book Antiqua" w:hAnsi="Book Antiqua"/>
        </w:rPr>
      </w:pPr>
      <w:r>
        <w:rPr>
          <w:rFonts w:ascii="Book Antiqua" w:hAnsi="Book Antiqua"/>
        </w:rPr>
        <w:t xml:space="preserve">Cholangiocyte : </w:t>
      </w:r>
      <w:r w:rsidRPr="00952827">
        <w:rPr>
          <w:rFonts w:ascii="Book Antiqua" w:hAnsi="Book Antiqua"/>
        </w:rPr>
        <w:t>cholangite</w:t>
      </w:r>
      <w:r>
        <w:rPr>
          <w:rFonts w:ascii="Book Antiqua" w:hAnsi="Book Antiqua"/>
        </w:rPr>
        <w:t xml:space="preserve"> aigue et chronique ou </w:t>
      </w:r>
      <w:r w:rsidRPr="00952827">
        <w:rPr>
          <w:rFonts w:ascii="Book Antiqua" w:hAnsi="Book Antiqua"/>
        </w:rPr>
        <w:t>cholangite</w:t>
      </w:r>
      <w:r>
        <w:rPr>
          <w:rFonts w:ascii="Book Antiqua" w:hAnsi="Book Antiqua"/>
        </w:rPr>
        <w:t xml:space="preserve"> sclérosante</w:t>
      </w:r>
    </w:p>
    <w:p w:rsidR="00147745" w:rsidRDefault="00147745" w:rsidP="00927BBC">
      <w:pPr>
        <w:pStyle w:val="ListParagraph"/>
        <w:numPr>
          <w:ilvl w:val="0"/>
          <w:numId w:val="1"/>
        </w:numPr>
        <w:jc w:val="left"/>
        <w:rPr>
          <w:rFonts w:ascii="Book Antiqua" w:hAnsi="Book Antiqua"/>
        </w:rPr>
      </w:pPr>
      <w:r>
        <w:rPr>
          <w:rFonts w:ascii="Book Antiqua" w:hAnsi="Book Antiqua"/>
        </w:rPr>
        <w:t>Cellule endothéliale : maladie veino-occlusive, dilatation sinusoïdale, syndrome de Budd Chiari, péliose</w:t>
      </w:r>
    </w:p>
    <w:p w:rsidR="00147745" w:rsidRPr="00DF09C0" w:rsidRDefault="00147745" w:rsidP="00927BBC">
      <w:pPr>
        <w:pStyle w:val="ListParagraph"/>
        <w:numPr>
          <w:ilvl w:val="0"/>
          <w:numId w:val="1"/>
        </w:numPr>
        <w:jc w:val="left"/>
        <w:rPr>
          <w:rFonts w:ascii="Book Antiqua" w:hAnsi="Book Antiqua"/>
        </w:rPr>
      </w:pPr>
      <w:r>
        <w:rPr>
          <w:rFonts w:ascii="Book Antiqua" w:hAnsi="Book Antiqua"/>
        </w:rPr>
        <w:t>Cellule Ito : fibrose péri sinusoïdale</w:t>
      </w:r>
    </w:p>
    <w:p w:rsidR="00147745" w:rsidRPr="00DF09C0" w:rsidRDefault="00147745" w:rsidP="00DF09C0">
      <w:pPr>
        <w:rPr>
          <w:rFonts w:ascii="Book Antiqua" w:hAnsi="Book Antiqua"/>
          <w:sz w:val="22"/>
          <w:szCs w:val="22"/>
        </w:rPr>
      </w:pPr>
    </w:p>
    <w:p w:rsidR="00147745" w:rsidRDefault="00147745" w:rsidP="00396AE2">
      <w:pPr>
        <w:rPr>
          <w:rFonts w:ascii="Book Antiqua" w:hAnsi="Book Antiqua"/>
          <w:sz w:val="22"/>
          <w:szCs w:val="22"/>
        </w:rPr>
      </w:pPr>
      <w:r w:rsidRPr="00396AE2">
        <w:rPr>
          <w:rFonts w:ascii="Book Antiqua" w:hAnsi="Book Antiqua"/>
          <w:sz w:val="22"/>
          <w:szCs w:val="22"/>
        </w:rPr>
        <w:t xml:space="preserve">En </w:t>
      </w:r>
      <w:r>
        <w:rPr>
          <w:rFonts w:ascii="Book Antiqua" w:hAnsi="Book Antiqua"/>
          <w:sz w:val="22"/>
          <w:szCs w:val="22"/>
        </w:rPr>
        <w:t>fo</w:t>
      </w:r>
      <w:r w:rsidRPr="00396AE2">
        <w:rPr>
          <w:rFonts w:ascii="Book Antiqua" w:hAnsi="Book Antiqua"/>
          <w:sz w:val="22"/>
          <w:szCs w:val="22"/>
        </w:rPr>
        <w:t>nction des cellules touché</w:t>
      </w:r>
      <w:r>
        <w:rPr>
          <w:rFonts w:ascii="Book Antiqua" w:hAnsi="Book Antiqua"/>
          <w:sz w:val="22"/>
          <w:szCs w:val="22"/>
        </w:rPr>
        <w:t>e</w:t>
      </w:r>
      <w:r w:rsidRPr="00396AE2">
        <w:rPr>
          <w:rFonts w:ascii="Book Antiqua" w:hAnsi="Book Antiqua"/>
          <w:sz w:val="22"/>
          <w:szCs w:val="22"/>
        </w:rPr>
        <w:t xml:space="preserve">s, il y a différents types d’atteintes hépatiques : </w:t>
      </w:r>
    </w:p>
    <w:p w:rsidR="00147745" w:rsidRPr="00396AE2" w:rsidRDefault="00147745" w:rsidP="00396AE2">
      <w:pPr>
        <w:rPr>
          <w:rFonts w:ascii="Book Antiqua" w:hAnsi="Book Antiqua"/>
          <w:sz w:val="22"/>
          <w:szCs w:val="22"/>
        </w:rPr>
      </w:pPr>
    </w:p>
    <w:p w:rsidR="00147745" w:rsidRPr="00DF09C0" w:rsidRDefault="00147745" w:rsidP="00396AE2">
      <w:pPr>
        <w:pStyle w:val="ListParagraph"/>
        <w:numPr>
          <w:ilvl w:val="0"/>
          <w:numId w:val="1"/>
        </w:numPr>
        <w:jc w:val="left"/>
        <w:rPr>
          <w:rFonts w:ascii="Book Antiqua" w:hAnsi="Book Antiqua"/>
        </w:rPr>
      </w:pPr>
      <w:r w:rsidRPr="00DF09C0">
        <w:rPr>
          <w:rFonts w:ascii="Book Antiqua" w:hAnsi="Book Antiqua"/>
        </w:rPr>
        <w:t xml:space="preserve">Tous les aspects clinico-biologiques des hépato-pathies sont possibles, de l’hépatite aiguë (incluant l’hépatite fulminante) à l’hépatite chronique active avec des risques de cirrhose. </w:t>
      </w:r>
    </w:p>
    <w:p w:rsidR="00147745" w:rsidRDefault="00147745" w:rsidP="00396AE2">
      <w:pPr>
        <w:pStyle w:val="ListParagraph"/>
        <w:numPr>
          <w:ilvl w:val="0"/>
          <w:numId w:val="1"/>
        </w:numPr>
        <w:jc w:val="left"/>
        <w:rPr>
          <w:rFonts w:ascii="Book Antiqua" w:hAnsi="Book Antiqua"/>
        </w:rPr>
      </w:pPr>
      <w:r w:rsidRPr="00DF09C0">
        <w:rPr>
          <w:rFonts w:ascii="Book Antiqua" w:hAnsi="Book Antiqua"/>
        </w:rPr>
        <w:t>On retrouve parfois une nécrose hépatocellulaire (tableau d’hépatite aigue ou subaiguë</w:t>
      </w:r>
      <w:r>
        <w:rPr>
          <w:rFonts w:ascii="Book Antiqua" w:hAnsi="Book Antiqua"/>
        </w:rPr>
        <w:t>), une cholestase ou un syndrome mixte.</w:t>
      </w:r>
    </w:p>
    <w:p w:rsidR="00147745" w:rsidRPr="00DF09C0" w:rsidRDefault="00147745" w:rsidP="00396AE2">
      <w:pPr>
        <w:pStyle w:val="ListParagraph"/>
        <w:numPr>
          <w:ilvl w:val="0"/>
          <w:numId w:val="1"/>
        </w:numPr>
        <w:jc w:val="left"/>
        <w:rPr>
          <w:rFonts w:ascii="Book Antiqua" w:hAnsi="Book Antiqua"/>
        </w:rPr>
      </w:pPr>
      <w:r>
        <w:rPr>
          <w:rFonts w:ascii="Book Antiqua" w:hAnsi="Book Antiqua"/>
        </w:rPr>
        <w:t>L’administration prolongée du médicament peut entraîner une hépatite chronique ou une cirrhose et des lésions chroniques peuvent également survenir malgré l’arrêt du médicament lorsque le médicament persiste longtemps dans le foie.</w:t>
      </w:r>
    </w:p>
    <w:p w:rsidR="00147745" w:rsidRDefault="00147745" w:rsidP="00396AE2">
      <w:pPr>
        <w:rPr>
          <w:rFonts w:ascii="Book Antiqua" w:hAnsi="Book Antiqua"/>
          <w:sz w:val="22"/>
          <w:szCs w:val="22"/>
        </w:rPr>
      </w:pPr>
      <w:r w:rsidRPr="00013339">
        <w:rPr>
          <w:rFonts w:ascii="Book Antiqua" w:hAnsi="Book Antiqua"/>
          <w:noProof/>
          <w:sz w:val="22"/>
          <w:szCs w:val="22"/>
          <w:lang w:eastAsia="fr-FR"/>
        </w:rPr>
        <w:pict>
          <v:shape id="Image 1" o:spid="_x0000_i1027" type="#_x0000_t75" style="width:291pt;height:229.5pt;visibility:visible">
            <v:imagedata r:id="rId11" o:title="" croptop="2140f" cropbottom="4094f" cropleft="4151f" cropright="2547f" gain="121363f" blacklevel="6554f"/>
          </v:shape>
        </w:pict>
      </w:r>
    </w:p>
    <w:p w:rsidR="00147745" w:rsidRDefault="00147745" w:rsidP="00396AE2">
      <w:pPr>
        <w:rPr>
          <w:rFonts w:ascii="Book Antiqua" w:hAnsi="Book Antiqua"/>
          <w:sz w:val="22"/>
          <w:szCs w:val="22"/>
        </w:rPr>
      </w:pPr>
    </w:p>
    <w:p w:rsidR="00147745" w:rsidRDefault="00147745" w:rsidP="00396AE2">
      <w:pPr>
        <w:rPr>
          <w:rFonts w:ascii="Book Antiqua" w:hAnsi="Book Antiqua"/>
          <w:sz w:val="22"/>
          <w:szCs w:val="22"/>
        </w:rPr>
      </w:pPr>
    </w:p>
    <w:p w:rsidR="00147745" w:rsidRDefault="00147745" w:rsidP="00396AE2">
      <w:pPr>
        <w:rPr>
          <w:rFonts w:ascii="Book Antiqua" w:hAnsi="Book Antiqua"/>
          <w:sz w:val="22"/>
          <w:szCs w:val="22"/>
        </w:rPr>
      </w:pPr>
    </w:p>
    <w:p w:rsidR="00147745" w:rsidRDefault="00147745" w:rsidP="00396AE2">
      <w:pPr>
        <w:rPr>
          <w:rFonts w:ascii="Book Antiqua" w:hAnsi="Book Antiqua"/>
          <w:sz w:val="22"/>
          <w:szCs w:val="22"/>
        </w:rPr>
      </w:pPr>
    </w:p>
    <w:p w:rsidR="00147745" w:rsidRDefault="00147745" w:rsidP="00396AE2">
      <w:pPr>
        <w:rPr>
          <w:rFonts w:ascii="Book Antiqua" w:hAnsi="Book Antiqua"/>
          <w:sz w:val="22"/>
          <w:szCs w:val="22"/>
        </w:rPr>
      </w:pPr>
      <w:r w:rsidRPr="00013339">
        <w:rPr>
          <w:rFonts w:ascii="Book Antiqua" w:hAnsi="Book Antiqua"/>
          <w:noProof/>
          <w:sz w:val="22"/>
          <w:szCs w:val="22"/>
          <w:lang w:eastAsia="fr-FR"/>
        </w:rPr>
        <w:pict>
          <v:shape id="Image 2" o:spid="_x0000_i1028" type="#_x0000_t75" style="width:361.5pt;height:270.75pt;visibility:visible">
            <v:imagedata r:id="rId12" o:title="" gain="1.25" blacklevel="3277f"/>
          </v:shape>
        </w:pict>
      </w:r>
    </w:p>
    <w:p w:rsidR="00147745" w:rsidRDefault="00147745" w:rsidP="00396AE2">
      <w:pPr>
        <w:rPr>
          <w:rFonts w:ascii="Book Antiqua" w:hAnsi="Book Antiqua"/>
          <w:sz w:val="22"/>
          <w:szCs w:val="22"/>
        </w:rPr>
      </w:pPr>
    </w:p>
    <w:p w:rsidR="00147745" w:rsidRDefault="00147745" w:rsidP="00396AE2">
      <w:pPr>
        <w:rPr>
          <w:rFonts w:ascii="Book Antiqua" w:hAnsi="Book Antiqua"/>
          <w:sz w:val="22"/>
          <w:szCs w:val="22"/>
        </w:rPr>
      </w:pPr>
    </w:p>
    <w:p w:rsidR="00147745" w:rsidRPr="002B449F" w:rsidRDefault="00147745" w:rsidP="00396AE2">
      <w:pPr>
        <w:rPr>
          <w:rFonts w:ascii="Book Antiqua" w:hAnsi="Book Antiqua"/>
          <w:b/>
          <w:sz w:val="22"/>
          <w:szCs w:val="22"/>
        </w:rPr>
      </w:pPr>
      <w:r w:rsidRPr="002B449F">
        <w:rPr>
          <w:rFonts w:ascii="Book Antiqua" w:hAnsi="Book Antiqua"/>
          <w:b/>
          <w:sz w:val="22"/>
          <w:szCs w:val="22"/>
        </w:rPr>
        <w:t xml:space="preserve">La toxicité directe </w:t>
      </w:r>
    </w:p>
    <w:p w:rsidR="00147745" w:rsidRPr="00DF09C0" w:rsidRDefault="00147745" w:rsidP="00396AE2">
      <w:pPr>
        <w:rPr>
          <w:rFonts w:ascii="Book Antiqua" w:hAnsi="Book Antiqua"/>
          <w:sz w:val="22"/>
          <w:szCs w:val="22"/>
        </w:rPr>
      </w:pPr>
      <w:r w:rsidRPr="00DF09C0">
        <w:rPr>
          <w:rFonts w:ascii="Book Antiqua" w:hAnsi="Book Antiqua"/>
          <w:sz w:val="22"/>
          <w:szCs w:val="22"/>
        </w:rPr>
        <w:t xml:space="preserve">Elle est caractérisée par : </w:t>
      </w:r>
    </w:p>
    <w:p w:rsidR="00147745" w:rsidRPr="00DF09C0" w:rsidRDefault="00147745" w:rsidP="00396AE2">
      <w:pPr>
        <w:pStyle w:val="ListParagraph"/>
        <w:numPr>
          <w:ilvl w:val="0"/>
          <w:numId w:val="1"/>
        </w:numPr>
        <w:jc w:val="left"/>
        <w:rPr>
          <w:rFonts w:ascii="Book Antiqua" w:hAnsi="Book Antiqua"/>
        </w:rPr>
      </w:pPr>
      <w:r w:rsidRPr="00DF09C0">
        <w:rPr>
          <w:rFonts w:ascii="Book Antiqua" w:hAnsi="Book Antiqua"/>
        </w:rPr>
        <w:t>La possibilité de reproduction expérimentale</w:t>
      </w:r>
    </w:p>
    <w:p w:rsidR="00147745" w:rsidRPr="00DF09C0" w:rsidRDefault="00147745" w:rsidP="00396AE2">
      <w:pPr>
        <w:pStyle w:val="ListParagraph"/>
        <w:numPr>
          <w:ilvl w:val="0"/>
          <w:numId w:val="1"/>
        </w:numPr>
        <w:jc w:val="left"/>
        <w:rPr>
          <w:rFonts w:ascii="Book Antiqua" w:hAnsi="Book Antiqua"/>
        </w:rPr>
      </w:pPr>
      <w:r w:rsidRPr="00DF09C0">
        <w:rPr>
          <w:rFonts w:ascii="Book Antiqua" w:hAnsi="Book Antiqua"/>
        </w:rPr>
        <w:t>Une relation dose-effet significative</w:t>
      </w:r>
    </w:p>
    <w:p w:rsidR="00147745" w:rsidRPr="00DF09C0" w:rsidRDefault="00147745" w:rsidP="00396AE2">
      <w:pPr>
        <w:pStyle w:val="ListParagraph"/>
        <w:numPr>
          <w:ilvl w:val="0"/>
          <w:numId w:val="1"/>
        </w:numPr>
        <w:jc w:val="left"/>
        <w:rPr>
          <w:rFonts w:ascii="Book Antiqua" w:hAnsi="Book Antiqua"/>
        </w:rPr>
      </w:pPr>
      <w:r w:rsidRPr="00DF09C0">
        <w:rPr>
          <w:rFonts w:ascii="Book Antiqua" w:hAnsi="Book Antiqua"/>
        </w:rPr>
        <w:t>Une relative constante de l’apparition des complications et des ty</w:t>
      </w:r>
      <w:r>
        <w:rPr>
          <w:rFonts w:ascii="Book Antiqua" w:hAnsi="Book Antiqua"/>
        </w:rPr>
        <w:t>p</w:t>
      </w:r>
      <w:r w:rsidRPr="00DF09C0">
        <w:rPr>
          <w:rFonts w:ascii="Book Antiqua" w:hAnsi="Book Antiqua"/>
        </w:rPr>
        <w:t>es de lésions histologiques ….</w:t>
      </w:r>
    </w:p>
    <w:p w:rsidR="00147745" w:rsidRPr="00DF09C0" w:rsidRDefault="00147745" w:rsidP="00396AE2">
      <w:pPr>
        <w:rPr>
          <w:rFonts w:ascii="Book Antiqua" w:hAnsi="Book Antiqua"/>
          <w:sz w:val="22"/>
          <w:szCs w:val="22"/>
        </w:rPr>
      </w:pPr>
    </w:p>
    <w:p w:rsidR="00147745" w:rsidRPr="00DF09C0" w:rsidRDefault="00147745" w:rsidP="00396AE2">
      <w:pPr>
        <w:rPr>
          <w:rFonts w:ascii="Book Antiqua" w:hAnsi="Book Antiqua"/>
          <w:sz w:val="22"/>
          <w:szCs w:val="22"/>
        </w:rPr>
      </w:pPr>
      <w:r w:rsidRPr="00DF09C0">
        <w:rPr>
          <w:rFonts w:ascii="Book Antiqua" w:hAnsi="Book Antiqua"/>
          <w:sz w:val="22"/>
          <w:szCs w:val="22"/>
        </w:rPr>
        <w:t>EX du PARACETAMOL</w:t>
      </w:r>
    </w:p>
    <w:p w:rsidR="00147745" w:rsidRDefault="00147745" w:rsidP="00396AE2">
      <w:pPr>
        <w:rPr>
          <w:rFonts w:ascii="Book Antiqua" w:hAnsi="Book Antiqua"/>
          <w:sz w:val="22"/>
          <w:szCs w:val="22"/>
        </w:rPr>
      </w:pPr>
      <w:r>
        <w:rPr>
          <w:rFonts w:ascii="Book Antiqua" w:hAnsi="Book Antiqua"/>
          <w:sz w:val="22"/>
          <w:szCs w:val="22"/>
        </w:rPr>
        <w:t>Si on fait un surdosage avec du paracétamol, notamment chez les enfants et les sujets âgés ça peut être dramatique.</w:t>
      </w:r>
    </w:p>
    <w:p w:rsidR="00147745" w:rsidRDefault="00147745" w:rsidP="00396AE2">
      <w:pPr>
        <w:rPr>
          <w:rFonts w:ascii="Book Antiqua" w:hAnsi="Book Antiqua"/>
          <w:sz w:val="22"/>
          <w:szCs w:val="22"/>
        </w:rPr>
      </w:pPr>
    </w:p>
    <w:p w:rsidR="00147745" w:rsidRPr="00DF09C0" w:rsidRDefault="00147745" w:rsidP="00396AE2">
      <w:pPr>
        <w:rPr>
          <w:rFonts w:ascii="Book Antiqua" w:hAnsi="Book Antiqua"/>
          <w:sz w:val="22"/>
          <w:szCs w:val="22"/>
        </w:rPr>
      </w:pPr>
      <w:r w:rsidRPr="00013339">
        <w:rPr>
          <w:rFonts w:ascii="Book Antiqua" w:hAnsi="Book Antiqua"/>
          <w:noProof/>
          <w:sz w:val="22"/>
          <w:szCs w:val="22"/>
          <w:lang w:eastAsia="fr-FR"/>
        </w:rPr>
        <w:pict>
          <v:shape id="Image 3" o:spid="_x0000_i1029" type="#_x0000_t75" style="width:383.25pt;height:255pt;visibility:visible">
            <v:imagedata r:id="rId13" o:title="" croptop="2400f" cropbottom="3040f" cropright="-43f" gain="2" blacklevel="3932f"/>
          </v:shape>
        </w:pict>
      </w:r>
    </w:p>
    <w:p w:rsidR="00147745" w:rsidRDefault="00147745" w:rsidP="00396AE2">
      <w:pPr>
        <w:rPr>
          <w:rFonts w:ascii="Book Antiqua" w:hAnsi="Book Antiqua"/>
          <w:sz w:val="22"/>
          <w:szCs w:val="22"/>
        </w:rPr>
      </w:pPr>
    </w:p>
    <w:p w:rsidR="00147745" w:rsidRDefault="00147745" w:rsidP="00396AE2">
      <w:pPr>
        <w:rPr>
          <w:rFonts w:ascii="Book Antiqua" w:hAnsi="Book Antiqua"/>
          <w:sz w:val="22"/>
          <w:szCs w:val="22"/>
        </w:rPr>
      </w:pPr>
    </w:p>
    <w:p w:rsidR="00147745" w:rsidRDefault="00147745" w:rsidP="00396AE2">
      <w:pPr>
        <w:rPr>
          <w:rFonts w:ascii="Book Antiqua" w:hAnsi="Book Antiqua"/>
          <w:sz w:val="22"/>
          <w:szCs w:val="22"/>
        </w:rPr>
      </w:pPr>
    </w:p>
    <w:p w:rsidR="00147745" w:rsidRDefault="00147745" w:rsidP="00396AE2">
      <w:pPr>
        <w:rPr>
          <w:rFonts w:ascii="Book Antiqua" w:hAnsi="Book Antiqua"/>
          <w:sz w:val="22"/>
          <w:szCs w:val="22"/>
        </w:rPr>
      </w:pPr>
    </w:p>
    <w:p w:rsidR="00147745" w:rsidRDefault="00147745" w:rsidP="00396AE2">
      <w:pPr>
        <w:rPr>
          <w:rFonts w:ascii="Book Antiqua" w:hAnsi="Book Antiqua"/>
          <w:sz w:val="22"/>
          <w:szCs w:val="22"/>
        </w:rPr>
      </w:pPr>
    </w:p>
    <w:p w:rsidR="00147745" w:rsidRDefault="00147745" w:rsidP="00396AE2">
      <w:pPr>
        <w:rPr>
          <w:rFonts w:ascii="Book Antiqua" w:hAnsi="Book Antiqua"/>
          <w:sz w:val="22"/>
          <w:szCs w:val="22"/>
        </w:rPr>
      </w:pPr>
    </w:p>
    <w:p w:rsidR="00147745" w:rsidRDefault="00147745" w:rsidP="00396AE2">
      <w:pPr>
        <w:rPr>
          <w:rFonts w:ascii="Book Antiqua" w:hAnsi="Book Antiqua"/>
          <w:sz w:val="22"/>
          <w:szCs w:val="22"/>
        </w:rPr>
      </w:pPr>
    </w:p>
    <w:p w:rsidR="00147745" w:rsidRDefault="00147745" w:rsidP="00396AE2">
      <w:pPr>
        <w:rPr>
          <w:rFonts w:ascii="Book Antiqua" w:hAnsi="Book Antiqua"/>
          <w:sz w:val="22"/>
          <w:szCs w:val="22"/>
        </w:rPr>
      </w:pPr>
      <w:r>
        <w:rPr>
          <w:rFonts w:ascii="Book Antiqua" w:hAnsi="Book Antiqua"/>
          <w:sz w:val="22"/>
          <w:szCs w:val="22"/>
        </w:rPr>
        <w:t>Normalement 85% du paracétamol est pris en charge par le métabolisme de phase II avec une évolution vers des dérivés sulfatés ou glucoroné qui sont non toxiques. Mais une petite partie est métabolisée par une voie annexe qui passe par le CYTP 2A notamment et qui va conduire à un métabolite très réactif qui est pris en charge par le glutathion. Mais si l’organisme est dépassé dans ces mécanismes de défense et si la prise est trop importante ces métabolites réactifs vont s’accumuler et conduire à une toxicité.</w:t>
      </w:r>
    </w:p>
    <w:p w:rsidR="00147745" w:rsidRDefault="00147745" w:rsidP="00396AE2">
      <w:pPr>
        <w:rPr>
          <w:rFonts w:ascii="Book Antiqua" w:hAnsi="Book Antiqua"/>
          <w:sz w:val="22"/>
          <w:szCs w:val="22"/>
        </w:rPr>
      </w:pPr>
      <w:r>
        <w:rPr>
          <w:rFonts w:ascii="Book Antiqua" w:hAnsi="Book Antiqua"/>
          <w:sz w:val="22"/>
          <w:szCs w:val="22"/>
        </w:rPr>
        <w:t>Si on a une induction enzymatique</w:t>
      </w:r>
      <w:r w:rsidRPr="0036418D">
        <w:rPr>
          <w:rFonts w:ascii="Book Antiqua" w:hAnsi="Book Antiqua"/>
          <w:sz w:val="22"/>
          <w:szCs w:val="22"/>
        </w:rPr>
        <w:t xml:space="preserve"> </w:t>
      </w:r>
      <w:r>
        <w:rPr>
          <w:rFonts w:ascii="Book Antiqua" w:hAnsi="Book Antiqua"/>
          <w:sz w:val="22"/>
          <w:szCs w:val="22"/>
        </w:rPr>
        <w:t>du CYTP 2A, on va avoir une augmentation de la voie métabolique annexe.</w:t>
      </w:r>
    </w:p>
    <w:p w:rsidR="00147745" w:rsidRDefault="00147745" w:rsidP="00396AE2">
      <w:pPr>
        <w:rPr>
          <w:rFonts w:ascii="Book Antiqua" w:hAnsi="Book Antiqua"/>
          <w:sz w:val="22"/>
          <w:szCs w:val="22"/>
        </w:rPr>
      </w:pPr>
      <w:r>
        <w:rPr>
          <w:rFonts w:ascii="Book Antiqua" w:hAnsi="Book Antiqua"/>
          <w:sz w:val="22"/>
          <w:szCs w:val="22"/>
        </w:rPr>
        <w:t>Le pourcentage d’insuffisance hépatique aigue survenues aux Etats-Unis suite à une intoxication au paracétamol est passé de 28% en 1998 à 51% en 2003. C’est donc loin d’être négligeable.</w:t>
      </w:r>
    </w:p>
    <w:p w:rsidR="00147745" w:rsidRPr="00DF09C0" w:rsidRDefault="00147745" w:rsidP="00396AE2">
      <w:pPr>
        <w:rPr>
          <w:rFonts w:ascii="Book Antiqua" w:hAnsi="Book Antiqua"/>
          <w:sz w:val="22"/>
          <w:szCs w:val="22"/>
        </w:rPr>
      </w:pP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sidRPr="00013339">
        <w:rPr>
          <w:rFonts w:ascii="Book Antiqua" w:hAnsi="Book Antiqua"/>
          <w:noProof/>
          <w:sz w:val="22"/>
          <w:szCs w:val="22"/>
          <w:lang w:eastAsia="fr-FR"/>
        </w:rPr>
        <w:pict>
          <v:shape id="Image 4" o:spid="_x0000_i1030" type="#_x0000_t75" style="width:371.25pt;height:284.25pt;visibility:visible">
            <v:imagedata r:id="rId14" o:title="" gain="156038f" blacklevel="6554f"/>
          </v:shape>
        </w:pict>
      </w:r>
    </w:p>
    <w:p w:rsidR="00147745"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r w:rsidRPr="00013339">
        <w:rPr>
          <w:rFonts w:ascii="Book Antiqua" w:hAnsi="Book Antiqua"/>
          <w:noProof/>
          <w:sz w:val="22"/>
          <w:szCs w:val="22"/>
          <w:lang w:eastAsia="fr-FR"/>
        </w:rPr>
        <w:pict>
          <v:shape id="Image 5" o:spid="_x0000_i1031" type="#_x0000_t75" style="width:374.25pt;height:280.5pt;visibility:visible">
            <v:imagedata r:id="rId15" o:title="" gain="148945f" blacklevel="6554f"/>
          </v:shape>
        </w:pict>
      </w:r>
    </w:p>
    <w:p w:rsidR="00147745" w:rsidRPr="00DF09C0"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Pr="00EF4708" w:rsidRDefault="00147745" w:rsidP="00DF09C0">
      <w:pPr>
        <w:rPr>
          <w:rFonts w:ascii="Book Antiqua" w:hAnsi="Book Antiqua"/>
          <w:b/>
          <w:sz w:val="22"/>
          <w:szCs w:val="22"/>
        </w:rPr>
      </w:pPr>
      <w:r w:rsidRPr="00EF4708">
        <w:rPr>
          <w:rFonts w:ascii="Book Antiqua" w:hAnsi="Book Antiqua"/>
          <w:b/>
          <w:sz w:val="22"/>
          <w:szCs w:val="22"/>
        </w:rPr>
        <w:t xml:space="preserve">Mécanismes de protection : </w:t>
      </w:r>
    </w:p>
    <w:p w:rsidR="00147745" w:rsidRPr="00DF09C0" w:rsidRDefault="00147745" w:rsidP="006E2E01">
      <w:pPr>
        <w:rPr>
          <w:rFonts w:ascii="Book Antiqua" w:hAnsi="Book Antiqua"/>
          <w:sz w:val="22"/>
          <w:szCs w:val="22"/>
        </w:rPr>
      </w:pPr>
      <w:r w:rsidRPr="00DF09C0">
        <w:rPr>
          <w:rFonts w:ascii="Book Antiqua" w:hAnsi="Book Antiqua"/>
          <w:sz w:val="22"/>
          <w:szCs w:val="22"/>
        </w:rPr>
        <w:t xml:space="preserve">De nombreux systèmes de protection évitent l’hépato toxicité des médicaments : </w:t>
      </w:r>
    </w:p>
    <w:p w:rsidR="00147745" w:rsidRDefault="00147745" w:rsidP="006E2E01">
      <w:pPr>
        <w:pStyle w:val="ListParagraph"/>
        <w:numPr>
          <w:ilvl w:val="0"/>
          <w:numId w:val="1"/>
        </w:numPr>
        <w:jc w:val="left"/>
        <w:rPr>
          <w:rFonts w:ascii="Book Antiqua" w:hAnsi="Book Antiqua"/>
        </w:rPr>
      </w:pPr>
      <w:r w:rsidRPr="00DF09C0">
        <w:rPr>
          <w:rFonts w:ascii="Book Antiqua" w:hAnsi="Book Antiqua"/>
        </w:rPr>
        <w:t>Inactivation des CYT P450</w:t>
      </w:r>
    </w:p>
    <w:p w:rsidR="00147745" w:rsidRPr="00DF09C0" w:rsidRDefault="00147745" w:rsidP="006E2E01">
      <w:pPr>
        <w:pStyle w:val="ListParagraph"/>
        <w:numPr>
          <w:ilvl w:val="0"/>
          <w:numId w:val="1"/>
        </w:numPr>
        <w:jc w:val="left"/>
        <w:rPr>
          <w:rFonts w:ascii="Book Antiqua" w:hAnsi="Book Antiqua"/>
        </w:rPr>
      </w:pPr>
      <w:r>
        <w:rPr>
          <w:rFonts w:ascii="Book Antiqua" w:hAnsi="Book Antiqua"/>
        </w:rPr>
        <w:t>Les voies normales du métabolisme qui conduisent à détoxifier le médicament par des réactions de phase I et II</w:t>
      </w:r>
    </w:p>
    <w:p w:rsidR="00147745" w:rsidRPr="00DF09C0" w:rsidRDefault="00147745" w:rsidP="006E2E01">
      <w:pPr>
        <w:pStyle w:val="ListParagraph"/>
        <w:numPr>
          <w:ilvl w:val="0"/>
          <w:numId w:val="1"/>
        </w:numPr>
        <w:jc w:val="left"/>
        <w:rPr>
          <w:rFonts w:ascii="Book Antiqua" w:hAnsi="Book Antiqua"/>
        </w:rPr>
      </w:pPr>
      <w:r w:rsidRPr="00DF09C0">
        <w:rPr>
          <w:rFonts w:ascii="Book Antiqua" w:hAnsi="Book Antiqua"/>
        </w:rPr>
        <w:t>Epoxyde d’hydrolase</w:t>
      </w:r>
      <w:r>
        <w:rPr>
          <w:rFonts w:ascii="Book Antiqua" w:hAnsi="Book Antiqua"/>
        </w:rPr>
        <w:t xml:space="preserve"> (enzyme hépatique)</w:t>
      </w:r>
      <w:r w:rsidRPr="00DF09C0">
        <w:rPr>
          <w:rFonts w:ascii="Book Antiqua" w:hAnsi="Book Antiqua"/>
        </w:rPr>
        <w:t xml:space="preserve"> transform</w:t>
      </w:r>
      <w:r>
        <w:rPr>
          <w:rFonts w:ascii="Book Antiqua" w:hAnsi="Book Antiqua"/>
        </w:rPr>
        <w:t>ent les époxydes réactifs (radicaux libres) en di</w:t>
      </w:r>
      <w:r w:rsidRPr="00DF09C0">
        <w:rPr>
          <w:rFonts w:ascii="Book Antiqua" w:hAnsi="Book Antiqua"/>
        </w:rPr>
        <w:t>hydrodiols stables</w:t>
      </w:r>
    </w:p>
    <w:p w:rsidR="00147745" w:rsidRPr="00DF09C0" w:rsidRDefault="00147745" w:rsidP="006E2E01">
      <w:pPr>
        <w:pStyle w:val="ListParagraph"/>
        <w:numPr>
          <w:ilvl w:val="0"/>
          <w:numId w:val="1"/>
        </w:numPr>
        <w:jc w:val="left"/>
        <w:rPr>
          <w:rFonts w:ascii="Book Antiqua" w:hAnsi="Book Antiqua"/>
        </w:rPr>
      </w:pPr>
      <w:r w:rsidRPr="00DF09C0">
        <w:rPr>
          <w:rFonts w:ascii="Book Antiqua" w:hAnsi="Book Antiqua"/>
        </w:rPr>
        <w:t>Conjugaison au glutathion</w:t>
      </w:r>
    </w:p>
    <w:p w:rsidR="00147745" w:rsidRPr="00DF09C0" w:rsidRDefault="00147745" w:rsidP="006E2E01">
      <w:pPr>
        <w:pStyle w:val="ListParagraph"/>
        <w:numPr>
          <w:ilvl w:val="0"/>
          <w:numId w:val="1"/>
        </w:numPr>
        <w:jc w:val="left"/>
        <w:rPr>
          <w:rFonts w:ascii="Book Antiqua" w:hAnsi="Book Antiqua"/>
        </w:rPr>
      </w:pPr>
      <w:r w:rsidRPr="00DF09C0">
        <w:rPr>
          <w:rFonts w:ascii="Book Antiqua" w:hAnsi="Book Antiqua"/>
        </w:rPr>
        <w:t>Protection contre la péroxydation lipidique (</w:t>
      </w:r>
      <w:r>
        <w:rPr>
          <w:rFonts w:ascii="Book Antiqua" w:hAnsi="Book Antiqua"/>
        </w:rPr>
        <w:t>glutathion, glutathion peroxydase et transferase</w:t>
      </w:r>
      <w:r w:rsidRPr="00DF09C0">
        <w:rPr>
          <w:rFonts w:ascii="Book Antiqua" w:hAnsi="Book Antiqua"/>
        </w:rPr>
        <w:t>)</w:t>
      </w:r>
    </w:p>
    <w:p w:rsidR="00147745" w:rsidRPr="00DF09C0" w:rsidRDefault="00147745" w:rsidP="006E2E01">
      <w:pPr>
        <w:pStyle w:val="ListParagraph"/>
        <w:numPr>
          <w:ilvl w:val="0"/>
          <w:numId w:val="1"/>
        </w:numPr>
        <w:jc w:val="left"/>
        <w:rPr>
          <w:rFonts w:ascii="Book Antiqua" w:hAnsi="Book Antiqua"/>
        </w:rPr>
      </w:pPr>
      <w:r w:rsidRPr="00DF09C0">
        <w:rPr>
          <w:rFonts w:ascii="Book Antiqua" w:hAnsi="Book Antiqua"/>
        </w:rPr>
        <w:t xml:space="preserve">Protection des différentes formes instables de l’oxygène </w:t>
      </w:r>
      <w:r>
        <w:rPr>
          <w:rFonts w:ascii="Book Antiqua" w:hAnsi="Book Antiqua"/>
        </w:rPr>
        <w:t>(superoxyde dismutase et catalase)</w:t>
      </w:r>
    </w:p>
    <w:p w:rsidR="00147745" w:rsidRDefault="00147745" w:rsidP="006E2E01">
      <w:pPr>
        <w:rPr>
          <w:rFonts w:ascii="Book Antiqua" w:hAnsi="Book Antiqua"/>
          <w:sz w:val="22"/>
          <w:szCs w:val="22"/>
        </w:rPr>
      </w:pPr>
      <w:r>
        <w:rPr>
          <w:rFonts w:ascii="Book Antiqua" w:hAnsi="Book Antiqua"/>
          <w:sz w:val="22"/>
          <w:szCs w:val="22"/>
        </w:rPr>
        <w:t>Ces mécanismes sont globalement dépassés en cas d’intoxication trop importante.</w:t>
      </w: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Pr>
          <w:rFonts w:ascii="Book Antiqua" w:hAnsi="Book Antiqua"/>
          <w:sz w:val="22"/>
          <w:szCs w:val="22"/>
        </w:rPr>
        <w:t>Par opposition à la toxicité directe, on définit l’idiosyncrasie (= réaction immuno-allergique).</w:t>
      </w:r>
    </w:p>
    <w:p w:rsidR="00147745" w:rsidRPr="00DF09C0" w:rsidRDefault="00147745" w:rsidP="00DF09C0">
      <w:pPr>
        <w:rPr>
          <w:rFonts w:ascii="Book Antiqua" w:hAnsi="Book Antiqua"/>
          <w:sz w:val="22"/>
          <w:szCs w:val="22"/>
        </w:rPr>
      </w:pPr>
    </w:p>
    <w:p w:rsidR="00147745" w:rsidRPr="00DF09C0" w:rsidRDefault="00147745" w:rsidP="006E2E01">
      <w:pPr>
        <w:pStyle w:val="ListParagraph"/>
        <w:numPr>
          <w:ilvl w:val="0"/>
          <w:numId w:val="1"/>
        </w:numPr>
        <w:jc w:val="left"/>
        <w:rPr>
          <w:rFonts w:ascii="Book Antiqua" w:hAnsi="Book Antiqua"/>
        </w:rPr>
      </w:pPr>
      <w:r w:rsidRPr="00DF09C0">
        <w:rPr>
          <w:rFonts w:ascii="Book Antiqua" w:hAnsi="Book Antiqua"/>
        </w:rPr>
        <w:t>L’idiosyncrasie est non reproductible, semble indépendante de la posologie</w:t>
      </w:r>
      <w:r>
        <w:rPr>
          <w:rFonts w:ascii="Book Antiqua" w:hAnsi="Book Antiqua"/>
        </w:rPr>
        <w:t xml:space="preserve"> (n’est pas dose déppendante)</w:t>
      </w:r>
      <w:r w:rsidRPr="00DF09C0">
        <w:rPr>
          <w:rFonts w:ascii="Book Antiqua" w:hAnsi="Book Antiqua"/>
        </w:rPr>
        <w:t xml:space="preserve">, survient chez certains individus du faits de facteurs génétiques (polymorphisme génétique) ou acquis (hépatopathie </w:t>
      </w:r>
      <w:r>
        <w:rPr>
          <w:rFonts w:ascii="Book Antiqua" w:hAnsi="Book Antiqua"/>
        </w:rPr>
        <w:t>sous-jacente, dénutrition).</w:t>
      </w:r>
    </w:p>
    <w:p w:rsidR="00147745" w:rsidRPr="00DF09C0" w:rsidRDefault="00147745" w:rsidP="006E2E01">
      <w:pPr>
        <w:pStyle w:val="ListParagraph"/>
        <w:numPr>
          <w:ilvl w:val="0"/>
          <w:numId w:val="1"/>
        </w:numPr>
        <w:jc w:val="left"/>
        <w:rPr>
          <w:rFonts w:ascii="Book Antiqua" w:hAnsi="Book Antiqua"/>
        </w:rPr>
      </w:pPr>
      <w:r w:rsidRPr="00DF09C0">
        <w:rPr>
          <w:rFonts w:ascii="Book Antiqua" w:hAnsi="Book Antiqua"/>
        </w:rPr>
        <w:t>Les hépatites idiosyncrasique peuvent s’accompagner d’un tableau immuno-allergique associant fièvre, éruption cutanée et hyperéosinophilie</w:t>
      </w:r>
      <w:r>
        <w:rPr>
          <w:rFonts w:ascii="Book Antiqua" w:hAnsi="Book Antiqua"/>
        </w:rPr>
        <w:t xml:space="preserve"> (marqueurfidèle de ce type de réaction allergique)</w:t>
      </w:r>
    </w:p>
    <w:p w:rsidR="00147745" w:rsidRPr="00DF09C0" w:rsidRDefault="00147745" w:rsidP="006E2E01">
      <w:pPr>
        <w:pStyle w:val="ListParagraph"/>
        <w:numPr>
          <w:ilvl w:val="0"/>
          <w:numId w:val="1"/>
        </w:numPr>
        <w:jc w:val="left"/>
        <w:rPr>
          <w:rFonts w:ascii="Book Antiqua" w:hAnsi="Book Antiqua"/>
        </w:rPr>
      </w:pPr>
      <w:r w:rsidRPr="00DF09C0">
        <w:rPr>
          <w:rFonts w:ascii="Book Antiqua" w:hAnsi="Book Antiqua"/>
        </w:rPr>
        <w:t>Les hépatites immuno-allergiques sont imprévisible</w:t>
      </w:r>
      <w:r>
        <w:rPr>
          <w:rFonts w:ascii="Book Antiqua" w:hAnsi="Book Antiqua"/>
        </w:rPr>
        <w:t>s sauf si on sait que le patient est allergique à un médicament qu’il ne faut donc pas utiliser</w:t>
      </w:r>
      <w:r w:rsidRPr="00DF09C0">
        <w:rPr>
          <w:rFonts w:ascii="Book Antiqua" w:hAnsi="Book Antiqua"/>
        </w:rPr>
        <w:t>. Les médicaments ou métabolites</w:t>
      </w:r>
      <w:r>
        <w:rPr>
          <w:rFonts w:ascii="Book Antiqua" w:hAnsi="Book Antiqua"/>
        </w:rPr>
        <w:t xml:space="preserve"> vont se fixer à une protéine pour créer un néo-antigène qui induira une immunisation spécifique responsable  d’une atteinte hépatique.</w:t>
      </w:r>
      <w:r w:rsidRPr="00DF09C0">
        <w:rPr>
          <w:rFonts w:ascii="Book Antiqua" w:hAnsi="Book Antiqua"/>
        </w:rPr>
        <w:t xml:space="preserve"> </w:t>
      </w:r>
    </w:p>
    <w:p w:rsidR="00147745" w:rsidRPr="00DF09C0"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Pr>
          <w:rFonts w:ascii="Book Antiqua" w:hAnsi="Book Antiqua"/>
          <w:sz w:val="22"/>
          <w:szCs w:val="22"/>
        </w:rPr>
        <w:t>Impact génétique sur l’hépatotoxicité médicamenteuse Ex de l’AINS lumiracobix</w:t>
      </w:r>
    </w:p>
    <w:p w:rsidR="00147745" w:rsidRDefault="00147745" w:rsidP="00DF09C0">
      <w:pPr>
        <w:rPr>
          <w:rFonts w:ascii="Book Antiqua" w:hAnsi="Book Antiqua"/>
          <w:b/>
          <w:sz w:val="22"/>
          <w:szCs w:val="22"/>
        </w:rPr>
      </w:pPr>
      <w:r w:rsidRPr="004540E2">
        <w:rPr>
          <w:rFonts w:ascii="Book Antiqua" w:hAnsi="Book Antiqua"/>
          <w:b/>
          <w:sz w:val="22"/>
          <w:szCs w:val="22"/>
        </w:rPr>
        <w:t>Hépatites idiosyncrasiques</w:t>
      </w:r>
      <w:r>
        <w:rPr>
          <w:rFonts w:ascii="Book Antiqua" w:hAnsi="Book Antiqua"/>
          <w:sz w:val="22"/>
          <w:szCs w:val="22"/>
        </w:rPr>
        <w:t xml:space="preserve"> (avec ALAT &gt; 3X la normale) chez 2,5% des patients  =&gt; </w:t>
      </w:r>
      <w:r w:rsidRPr="004540E2">
        <w:rPr>
          <w:rFonts w:ascii="Book Antiqua" w:hAnsi="Book Antiqua"/>
          <w:b/>
          <w:sz w:val="22"/>
          <w:szCs w:val="22"/>
        </w:rPr>
        <w:t>retrait du marché</w:t>
      </w:r>
    </w:p>
    <w:p w:rsidR="00147745" w:rsidRDefault="00147745" w:rsidP="00DF09C0">
      <w:pPr>
        <w:rPr>
          <w:rFonts w:ascii="Book Antiqua" w:hAnsi="Book Antiqua"/>
          <w:sz w:val="22"/>
          <w:szCs w:val="22"/>
        </w:rPr>
      </w:pPr>
      <w:r>
        <w:rPr>
          <w:rFonts w:ascii="Book Antiqua" w:hAnsi="Book Antiqua"/>
          <w:sz w:val="22"/>
          <w:szCs w:val="22"/>
        </w:rPr>
        <w:t>Etudes génétiques : hépatotoxicité prédictible par présence de mutations dans le système HLA.</w:t>
      </w:r>
    </w:p>
    <w:p w:rsidR="00147745" w:rsidRPr="004540E2" w:rsidRDefault="00147745" w:rsidP="00DF09C0">
      <w:pPr>
        <w:rPr>
          <w:rFonts w:ascii="Book Antiqua" w:hAnsi="Book Antiqua"/>
          <w:sz w:val="22"/>
          <w:szCs w:val="22"/>
        </w:rPr>
      </w:pPr>
      <w:r>
        <w:rPr>
          <w:rFonts w:ascii="Book Antiqua" w:hAnsi="Book Antiqua"/>
          <w:sz w:val="22"/>
          <w:szCs w:val="22"/>
        </w:rPr>
        <w:t>HLADQA1 : valeur prédictive négative : 99%</w:t>
      </w:r>
    </w:p>
    <w:p w:rsidR="00147745" w:rsidRDefault="00147745" w:rsidP="00DF09C0">
      <w:pPr>
        <w:rPr>
          <w:rFonts w:ascii="Book Antiqua" w:hAnsi="Book Antiqua"/>
          <w:sz w:val="22"/>
          <w:szCs w:val="22"/>
        </w:rPr>
      </w:pPr>
    </w:p>
    <w:p w:rsidR="00147745" w:rsidRPr="004540E2" w:rsidRDefault="00147745" w:rsidP="00DF09C0">
      <w:pPr>
        <w:rPr>
          <w:rFonts w:ascii="Book Antiqua" w:hAnsi="Book Antiqua"/>
          <w:sz w:val="22"/>
          <w:szCs w:val="22"/>
        </w:rPr>
      </w:pPr>
      <w:r>
        <w:rPr>
          <w:rFonts w:ascii="Book Antiqua" w:hAnsi="Book Antiqua"/>
          <w:sz w:val="22"/>
          <w:szCs w:val="22"/>
        </w:rPr>
        <w:t>Ces polymorphismes sont présents principalement au niveau des cytochromes P450 mais également sur les transporteurs qui sont responsables du transfert des médicaments du sang vers l’hépatocyte et de l’hépatocyte vers les canalicules biliaires. Si ces transporteurs sont mutés, il y a des modifications du transport des médicaments vers l’hépatocyte.</w:t>
      </w:r>
    </w:p>
    <w:p w:rsidR="00147745" w:rsidRDefault="00147745" w:rsidP="00DF09C0">
      <w:pPr>
        <w:rPr>
          <w:rFonts w:ascii="Book Antiqua" w:hAnsi="Book Antiqua"/>
          <w:sz w:val="22"/>
          <w:szCs w:val="22"/>
        </w:rPr>
      </w:pPr>
    </w:p>
    <w:p w:rsidR="00147745" w:rsidRPr="004540E2" w:rsidRDefault="00147745" w:rsidP="00DF09C0">
      <w:pPr>
        <w:rPr>
          <w:rFonts w:ascii="Book Antiqua" w:hAnsi="Book Antiqua"/>
          <w:sz w:val="22"/>
          <w:szCs w:val="22"/>
        </w:rPr>
      </w:pPr>
      <w:r>
        <w:rPr>
          <w:rFonts w:ascii="Book Antiqua" w:hAnsi="Book Antiqua"/>
          <w:sz w:val="22"/>
          <w:szCs w:val="22"/>
        </w:rPr>
        <w:t>Mais il n’y a pas que les médicaments qui sont concernés :</w:t>
      </w:r>
    </w:p>
    <w:p w:rsidR="00147745" w:rsidRPr="00DF09C0" w:rsidRDefault="00147745" w:rsidP="006F65C4">
      <w:pPr>
        <w:rPr>
          <w:rFonts w:ascii="Book Antiqua" w:hAnsi="Book Antiqua"/>
          <w:sz w:val="22"/>
          <w:szCs w:val="22"/>
        </w:rPr>
      </w:pPr>
      <w:r w:rsidRPr="00DF09C0">
        <w:rPr>
          <w:rFonts w:ascii="Book Antiqua" w:hAnsi="Book Antiqua"/>
          <w:sz w:val="22"/>
          <w:szCs w:val="22"/>
        </w:rPr>
        <w:t>Hépatotoxicité de Tusanqi :</w:t>
      </w:r>
    </w:p>
    <w:p w:rsidR="00147745" w:rsidRPr="00DF09C0" w:rsidRDefault="00147745" w:rsidP="006F65C4">
      <w:pPr>
        <w:pStyle w:val="ListParagraph"/>
        <w:numPr>
          <w:ilvl w:val="0"/>
          <w:numId w:val="1"/>
        </w:numPr>
        <w:jc w:val="left"/>
        <w:rPr>
          <w:rFonts w:ascii="Book Antiqua" w:hAnsi="Book Antiqua"/>
        </w:rPr>
      </w:pPr>
      <w:r w:rsidRPr="00DF09C0">
        <w:rPr>
          <w:rFonts w:ascii="Book Antiqua" w:hAnsi="Book Antiqua"/>
        </w:rPr>
        <w:t>Préparation traditionnelle chinoise antalgique</w:t>
      </w:r>
    </w:p>
    <w:p w:rsidR="00147745" w:rsidRPr="00DF09C0" w:rsidRDefault="00147745" w:rsidP="006F65C4">
      <w:pPr>
        <w:pStyle w:val="ListParagraph"/>
        <w:numPr>
          <w:ilvl w:val="0"/>
          <w:numId w:val="1"/>
        </w:numPr>
        <w:jc w:val="left"/>
        <w:rPr>
          <w:rFonts w:ascii="Book Antiqua" w:hAnsi="Book Antiqua"/>
        </w:rPr>
      </w:pPr>
      <w:r w:rsidRPr="00DF09C0">
        <w:rPr>
          <w:rFonts w:ascii="Book Antiqua" w:hAnsi="Book Antiqua"/>
        </w:rPr>
        <w:t xml:space="preserve">Plus de 50 </w:t>
      </w:r>
      <w:r>
        <w:rPr>
          <w:rFonts w:ascii="Book Antiqua" w:hAnsi="Book Antiqua"/>
        </w:rPr>
        <w:t>c</w:t>
      </w:r>
      <w:r w:rsidRPr="00DF09C0">
        <w:rPr>
          <w:rFonts w:ascii="Book Antiqua" w:hAnsi="Book Antiqua"/>
        </w:rPr>
        <w:t>as de maladie véno-occlusion</w:t>
      </w:r>
    </w:p>
    <w:p w:rsidR="00147745" w:rsidRDefault="00147745" w:rsidP="006F65C4">
      <w:pPr>
        <w:pStyle w:val="ListParagraph"/>
        <w:numPr>
          <w:ilvl w:val="0"/>
          <w:numId w:val="1"/>
        </w:numPr>
        <w:jc w:val="left"/>
        <w:rPr>
          <w:rFonts w:ascii="Book Antiqua" w:hAnsi="Book Antiqua"/>
        </w:rPr>
      </w:pPr>
      <w:r w:rsidRPr="00DF09C0">
        <w:rPr>
          <w:rFonts w:ascii="Book Antiqua" w:hAnsi="Book Antiqua"/>
        </w:rPr>
        <w:t>Toxicité liée à confusion entre Gynora seget</w:t>
      </w:r>
      <w:r>
        <w:rPr>
          <w:rFonts w:ascii="Book Antiqua" w:hAnsi="Book Antiqua"/>
        </w:rPr>
        <w:t>u</w:t>
      </w:r>
      <w:r w:rsidRPr="00DF09C0">
        <w:rPr>
          <w:rFonts w:ascii="Book Antiqua" w:hAnsi="Book Antiqua"/>
        </w:rPr>
        <w:t>m et Sedum aizo</w:t>
      </w:r>
      <w:r>
        <w:rPr>
          <w:rFonts w:ascii="Book Antiqua" w:hAnsi="Book Antiqua"/>
        </w:rPr>
        <w:t>on</w:t>
      </w:r>
    </w:p>
    <w:p w:rsidR="00147745" w:rsidRPr="00DF09C0" w:rsidRDefault="00147745" w:rsidP="006F65C4">
      <w:pPr>
        <w:pStyle w:val="ListParagraph"/>
        <w:numPr>
          <w:ilvl w:val="0"/>
          <w:numId w:val="1"/>
        </w:numPr>
        <w:jc w:val="left"/>
        <w:rPr>
          <w:rFonts w:ascii="Book Antiqua" w:hAnsi="Book Antiqua"/>
        </w:rPr>
      </w:pPr>
      <w:r w:rsidRPr="00DF09C0">
        <w:rPr>
          <w:rFonts w:ascii="Book Antiqua" w:hAnsi="Book Antiqua"/>
        </w:rPr>
        <w:t>Gynora seget</w:t>
      </w:r>
      <w:r>
        <w:rPr>
          <w:rFonts w:ascii="Book Antiqua" w:hAnsi="Book Antiqua"/>
        </w:rPr>
        <w:t>u</w:t>
      </w:r>
      <w:r w:rsidRPr="00DF09C0">
        <w:rPr>
          <w:rFonts w:ascii="Book Antiqua" w:hAnsi="Book Antiqua"/>
        </w:rPr>
        <w:t>m</w:t>
      </w:r>
      <w:r>
        <w:rPr>
          <w:rFonts w:ascii="Book Antiqua" w:hAnsi="Book Antiqua"/>
        </w:rPr>
        <w:t xml:space="preserve"> contient des alcaloïdes de la pyrrolizidine toxiques et qui donnent des métabolites toxiques qui vont se fixer sur les protéines environnantes au sein des hépatocytes =&gt; diagnostique de certitude</w:t>
      </w: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Pr>
          <w:rFonts w:ascii="Book Antiqua" w:hAnsi="Book Antiqua"/>
          <w:sz w:val="22"/>
          <w:szCs w:val="22"/>
        </w:rPr>
        <w:t>Ex du transporteur UGT1A1 : il peut avoir un polymorphisme sur l’ 1A128 et ce génotype va avoir un rôle sur la concentration en bilirubine, sa conjugaison. Et si le patient prend un traitement contre le VIH, des anti- rétroviraux, selon les classes médicamenteuses on va avoir un impact sur le volume de bilirubine totale.</w:t>
      </w:r>
    </w:p>
    <w:p w:rsidR="00147745" w:rsidRDefault="00147745" w:rsidP="00DF09C0">
      <w:pPr>
        <w:rPr>
          <w:rFonts w:ascii="Book Antiqua" w:hAnsi="Book Antiqua"/>
          <w:sz w:val="22"/>
          <w:szCs w:val="22"/>
        </w:rPr>
      </w:pPr>
      <w:r>
        <w:rPr>
          <w:rFonts w:ascii="Book Antiqua" w:hAnsi="Book Antiqua"/>
          <w:sz w:val="22"/>
          <w:szCs w:val="22"/>
        </w:rPr>
        <w:t>Ces médicaments sont principalement l’atazanavir et l’atenavir qui sont 2 inhibiteurs de protéases et qui sont eux-mêmes métabolisés par cet UGT et donc il peut y avoir des phénomènes de compétition avec la bilirubine totale. On voit donc une augmentation de la toxicité de ces médicaments par inhibition du métabolisme.</w:t>
      </w:r>
    </w:p>
    <w:p w:rsidR="00147745" w:rsidRPr="00DF09C0"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Pr>
          <w:rFonts w:ascii="Book Antiqua" w:hAnsi="Book Antiqua"/>
          <w:sz w:val="22"/>
          <w:szCs w:val="22"/>
        </w:rPr>
        <w:t xml:space="preserve">Toujours dans des réactions d’hypersensibilité dans les médicaments contre le SIDA, l’abracavir donne naissance à un métabolite qui est toxique et provoque une réaction d’hypersensibilité retardée et on s’est aperçu que cette relation survenait essentiellement pour des gens qui avaient une mutation sur le gène HLAB5701. </w:t>
      </w:r>
    </w:p>
    <w:p w:rsidR="00147745" w:rsidRPr="00DF09C0" w:rsidRDefault="00147745" w:rsidP="00DF09C0">
      <w:pPr>
        <w:rPr>
          <w:rFonts w:ascii="Book Antiqua" w:hAnsi="Book Antiqua"/>
          <w:sz w:val="22"/>
          <w:szCs w:val="22"/>
        </w:rPr>
      </w:pPr>
      <w:r>
        <w:rPr>
          <w:rFonts w:ascii="Book Antiqua" w:hAnsi="Book Antiqua"/>
          <w:sz w:val="22"/>
          <w:szCs w:val="22"/>
        </w:rPr>
        <w:t>La recommandation était alors de screener tous les patients avant de les mettre sous abracavir pour voir s’ils avaient le gène muté ou non et cela a permis de réduire de moitié le risque d’avoir une réaction d’hypersensibilité.</w:t>
      </w:r>
    </w:p>
    <w:p w:rsidR="00147745" w:rsidRPr="00DF09C0"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p>
    <w:p w:rsidR="00147745" w:rsidRPr="001F17D3" w:rsidRDefault="00147745" w:rsidP="00DF09C0">
      <w:pPr>
        <w:rPr>
          <w:rFonts w:ascii="MV Boli" w:hAnsi="MV Boli" w:cs="MV Boli"/>
          <w:b/>
          <w:sz w:val="22"/>
          <w:szCs w:val="22"/>
        </w:rPr>
      </w:pPr>
      <w:r w:rsidRPr="001F17D3">
        <w:rPr>
          <w:rFonts w:ascii="MV Boli" w:hAnsi="MV Boli" w:cs="MV Boli"/>
          <w:b/>
          <w:sz w:val="22"/>
          <w:szCs w:val="22"/>
        </w:rPr>
        <w:t>ABSORPTION : la voie orale</w:t>
      </w:r>
    </w:p>
    <w:p w:rsidR="00147745" w:rsidRPr="00DF09C0"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r w:rsidRPr="00DF09C0">
        <w:rPr>
          <w:rFonts w:ascii="Book Antiqua" w:hAnsi="Book Antiqua"/>
          <w:sz w:val="22"/>
          <w:szCs w:val="22"/>
        </w:rPr>
        <w:t>Quand on donne un médicament, il est désintégré</w:t>
      </w:r>
      <w:r>
        <w:rPr>
          <w:rFonts w:ascii="Book Antiqua" w:hAnsi="Book Antiqua"/>
          <w:sz w:val="22"/>
          <w:szCs w:val="22"/>
        </w:rPr>
        <w:t xml:space="preserve"> puisqu’il doit être sous forme soluble pour pouvoir ensuite être résorbé</w:t>
      </w:r>
      <w:r w:rsidRPr="00DF09C0">
        <w:rPr>
          <w:rFonts w:ascii="Book Antiqua" w:hAnsi="Book Antiqua"/>
          <w:sz w:val="22"/>
          <w:szCs w:val="22"/>
        </w:rPr>
        <w:t>.</w:t>
      </w:r>
      <w:r>
        <w:rPr>
          <w:rFonts w:ascii="Book Antiqua" w:hAnsi="Book Antiqua"/>
          <w:sz w:val="22"/>
          <w:szCs w:val="22"/>
        </w:rPr>
        <w:t xml:space="preserve"> La vidange gastrique va le conduire dans l’intestin et il va ensuite passer à travers les entérocytes et se retrouver dans la veine porte </w:t>
      </w:r>
      <w:r w:rsidRPr="00DF09C0">
        <w:rPr>
          <w:rFonts w:ascii="Book Antiqua" w:hAnsi="Book Antiqua"/>
          <w:sz w:val="22"/>
          <w:szCs w:val="22"/>
        </w:rPr>
        <w:t xml:space="preserve"> </w:t>
      </w:r>
      <w:r>
        <w:rPr>
          <w:rFonts w:ascii="Book Antiqua" w:hAnsi="Book Antiqua"/>
          <w:sz w:val="22"/>
          <w:szCs w:val="22"/>
        </w:rPr>
        <w:t>pour aller au foie. Il peut alors se produire l’effet de premier passage hépatique.</w:t>
      </w:r>
    </w:p>
    <w:p w:rsidR="00147745" w:rsidRPr="00DF09C0"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sidRPr="00FE0B1D">
        <w:rPr>
          <w:rFonts w:ascii="Book Antiqua" w:hAnsi="Book Antiqua"/>
          <w:sz w:val="22"/>
          <w:szCs w:val="22"/>
        </w:rPr>
        <w:t>Effet</w:t>
      </w:r>
      <w:r w:rsidRPr="00DF09C0">
        <w:rPr>
          <w:rFonts w:ascii="Book Antiqua" w:hAnsi="Book Antiqua"/>
          <w:sz w:val="22"/>
          <w:szCs w:val="22"/>
        </w:rPr>
        <w:t xml:space="preserve"> de premier passage</w:t>
      </w:r>
      <w:r>
        <w:rPr>
          <w:rFonts w:ascii="Book Antiqua" w:hAnsi="Book Antiqua"/>
          <w:sz w:val="22"/>
          <w:szCs w:val="22"/>
        </w:rPr>
        <w:t xml:space="preserve"> </w:t>
      </w:r>
      <w:r w:rsidRPr="00DF09C0">
        <w:rPr>
          <w:rFonts w:ascii="Book Antiqua" w:hAnsi="Book Antiqua"/>
          <w:sz w:val="22"/>
          <w:szCs w:val="22"/>
        </w:rPr>
        <w:t xml:space="preserve">: </w:t>
      </w:r>
    </w:p>
    <w:p w:rsidR="00147745" w:rsidRPr="00667BCF" w:rsidRDefault="00147745" w:rsidP="00667BCF">
      <w:pPr>
        <w:rPr>
          <w:rFonts w:ascii="Book Antiqua" w:hAnsi="Book Antiqua"/>
          <w:sz w:val="22"/>
          <w:szCs w:val="22"/>
        </w:rPr>
      </w:pPr>
      <w:r w:rsidRPr="00667BCF">
        <w:rPr>
          <w:rFonts w:ascii="Book Antiqua" w:hAnsi="Book Antiqua"/>
          <w:sz w:val="22"/>
          <w:szCs w:val="22"/>
        </w:rPr>
        <w:t>Au départ on administre le médicament qui correspond à 100% de la dose.</w:t>
      </w:r>
    </w:p>
    <w:p w:rsidR="00147745" w:rsidRPr="00DF09C0" w:rsidRDefault="00147745" w:rsidP="00667BCF">
      <w:pPr>
        <w:pStyle w:val="ListParagraph"/>
        <w:numPr>
          <w:ilvl w:val="0"/>
          <w:numId w:val="1"/>
        </w:numPr>
        <w:jc w:val="left"/>
        <w:rPr>
          <w:rFonts w:ascii="Book Antiqua" w:hAnsi="Book Antiqua"/>
        </w:rPr>
      </w:pPr>
      <w:r w:rsidRPr="00DF09C0">
        <w:rPr>
          <w:rFonts w:ascii="Book Antiqua" w:hAnsi="Book Antiqua"/>
        </w:rPr>
        <w:t>40% reste dans le tractus digestif</w:t>
      </w:r>
    </w:p>
    <w:p w:rsidR="00147745" w:rsidRPr="00DF09C0" w:rsidRDefault="00147745" w:rsidP="00667BCF">
      <w:pPr>
        <w:pStyle w:val="ListParagraph"/>
        <w:numPr>
          <w:ilvl w:val="0"/>
          <w:numId w:val="1"/>
        </w:numPr>
        <w:jc w:val="left"/>
        <w:rPr>
          <w:rFonts w:ascii="Book Antiqua" w:hAnsi="Book Antiqua"/>
        </w:rPr>
      </w:pPr>
      <w:r w:rsidRPr="00DF09C0">
        <w:rPr>
          <w:rFonts w:ascii="Book Antiqua" w:hAnsi="Book Antiqua"/>
        </w:rPr>
        <w:t>60% passe dans la circulation sanguine</w:t>
      </w:r>
    </w:p>
    <w:p w:rsidR="00147745" w:rsidRPr="00DF09C0" w:rsidRDefault="00147745" w:rsidP="00667BCF">
      <w:pPr>
        <w:pStyle w:val="ListParagraph"/>
        <w:numPr>
          <w:ilvl w:val="0"/>
          <w:numId w:val="1"/>
        </w:numPr>
        <w:jc w:val="left"/>
        <w:rPr>
          <w:rFonts w:ascii="Book Antiqua" w:hAnsi="Book Antiqua"/>
        </w:rPr>
      </w:pPr>
      <w:r w:rsidRPr="00DF09C0">
        <w:rPr>
          <w:rFonts w:ascii="Book Antiqua" w:hAnsi="Book Antiqua"/>
        </w:rPr>
        <w:t>A travers les cellules de l’intestin, perte de 10%</w:t>
      </w:r>
    </w:p>
    <w:p w:rsidR="00147745" w:rsidRPr="00DF09C0" w:rsidRDefault="00147745" w:rsidP="00667BCF">
      <w:pPr>
        <w:pStyle w:val="ListParagraph"/>
        <w:numPr>
          <w:ilvl w:val="0"/>
          <w:numId w:val="1"/>
        </w:numPr>
        <w:jc w:val="left"/>
        <w:rPr>
          <w:rFonts w:ascii="Book Antiqua" w:hAnsi="Book Antiqua"/>
        </w:rPr>
      </w:pPr>
      <w:r>
        <w:rPr>
          <w:rFonts w:ascii="Book Antiqua" w:hAnsi="Book Antiqua"/>
        </w:rPr>
        <w:t>50% du</w:t>
      </w:r>
      <w:r w:rsidRPr="00DF09C0">
        <w:rPr>
          <w:rFonts w:ascii="Book Antiqua" w:hAnsi="Book Antiqua"/>
        </w:rPr>
        <w:t xml:space="preserve"> méd</w:t>
      </w:r>
      <w:r>
        <w:rPr>
          <w:rFonts w:ascii="Book Antiqua" w:hAnsi="Book Antiqua"/>
        </w:rPr>
        <w:t>icament</w:t>
      </w:r>
      <w:r w:rsidRPr="00DF09C0">
        <w:rPr>
          <w:rFonts w:ascii="Book Antiqua" w:hAnsi="Book Antiqua"/>
        </w:rPr>
        <w:t xml:space="preserve"> arrive dans la veine porte</w:t>
      </w:r>
    </w:p>
    <w:p w:rsidR="00147745" w:rsidRPr="00DF09C0" w:rsidRDefault="00147745" w:rsidP="00667BCF">
      <w:pPr>
        <w:pStyle w:val="ListParagraph"/>
        <w:numPr>
          <w:ilvl w:val="0"/>
          <w:numId w:val="1"/>
        </w:numPr>
        <w:jc w:val="left"/>
        <w:rPr>
          <w:rFonts w:ascii="Book Antiqua" w:hAnsi="Book Antiqua"/>
        </w:rPr>
      </w:pPr>
      <w:r>
        <w:rPr>
          <w:rFonts w:ascii="Book Antiqua" w:hAnsi="Book Antiqua"/>
        </w:rPr>
        <w:t>S’il y a une métabolisation intense</w:t>
      </w:r>
      <w:r w:rsidRPr="00DF09C0">
        <w:rPr>
          <w:rFonts w:ascii="Book Antiqua" w:hAnsi="Book Antiqua"/>
        </w:rPr>
        <w:t xml:space="preserve"> à 40%</w:t>
      </w:r>
    </w:p>
    <w:p w:rsidR="00147745" w:rsidRPr="00DF09C0" w:rsidRDefault="00147745" w:rsidP="00667BCF">
      <w:pPr>
        <w:pStyle w:val="ListParagraph"/>
        <w:numPr>
          <w:ilvl w:val="0"/>
          <w:numId w:val="1"/>
        </w:numPr>
        <w:jc w:val="left"/>
        <w:rPr>
          <w:rFonts w:ascii="Book Antiqua" w:hAnsi="Book Antiqua"/>
        </w:rPr>
      </w:pPr>
      <w:r w:rsidRPr="00DF09C0">
        <w:rPr>
          <w:rFonts w:ascii="Book Antiqua" w:hAnsi="Book Antiqua"/>
        </w:rPr>
        <w:t xml:space="preserve">Il ne reste plus que </w:t>
      </w:r>
      <w:r w:rsidRPr="00667BCF">
        <w:rPr>
          <w:rFonts w:ascii="Book Antiqua" w:hAnsi="Book Antiqua"/>
          <w:b/>
        </w:rPr>
        <w:t>10% dans la circulation générale.</w:t>
      </w:r>
    </w:p>
    <w:p w:rsidR="00147745" w:rsidRPr="00DF09C0" w:rsidRDefault="00147745" w:rsidP="00667BCF">
      <w:pPr>
        <w:pStyle w:val="ListParagraph"/>
        <w:numPr>
          <w:ilvl w:val="0"/>
          <w:numId w:val="3"/>
        </w:numPr>
        <w:jc w:val="left"/>
        <w:rPr>
          <w:rFonts w:ascii="Book Antiqua" w:hAnsi="Book Antiqua"/>
        </w:rPr>
      </w:pPr>
      <w:r w:rsidRPr="00DF09C0">
        <w:rPr>
          <w:rFonts w:ascii="Book Antiqua" w:hAnsi="Book Antiqua"/>
        </w:rPr>
        <w:t>Utilisation d’une dose de charge pour saturer ses</w:t>
      </w:r>
      <w:r>
        <w:rPr>
          <w:rFonts w:ascii="Book Antiqua" w:hAnsi="Book Antiqua"/>
        </w:rPr>
        <w:t xml:space="preserve"> </w:t>
      </w:r>
      <w:r w:rsidRPr="00DF09C0">
        <w:rPr>
          <w:rFonts w:ascii="Book Antiqua" w:hAnsi="Book Antiqua"/>
        </w:rPr>
        <w:t>mécanismes</w:t>
      </w:r>
      <w:r>
        <w:rPr>
          <w:rFonts w:ascii="Book Antiqua" w:hAnsi="Book Antiqua"/>
        </w:rPr>
        <w:t xml:space="preserve"> pour contrer l’hypercaptation hépatique</w:t>
      </w:r>
      <w:r w:rsidRPr="00DF09C0">
        <w:rPr>
          <w:rFonts w:ascii="Book Antiqua" w:hAnsi="Book Antiqua"/>
        </w:rPr>
        <w:t>.</w:t>
      </w:r>
    </w:p>
    <w:p w:rsidR="00147745" w:rsidRPr="00DF09C0"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r w:rsidRPr="00667BCF">
        <w:rPr>
          <w:rFonts w:ascii="Book Antiqua" w:hAnsi="Book Antiqua"/>
          <w:b/>
          <w:sz w:val="22"/>
          <w:szCs w:val="22"/>
        </w:rPr>
        <w:t>Biodisponibilité</w:t>
      </w:r>
      <w:r>
        <w:rPr>
          <w:rFonts w:ascii="Book Antiqua" w:hAnsi="Book Antiqua"/>
          <w:sz w:val="22"/>
          <w:szCs w:val="22"/>
        </w:rPr>
        <w:t xml:space="preserve"> pour la voie orale</w:t>
      </w:r>
      <w:r w:rsidRPr="00DF09C0">
        <w:rPr>
          <w:rFonts w:ascii="Book Antiqua" w:hAnsi="Book Antiqua"/>
          <w:sz w:val="22"/>
          <w:szCs w:val="22"/>
        </w:rPr>
        <w:t> :</w:t>
      </w:r>
    </w:p>
    <w:p w:rsidR="00147745" w:rsidRPr="00667BCF" w:rsidRDefault="00147745" w:rsidP="00DF09C0">
      <w:pPr>
        <w:rPr>
          <w:rFonts w:ascii="Book Antiqua" w:hAnsi="Book Antiqua"/>
          <w:sz w:val="22"/>
          <w:szCs w:val="22"/>
        </w:rPr>
      </w:pPr>
      <w:r w:rsidRPr="00667BCF">
        <w:rPr>
          <w:rFonts w:ascii="Book Antiqua" w:hAnsi="Book Antiqua"/>
          <w:sz w:val="22"/>
          <w:szCs w:val="22"/>
        </w:rPr>
        <w:t xml:space="preserve">F = fabs x Fg x Fh = 0,6*0,83*0,2 = </w:t>
      </w:r>
      <w:r w:rsidRPr="00667BCF">
        <w:rPr>
          <w:rFonts w:ascii="Book Antiqua" w:hAnsi="Book Antiqua"/>
          <w:b/>
          <w:sz w:val="22"/>
          <w:szCs w:val="22"/>
        </w:rPr>
        <w:t xml:space="preserve">0,1  </w:t>
      </w:r>
      <w:r w:rsidRPr="00667BCF">
        <w:rPr>
          <w:rFonts w:ascii="Book Antiqua" w:hAnsi="Book Antiqua"/>
          <w:sz w:val="22"/>
          <w:szCs w:val="22"/>
        </w:rPr>
        <w:t>(très faible</w:t>
      </w:r>
      <w:r>
        <w:rPr>
          <w:rFonts w:ascii="Book Antiqua" w:hAnsi="Book Antiqua"/>
          <w:sz w:val="22"/>
          <w:szCs w:val="22"/>
        </w:rPr>
        <w:t>, on administre alors le médicament par une autre voie)</w:t>
      </w:r>
    </w:p>
    <w:p w:rsidR="00147745" w:rsidRPr="00667BCF"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r>
        <w:rPr>
          <w:rFonts w:ascii="Book Antiqua" w:hAnsi="Book Antiqua"/>
          <w:sz w:val="22"/>
          <w:szCs w:val="22"/>
        </w:rPr>
        <w:t>On peut aussi observer un autre cycle, qui est le</w:t>
      </w:r>
      <w:r w:rsidRPr="00DF09C0">
        <w:rPr>
          <w:rFonts w:ascii="Book Antiqua" w:hAnsi="Book Antiqua"/>
          <w:sz w:val="22"/>
          <w:szCs w:val="22"/>
        </w:rPr>
        <w:t xml:space="preserve"> </w:t>
      </w:r>
      <w:r w:rsidRPr="00667BCF">
        <w:rPr>
          <w:rFonts w:ascii="Book Antiqua" w:hAnsi="Book Antiqua"/>
          <w:b/>
          <w:sz w:val="22"/>
          <w:szCs w:val="22"/>
        </w:rPr>
        <w:t>cycle entéro-hépatique</w:t>
      </w:r>
      <w:r w:rsidRPr="00DF09C0">
        <w:rPr>
          <w:rFonts w:ascii="Book Antiqua" w:hAnsi="Book Antiqua"/>
          <w:sz w:val="22"/>
          <w:szCs w:val="22"/>
        </w:rPr>
        <w:t xml:space="preserve"> : </w:t>
      </w:r>
    </w:p>
    <w:p w:rsidR="00147745" w:rsidRPr="00DF09C0" w:rsidRDefault="00147745" w:rsidP="00DF09C0">
      <w:pPr>
        <w:rPr>
          <w:rFonts w:ascii="Book Antiqua" w:hAnsi="Book Antiqua"/>
          <w:sz w:val="22"/>
          <w:szCs w:val="22"/>
        </w:rPr>
      </w:pPr>
      <w:r w:rsidRPr="00667BCF">
        <w:rPr>
          <w:rFonts w:ascii="Book Antiqua" w:hAnsi="Book Antiqua"/>
          <w:b/>
          <w:sz w:val="22"/>
          <w:szCs w:val="22"/>
        </w:rPr>
        <w:t>Excrétion dans la bile de certains médicaments</w:t>
      </w:r>
      <w:r w:rsidRPr="00DF09C0">
        <w:rPr>
          <w:rFonts w:ascii="Book Antiqua" w:hAnsi="Book Antiqua"/>
          <w:sz w:val="22"/>
          <w:szCs w:val="22"/>
        </w:rPr>
        <w:t xml:space="preserve"> (ex : rifampicine) </w:t>
      </w:r>
      <w:r w:rsidRPr="00DF09C0">
        <w:rPr>
          <w:rFonts w:ascii="Book Antiqua" w:hAnsi="Book Antiqua"/>
          <w:sz w:val="22"/>
          <w:szCs w:val="22"/>
        </w:rPr>
        <w:sym w:font="Wingdings" w:char="F0E8"/>
      </w:r>
      <w:r w:rsidRPr="00DF09C0">
        <w:rPr>
          <w:rFonts w:ascii="Book Antiqua" w:hAnsi="Book Antiqua"/>
          <w:sz w:val="22"/>
          <w:szCs w:val="22"/>
        </w:rPr>
        <w:t xml:space="preserve"> concerne les médicaments polaires et les médicaments conjugués</w:t>
      </w:r>
      <w:r>
        <w:rPr>
          <w:rFonts w:ascii="Book Antiqua" w:hAnsi="Book Antiqua"/>
          <w:sz w:val="22"/>
          <w:szCs w:val="22"/>
        </w:rPr>
        <w:t>. Les médicaments passent par le foie, sont excrétés par les canalicules biliaires et reviennent dans l’intestin. Ils sont alors susceptibles d’être réabsorbés de nouveau au niveau hépatique : c’est le cycle entéro- hépatique qui a pour effet de prolonger la durée de persistance du médicament.</w:t>
      </w:r>
    </w:p>
    <w:p w:rsidR="00147745" w:rsidRPr="00DF09C0" w:rsidRDefault="00147745" w:rsidP="00DF09C0">
      <w:pPr>
        <w:rPr>
          <w:rFonts w:ascii="Book Antiqua" w:hAnsi="Book Antiqua"/>
          <w:sz w:val="22"/>
          <w:szCs w:val="22"/>
        </w:rPr>
      </w:pPr>
      <w:r>
        <w:rPr>
          <w:noProof/>
          <w:lang w:eastAsia="fr-FR"/>
        </w:rPr>
        <w:pict>
          <v:shape id="_x0000_s1032" type="#_x0000_t75" style="position:absolute;margin-left:1.25pt;margin-top:-.2pt;width:131.95pt;height:146.25pt;z-index:251659776;visibility:visible">
            <v:imagedata r:id="rId16" o:title="" gain="2" blacklevel="6554f"/>
            <w10:wrap type="square"/>
          </v:shape>
        </w:pict>
      </w:r>
    </w:p>
    <w:p w:rsidR="00147745" w:rsidRDefault="00147745" w:rsidP="00DF09C0">
      <w:pPr>
        <w:rPr>
          <w:rFonts w:ascii="Book Antiqua" w:hAnsi="Book Antiqua"/>
          <w:sz w:val="22"/>
          <w:szCs w:val="22"/>
        </w:rPr>
      </w:pPr>
      <w:r w:rsidRPr="00DF09C0">
        <w:rPr>
          <w:rFonts w:ascii="Book Antiqua" w:hAnsi="Book Antiqua"/>
          <w:sz w:val="22"/>
          <w:szCs w:val="22"/>
        </w:rPr>
        <w:t>Médicaments conjugué : conjugaison d’un groupement chimique du médic</w:t>
      </w:r>
      <w:r>
        <w:rPr>
          <w:rFonts w:ascii="Book Antiqua" w:hAnsi="Book Antiqua"/>
          <w:sz w:val="22"/>
          <w:szCs w:val="22"/>
        </w:rPr>
        <w:t>am</w:t>
      </w:r>
      <w:r w:rsidRPr="00DF09C0">
        <w:rPr>
          <w:rFonts w:ascii="Book Antiqua" w:hAnsi="Book Antiqua"/>
          <w:sz w:val="22"/>
          <w:szCs w:val="22"/>
        </w:rPr>
        <w:t>ent ave</w:t>
      </w:r>
      <w:r>
        <w:rPr>
          <w:rFonts w:ascii="Book Antiqua" w:hAnsi="Book Antiqua"/>
          <w:sz w:val="22"/>
          <w:szCs w:val="22"/>
        </w:rPr>
        <w:t>c</w:t>
      </w:r>
      <w:r w:rsidRPr="00DF09C0">
        <w:rPr>
          <w:rFonts w:ascii="Book Antiqua" w:hAnsi="Book Antiqua"/>
          <w:sz w:val="22"/>
          <w:szCs w:val="22"/>
        </w:rPr>
        <w:t xml:space="preserve"> une molécule endogène (acide g</w:t>
      </w:r>
      <w:r>
        <w:rPr>
          <w:rFonts w:ascii="Book Antiqua" w:hAnsi="Book Antiqua"/>
          <w:sz w:val="22"/>
          <w:szCs w:val="22"/>
        </w:rPr>
        <w:t>l</w:t>
      </w:r>
      <w:r w:rsidRPr="00DF09C0">
        <w:rPr>
          <w:rFonts w:ascii="Book Antiqua" w:hAnsi="Book Antiqua"/>
          <w:sz w:val="22"/>
          <w:szCs w:val="22"/>
        </w:rPr>
        <w:t>ucuron</w:t>
      </w:r>
      <w:r>
        <w:rPr>
          <w:rFonts w:ascii="Book Antiqua" w:hAnsi="Book Antiqua"/>
          <w:sz w:val="22"/>
          <w:szCs w:val="22"/>
        </w:rPr>
        <w:t xml:space="preserve">ique, sulfate, acétyl) </w:t>
      </w:r>
      <w:r w:rsidRPr="00DF09C0">
        <w:rPr>
          <w:rFonts w:ascii="Book Antiqua" w:hAnsi="Book Antiqua"/>
          <w:sz w:val="22"/>
          <w:szCs w:val="22"/>
        </w:rPr>
        <w:sym w:font="Wingdings" w:char="F0E8"/>
      </w:r>
      <w:r w:rsidRPr="00667BCF">
        <w:rPr>
          <w:rFonts w:ascii="Book Antiqua" w:hAnsi="Book Antiqua"/>
          <w:sz w:val="22"/>
          <w:szCs w:val="22"/>
        </w:rPr>
        <w:t xml:space="preserve">complexe plus </w:t>
      </w:r>
      <w:r>
        <w:rPr>
          <w:rFonts w:ascii="Book Antiqua" w:hAnsi="Book Antiqua"/>
          <w:sz w:val="22"/>
          <w:szCs w:val="22"/>
        </w:rPr>
        <w:t xml:space="preserve">polaire et </w:t>
      </w:r>
      <w:r w:rsidRPr="00667BCF">
        <w:rPr>
          <w:rFonts w:ascii="Book Antiqua" w:hAnsi="Book Antiqua"/>
          <w:sz w:val="22"/>
          <w:szCs w:val="22"/>
        </w:rPr>
        <w:t>soluble</w:t>
      </w:r>
      <w:r>
        <w:rPr>
          <w:rFonts w:ascii="Book Antiqua" w:hAnsi="Book Antiqua"/>
          <w:sz w:val="22"/>
          <w:szCs w:val="22"/>
        </w:rPr>
        <w:t xml:space="preserve"> </w:t>
      </w:r>
      <w:r w:rsidRPr="00DF09C0">
        <w:rPr>
          <w:rFonts w:ascii="Book Antiqua" w:hAnsi="Book Antiqua"/>
          <w:sz w:val="22"/>
          <w:szCs w:val="22"/>
        </w:rPr>
        <w:sym w:font="Wingdings" w:char="F0E8"/>
      </w:r>
      <w:r w:rsidRPr="00194808">
        <w:rPr>
          <w:rFonts w:ascii="Book Antiqua" w:hAnsi="Book Antiqua"/>
          <w:sz w:val="22"/>
          <w:szCs w:val="22"/>
        </w:rPr>
        <w:t xml:space="preserve"> élimination facilitée</w:t>
      </w: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Pr>
          <w:rFonts w:ascii="Book Antiqua" w:hAnsi="Book Antiqua"/>
          <w:sz w:val="22"/>
          <w:szCs w:val="22"/>
        </w:rPr>
        <w:t>Sur les courbes pharmacocinétiques au lieu d’avoir une élimination qui est régulière, on a des petits retours systématiques aves des remontées, comme si on avait ré administré un peu de médicament.</w:t>
      </w: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Pr="00194808"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p>
    <w:p w:rsidR="00147745" w:rsidRPr="001F17D3" w:rsidRDefault="00147745" w:rsidP="00DF09C0">
      <w:pPr>
        <w:rPr>
          <w:rFonts w:ascii="MV Boli" w:hAnsi="MV Boli" w:cs="MV Boli"/>
          <w:b/>
          <w:sz w:val="22"/>
          <w:szCs w:val="22"/>
        </w:rPr>
      </w:pPr>
      <w:r w:rsidRPr="001F17D3">
        <w:rPr>
          <w:rFonts w:ascii="MV Boli" w:hAnsi="MV Boli" w:cs="MV Boli"/>
          <w:b/>
          <w:sz w:val="22"/>
          <w:szCs w:val="22"/>
        </w:rPr>
        <w:t xml:space="preserve">ELIMINATION : clairance hépatique </w:t>
      </w:r>
    </w:p>
    <w:p w:rsidR="00147745" w:rsidRPr="00DF09C0" w:rsidRDefault="00147745" w:rsidP="008B6F2F">
      <w:pPr>
        <w:rPr>
          <w:rFonts w:ascii="Book Antiqua" w:hAnsi="Book Antiqua"/>
          <w:sz w:val="22"/>
          <w:szCs w:val="22"/>
        </w:rPr>
      </w:pPr>
      <w:r w:rsidRPr="00DF09C0">
        <w:rPr>
          <w:rFonts w:ascii="Book Antiqua" w:hAnsi="Book Antiqua"/>
          <w:sz w:val="22"/>
          <w:szCs w:val="22"/>
        </w:rPr>
        <w:t>Paramètre représentant la cap</w:t>
      </w:r>
      <w:r>
        <w:rPr>
          <w:rFonts w:ascii="Book Antiqua" w:hAnsi="Book Antiqua"/>
          <w:sz w:val="22"/>
          <w:szCs w:val="22"/>
        </w:rPr>
        <w:t>a</w:t>
      </w:r>
      <w:r w:rsidRPr="00DF09C0">
        <w:rPr>
          <w:rFonts w:ascii="Book Antiqua" w:hAnsi="Book Antiqua"/>
          <w:sz w:val="22"/>
          <w:szCs w:val="22"/>
        </w:rPr>
        <w:t>cité d’épuration du sang </w:t>
      </w:r>
      <w:r>
        <w:rPr>
          <w:rFonts w:ascii="Book Antiqua" w:hAnsi="Book Antiqua"/>
          <w:sz w:val="22"/>
          <w:szCs w:val="22"/>
        </w:rPr>
        <w:t xml:space="preserve"> d’un xénobiotique</w:t>
      </w:r>
      <w:r w:rsidRPr="00DF09C0">
        <w:rPr>
          <w:rFonts w:ascii="Book Antiqua" w:hAnsi="Book Antiqua"/>
          <w:sz w:val="22"/>
          <w:szCs w:val="22"/>
        </w:rPr>
        <w:t xml:space="preserve">: </w:t>
      </w:r>
    </w:p>
    <w:p w:rsidR="00147745" w:rsidRDefault="00147745" w:rsidP="008B6F2F">
      <w:pPr>
        <w:pStyle w:val="ListParagraph"/>
        <w:numPr>
          <w:ilvl w:val="0"/>
          <w:numId w:val="1"/>
        </w:numPr>
        <w:jc w:val="left"/>
        <w:rPr>
          <w:rFonts w:ascii="Book Antiqua" w:hAnsi="Book Antiqua"/>
        </w:rPr>
      </w:pPr>
      <w:r w:rsidRPr="00DF09C0">
        <w:rPr>
          <w:rFonts w:ascii="Book Antiqua" w:hAnsi="Book Antiqua"/>
        </w:rPr>
        <w:t xml:space="preserve">Par un organe particulier (rein, foie, autres) : Cl hep </w:t>
      </w:r>
      <w:r>
        <w:rPr>
          <w:rFonts w:ascii="Book Antiqua" w:hAnsi="Book Antiqua"/>
        </w:rPr>
        <w:t>= Cl (métabolisme) + Cl (excrétion biliaire)</w:t>
      </w:r>
    </w:p>
    <w:p w:rsidR="00147745" w:rsidRPr="00DF09C0" w:rsidRDefault="00147745" w:rsidP="008B6F2F">
      <w:pPr>
        <w:pStyle w:val="ListParagraph"/>
        <w:numPr>
          <w:ilvl w:val="0"/>
          <w:numId w:val="1"/>
        </w:numPr>
        <w:jc w:val="left"/>
        <w:rPr>
          <w:rFonts w:ascii="Book Antiqua" w:hAnsi="Book Antiqua"/>
        </w:rPr>
      </w:pPr>
      <w:r>
        <w:rPr>
          <w:rFonts w:ascii="Book Antiqua" w:hAnsi="Book Antiqua"/>
        </w:rPr>
        <w:t>Ou par l’organisme entier  clairance systémique: Cl totale = Cl hep + Cl rein + Cl autres</w:t>
      </w:r>
    </w:p>
    <w:p w:rsidR="00147745" w:rsidRPr="00DF09C0" w:rsidRDefault="00147745" w:rsidP="008B6F2F">
      <w:pPr>
        <w:rPr>
          <w:rFonts w:ascii="Book Antiqua" w:hAnsi="Book Antiqua"/>
          <w:sz w:val="22"/>
          <w:szCs w:val="22"/>
        </w:rPr>
      </w:pPr>
    </w:p>
    <w:p w:rsidR="00147745" w:rsidRPr="008B6F2F" w:rsidRDefault="00147745" w:rsidP="008B6F2F">
      <w:pPr>
        <w:rPr>
          <w:rFonts w:ascii="Book Antiqua" w:hAnsi="Book Antiqua"/>
        </w:rPr>
      </w:pPr>
      <w:r w:rsidRPr="008B6F2F">
        <w:rPr>
          <w:rFonts w:ascii="Book Antiqua" w:hAnsi="Book Antiqua"/>
        </w:rPr>
        <w:t>Phénomène du cycle entéro-hépatique est étroitement lié</w:t>
      </w:r>
      <w:r>
        <w:rPr>
          <w:rFonts w:ascii="Book Antiqua" w:hAnsi="Book Antiqua"/>
        </w:rPr>
        <w:t xml:space="preserve"> à cette élimination biliaire.</w:t>
      </w:r>
    </w:p>
    <w:p w:rsidR="00147745" w:rsidRDefault="00147745" w:rsidP="008B6F2F">
      <w:pPr>
        <w:pStyle w:val="ListParagraph"/>
        <w:numPr>
          <w:ilvl w:val="0"/>
          <w:numId w:val="1"/>
        </w:numPr>
        <w:jc w:val="left"/>
        <w:rPr>
          <w:rFonts w:ascii="Book Antiqua" w:hAnsi="Book Antiqua"/>
        </w:rPr>
      </w:pPr>
      <w:r w:rsidRPr="00DF09C0">
        <w:rPr>
          <w:rFonts w:ascii="Book Antiqua" w:hAnsi="Book Antiqua"/>
        </w:rPr>
        <w:t>Médicament ou métabolites dans la</w:t>
      </w:r>
      <w:r>
        <w:rPr>
          <w:rFonts w:ascii="Book Antiqua" w:hAnsi="Book Antiqua"/>
        </w:rPr>
        <w:t xml:space="preserve"> circulation sanguin : =&gt; Foie (canalicules biliaires) =&gt; passage dans la vésicule biliaire =&gt; tube digestif</w:t>
      </w:r>
    </w:p>
    <w:p w:rsidR="00147745" w:rsidRDefault="00147745" w:rsidP="008051B1">
      <w:pPr>
        <w:pStyle w:val="ListParagraph"/>
        <w:ind w:left="717" w:firstLine="0"/>
        <w:jc w:val="left"/>
        <w:rPr>
          <w:rFonts w:ascii="Book Antiqua" w:hAnsi="Book Antiqua"/>
        </w:rPr>
      </w:pPr>
    </w:p>
    <w:p w:rsidR="00147745" w:rsidRDefault="00147745" w:rsidP="008B6F2F">
      <w:pPr>
        <w:pStyle w:val="ListParagraph"/>
        <w:numPr>
          <w:ilvl w:val="0"/>
          <w:numId w:val="4"/>
        </w:numPr>
        <w:jc w:val="left"/>
        <w:rPr>
          <w:rFonts w:ascii="Book Antiqua" w:hAnsi="Book Antiqua"/>
        </w:rPr>
      </w:pPr>
      <w:r>
        <w:rPr>
          <w:rFonts w:ascii="Book Antiqua" w:hAnsi="Book Antiqua"/>
        </w:rPr>
        <w:t>Réabsorption (CEH)</w:t>
      </w:r>
    </w:p>
    <w:p w:rsidR="00147745" w:rsidRPr="00DF09C0" w:rsidRDefault="00147745" w:rsidP="008B6F2F">
      <w:pPr>
        <w:pStyle w:val="ListParagraph"/>
        <w:numPr>
          <w:ilvl w:val="0"/>
          <w:numId w:val="4"/>
        </w:numPr>
        <w:jc w:val="left"/>
        <w:rPr>
          <w:rFonts w:ascii="Book Antiqua" w:hAnsi="Book Antiqua"/>
        </w:rPr>
      </w:pPr>
      <w:r>
        <w:rPr>
          <w:rFonts w:ascii="Book Antiqua" w:hAnsi="Book Antiqua"/>
        </w:rPr>
        <w:t>Elimination fécale</w:t>
      </w:r>
    </w:p>
    <w:p w:rsidR="00147745" w:rsidRPr="00DF09C0" w:rsidRDefault="00147745" w:rsidP="00DF09C0">
      <w:pPr>
        <w:pStyle w:val="ListParagraph"/>
        <w:rPr>
          <w:rFonts w:ascii="Book Antiqua" w:hAnsi="Book Antiqua"/>
        </w:rPr>
      </w:pPr>
    </w:p>
    <w:p w:rsidR="00147745" w:rsidRDefault="00147745" w:rsidP="008B6F2F">
      <w:pPr>
        <w:pStyle w:val="ListParagraph"/>
        <w:numPr>
          <w:ilvl w:val="0"/>
          <w:numId w:val="1"/>
        </w:numPr>
        <w:rPr>
          <w:rFonts w:ascii="Book Antiqua" w:hAnsi="Book Antiqua"/>
        </w:rPr>
      </w:pPr>
      <w:r>
        <w:rPr>
          <w:rFonts w:ascii="Book Antiqua" w:hAnsi="Book Antiqua"/>
        </w:rPr>
        <w:t>Concerne surtout les grosses molécules et les métabolites conjugués</w:t>
      </w:r>
    </w:p>
    <w:p w:rsidR="00147745" w:rsidRPr="008B6F2F" w:rsidRDefault="00147745" w:rsidP="008B6F2F">
      <w:pPr>
        <w:pStyle w:val="ListParagraph"/>
        <w:numPr>
          <w:ilvl w:val="0"/>
          <w:numId w:val="1"/>
        </w:numPr>
        <w:rPr>
          <w:rFonts w:ascii="Book Antiqua" w:hAnsi="Book Antiqua"/>
        </w:rPr>
      </w:pPr>
      <w:r>
        <w:rPr>
          <w:rFonts w:ascii="Book Antiqua" w:hAnsi="Book Antiqua"/>
        </w:rPr>
        <w:t>Fait intervenir des transporteurs membranaires</w:t>
      </w:r>
    </w:p>
    <w:p w:rsidR="00147745" w:rsidRPr="00DF09C0" w:rsidRDefault="00147745" w:rsidP="00DF09C0">
      <w:pPr>
        <w:rPr>
          <w:rFonts w:ascii="Book Antiqua" w:hAnsi="Book Antiqua"/>
          <w:sz w:val="22"/>
          <w:szCs w:val="22"/>
        </w:rPr>
      </w:pPr>
      <w:r>
        <w:rPr>
          <w:rFonts w:ascii="Book Antiqua" w:hAnsi="Book Antiqua"/>
          <w:sz w:val="22"/>
          <w:szCs w:val="22"/>
        </w:rPr>
        <w:t>On se rappelle du c</w:t>
      </w:r>
      <w:r w:rsidRPr="00DF09C0">
        <w:rPr>
          <w:rFonts w:ascii="Book Antiqua" w:hAnsi="Book Antiqua"/>
          <w:sz w:val="22"/>
          <w:szCs w:val="22"/>
        </w:rPr>
        <w:t xml:space="preserve">alcul de la clairance systémique : </w:t>
      </w:r>
    </w:p>
    <w:p w:rsidR="00147745" w:rsidRPr="00DF09C0" w:rsidRDefault="00147745" w:rsidP="00DF09C0">
      <w:pPr>
        <w:rPr>
          <w:rFonts w:ascii="Book Antiqua" w:hAnsi="Book Antiqua"/>
          <w:sz w:val="22"/>
          <w:szCs w:val="22"/>
        </w:rPr>
      </w:pPr>
      <w:r w:rsidRPr="00DF09C0">
        <w:rPr>
          <w:rFonts w:ascii="Book Antiqua" w:hAnsi="Book Antiqua"/>
          <w:sz w:val="22"/>
          <w:szCs w:val="22"/>
        </w:rPr>
        <w:t>Cl = Q x E</w:t>
      </w:r>
      <w:r>
        <w:rPr>
          <w:rFonts w:ascii="Book Antiqua" w:hAnsi="Book Antiqua"/>
          <w:sz w:val="22"/>
          <w:szCs w:val="22"/>
        </w:rPr>
        <w:t xml:space="preserve">                                                                                       et E =  </w:t>
      </w:r>
      <w:r w:rsidRPr="001A4127">
        <w:rPr>
          <w:rFonts w:ascii="Book Antiqua" w:hAnsi="Book Antiqua"/>
          <w:sz w:val="22"/>
          <w:szCs w:val="22"/>
        </w:rPr>
        <w:fldChar w:fldCharType="begin"/>
      </w:r>
      <w:r w:rsidRPr="001A4127">
        <w:rPr>
          <w:rFonts w:ascii="Book Antiqua" w:hAnsi="Book Antiqua"/>
          <w:sz w:val="22"/>
          <w:szCs w:val="22"/>
        </w:rPr>
        <w:instrText xml:space="preserve"> QUOTE </w:instrText>
      </w:r>
      <w:r>
        <w:pict>
          <v:shape id="_x0000_i1032" type="#_x0000_t75" style="width:45pt;height:27.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stylePaneFormatFilter w:val=&quot;0000&quot;/&gt;&lt;w:defaultTabStop w:val=&quot;1134&quot;/&gt;&lt;w:hyphenationZone w:val=&quot;425&quot;/&gt;&lt;w:defaultTableStyle w:sti=&quot;0&quot; w:val=&quot;Normal&quot;/&gt;&lt;w:drawingGridHorizontalSpacing w:val=&quot;0&quot;/&gt;&lt;w:drawingGridVerticalSpacing w:val=&quot;0&quot;/&gt;&lt;w:displayHorizontalDrawingGridEvery w:val=&quot;0&quot;/&gt;&lt;w:displayVerticalDrawingGridEvery w:val=&quot;0&quot;/&gt;&lt;w:useMarginsForDrawingGridOrigin/&gt;&lt;w:drawingGridHorizontalOrigin w:val=&quot;0&quot;/&gt;&lt;w:drawingGridVerticalOrigin w:val=&quot;0&quot;/&gt;&lt;w:characterSpacingControl w:val=&quot;DontCompress&quot;/&gt;&lt;w:strictFirstAndLastChars/&gt;&lt;w:optimizeForBrowser/&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compat&gt;&lt;wsp:rsids&gt;&lt;wsp:rsidRoot wsp:val=&quot;00D11F1B&quot;/&gt;&lt;wsp:rsid wsp:val=&quot;00023301&quot;/&gt;&lt;wsp:rsid wsp:val=&quot;00044A28&quot;/&gt;&lt;wsp:rsid wsp:val=&quot;00080E67&quot;/&gt;&lt;wsp:rsid wsp:val=&quot;000C44C2&quot;/&gt;&lt;wsp:rsid wsp:val=&quot;000F2E51&quot;/&gt;&lt;wsp:rsid wsp:val=&quot;00194808&quot;/&gt;&lt;wsp:rsid wsp:val=&quot;001A1CAD&quot;/&gt;&lt;wsp:rsid wsp:val=&quot;001A4127&quot;/&gt;&lt;wsp:rsid wsp:val=&quot;001F17D3&quot;/&gt;&lt;wsp:rsid wsp:val=&quot;00215924&quot;/&gt;&lt;wsp:rsid wsp:val=&quot;00221BBC&quot;/&gt;&lt;wsp:rsid wsp:val=&quot;002342F1&quot;/&gt;&lt;wsp:rsid wsp:val=&quot;00235C06&quot;/&gt;&lt;wsp:rsid wsp:val=&quot;002B449F&quot;/&gt;&lt;wsp:rsid wsp:val=&quot;002C6F00&quot;/&gt;&lt;wsp:rsid wsp:val=&quot;00322BBD&quot;/&gt;&lt;wsp:rsid wsp:val=&quot;003239A0&quot;/&gt;&lt;wsp:rsid wsp:val=&quot;0036418D&quot;/&gt;&lt;wsp:rsid wsp:val=&quot;00384C9E&quot;/&gt;&lt;wsp:rsid wsp:val=&quot;00396AE2&quot;/&gt;&lt;wsp:rsid wsp:val=&quot;00407B4E&quot;/&gt;&lt;wsp:rsid wsp:val=&quot;00414B96&quot;/&gt;&lt;wsp:rsid wsp:val=&quot;004239B2&quot;/&gt;&lt;wsp:rsid wsp:val=&quot;0044139B&quot;/&gt;&lt;wsp:rsid wsp:val=&quot;004540E2&quot;/&gt;&lt;wsp:rsid wsp:val=&quot;00455072&quot;/&gt;&lt;wsp:rsid wsp:val=&quot;00461385&quot;/&gt;&lt;wsp:rsid wsp:val=&quot;00470C1B&quot;/&gt;&lt;wsp:rsid wsp:val=&quot;004B08D0&quot;/&gt;&lt;wsp:rsid wsp:val=&quot;004B5553&quot;/&gt;&lt;wsp:rsid wsp:val=&quot;005834BF&quot;/&gt;&lt;wsp:rsid wsp:val=&quot;00595B75&quot;/&gt;&lt;wsp:rsid wsp:val=&quot;005C25B3&quot;/&gt;&lt;wsp:rsid wsp:val=&quot;005C30EF&quot;/&gt;&lt;wsp:rsid wsp:val=&quot;005D50AA&quot;/&gt;&lt;wsp:rsid wsp:val=&quot;006511E2&quot;/&gt;&lt;wsp:rsid wsp:val=&quot;00655C86&quot;/&gt;&lt;wsp:rsid wsp:val=&quot;0066434C&quot;/&gt;&lt;wsp:rsid wsp:val=&quot;00667BCF&quot;/&gt;&lt;wsp:rsid wsp:val=&quot;006760FF&quot;/&gt;&lt;wsp:rsid wsp:val=&quot;006A79CB&quot;/&gt;&lt;wsp:rsid wsp:val=&quot;006E2E01&quot;/&gt;&lt;wsp:rsid wsp:val=&quot;006F65C4&quot;/&gt;&lt;wsp:rsid wsp:val=&quot;008051B1&quot;/&gt;&lt;wsp:rsid wsp:val=&quot;008560CD&quot;/&gt;&lt;wsp:rsid wsp:val=&quot;008B6F2F&quot;/&gt;&lt;wsp:rsid wsp:val=&quot;008F0B4A&quot;/&gt;&lt;wsp:rsid wsp:val=&quot;00927BBC&quot;/&gt;&lt;wsp:rsid wsp:val=&quot;00952827&quot;/&gt;&lt;wsp:rsid wsp:val=&quot;009A115C&quot;/&gt;&lt;wsp:rsid wsp:val=&quot;009D47F8&quot;/&gt;&lt;wsp:rsid wsp:val=&quot;009F63A6&quot;/&gt;&lt;wsp:rsid wsp:val=&quot;00A94F6C&quot;/&gt;&lt;wsp:rsid wsp:val=&quot;00AC4615&quot;/&gt;&lt;wsp:rsid wsp:val=&quot;00AE5C42&quot;/&gt;&lt;wsp:rsid wsp:val=&quot;00B6119F&quot;/&gt;&lt;wsp:rsid wsp:val=&quot;00B85198&quot;/&gt;&lt;wsp:rsid wsp:val=&quot;00B87BB6&quot;/&gt;&lt;wsp:rsid wsp:val=&quot;00BA7DB4&quot;/&gt;&lt;wsp:rsid wsp:val=&quot;00BC5F16&quot;/&gt;&lt;wsp:rsid wsp:val=&quot;00C3548F&quot;/&gt;&lt;wsp:rsid wsp:val=&quot;00C564BF&quot;/&gt;&lt;wsp:rsid wsp:val=&quot;00C7108B&quot;/&gt;&lt;wsp:rsid wsp:val=&quot;00CB6526&quot;/&gt;&lt;wsp:rsid wsp:val=&quot;00CD7D81&quot;/&gt;&lt;wsp:rsid wsp:val=&quot;00D078DC&quot;/&gt;&lt;wsp:rsid wsp:val=&quot;00D11F1B&quot;/&gt;&lt;wsp:rsid wsp:val=&quot;00DB7BA1&quot;/&gt;&lt;wsp:rsid wsp:val=&quot;00DE31F9&quot;/&gt;&lt;wsp:rsid wsp:val=&quot;00DF09C0&quot;/&gt;&lt;wsp:rsid wsp:val=&quot;00E428D8&quot;/&gt;&lt;wsp:rsid wsp:val=&quot;00E568A3&quot;/&gt;&lt;wsp:rsid wsp:val=&quot;00E91FCD&quot;/&gt;&lt;wsp:rsid wsp:val=&quot;00EF4708&quot;/&gt;&lt;wsp:rsid wsp:val=&quot;00F04D55&quot;/&gt;&lt;wsp:rsid wsp:val=&quot;00F81178&quot;/&gt;&lt;wsp:rsid wsp:val=&quot;00F87CD6&quot;/&gt;&lt;wsp:rsid wsp:val=&quot;00F96B94&quot;/&gt;&lt;wsp:rsid wsp:val=&quot;00FA7BDC&quot;/&gt;&lt;wsp:rsid wsp:val=&quot;00FE0B1D&quot;/&gt;&lt;/wsp:rsids&gt;&lt;/w:docPr&gt;&lt;w:body&gt;&lt;w:p wsp:rsidR=&quot;00000000&quot; wsp:rsidRDefault=&quot;00B87BB6&quot;&gt;&lt;m:oMathPara&gt;&lt;m:oMath&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Ce-Cs&lt;/m:t&gt;&lt;/m:r&gt;&lt;/m:num&gt;&lt;m:den&gt;&lt;m:r&gt;&lt;w:rPr&gt;&lt;w:rFonts w:ascii=&quot;Cambria Math&quot; w:h-ansi=&quot;Cambria Math&quot;/&gt;&lt;wx:font wx:val=&quot;Cambria Math&quot;/&gt;&lt;w:i/&gt;&lt;w:sz w:val=&quot;28&quot;/&gt;&lt;w:sz-cs w:val=&quot;28&quot;/&gt;&lt;/w:rPr&gt;&lt;m:t&gt;Ce&lt;/m:t&gt;&lt;/m:r&gt;&lt;/m:den&gt;&lt;/m:f&gt;&lt;/m:oMath&gt;&lt;/m:oMathPara&gt;&lt;/w:p&gt;&lt;w:sectPr wsp:rsidR=&quot;00000000&quot;&gt;&lt;w:pgSz w:w=&quot;12240&quot; w:h=&quot;15840&quot;/&gt;&lt;w:pgMar w:top=&quot;1417&quot; w:right=&quot;1417&quot; w:bottom=&quot;1417&quot; w:left=&quot;1417&quot; w:header=&quot;720&quot; w:footer=&quot;720&quot; w:gutter=&quot;0&quot;/&gt;&lt;w:cols w:space=&quot;720&quot;/&gt;&lt;/w:sectPr&gt;&lt;/w:body&gt;&lt;/w:wordDocument&gt;">
            <v:imagedata r:id="rId17" o:title="" chromakey="white"/>
          </v:shape>
        </w:pict>
      </w:r>
      <w:r w:rsidRPr="001A4127">
        <w:rPr>
          <w:rFonts w:ascii="Book Antiqua" w:hAnsi="Book Antiqua"/>
          <w:sz w:val="22"/>
          <w:szCs w:val="22"/>
        </w:rPr>
        <w:instrText xml:space="preserve"> </w:instrText>
      </w:r>
      <w:r w:rsidRPr="001A4127">
        <w:rPr>
          <w:rFonts w:ascii="Book Antiqua" w:hAnsi="Book Antiqua"/>
          <w:sz w:val="22"/>
          <w:szCs w:val="22"/>
        </w:rPr>
        <w:fldChar w:fldCharType="separate"/>
      </w:r>
      <w:r>
        <w:pict>
          <v:shape id="_x0000_i1033" type="#_x0000_t75" style="width:45pt;height:27.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stylePaneFormatFilter w:val=&quot;0000&quot;/&gt;&lt;w:defaultTabStop w:val=&quot;1134&quot;/&gt;&lt;w:hyphenationZone w:val=&quot;425&quot;/&gt;&lt;w:defaultTableStyle w:sti=&quot;0&quot; w:val=&quot;Normal&quot;/&gt;&lt;w:drawingGridHorizontalSpacing w:val=&quot;0&quot;/&gt;&lt;w:drawingGridVerticalSpacing w:val=&quot;0&quot;/&gt;&lt;w:displayHorizontalDrawingGridEvery w:val=&quot;0&quot;/&gt;&lt;w:displayVerticalDrawingGridEvery w:val=&quot;0&quot;/&gt;&lt;w:useMarginsForDrawingGridOrigin/&gt;&lt;w:drawingGridHorizontalOrigin w:val=&quot;0&quot;/&gt;&lt;w:drawingGridVerticalOrigin w:val=&quot;0&quot;/&gt;&lt;w:characterSpacingControl w:val=&quot;DontCompress&quot;/&gt;&lt;w:strictFirstAndLastChars/&gt;&lt;w:optimizeForBrowser/&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compat&gt;&lt;wsp:rsids&gt;&lt;wsp:rsidRoot wsp:val=&quot;00D11F1B&quot;/&gt;&lt;wsp:rsid wsp:val=&quot;00023301&quot;/&gt;&lt;wsp:rsid wsp:val=&quot;00044A28&quot;/&gt;&lt;wsp:rsid wsp:val=&quot;00080E67&quot;/&gt;&lt;wsp:rsid wsp:val=&quot;000C44C2&quot;/&gt;&lt;wsp:rsid wsp:val=&quot;000F2E51&quot;/&gt;&lt;wsp:rsid wsp:val=&quot;00194808&quot;/&gt;&lt;wsp:rsid wsp:val=&quot;001A1CAD&quot;/&gt;&lt;wsp:rsid wsp:val=&quot;001A4127&quot;/&gt;&lt;wsp:rsid wsp:val=&quot;001F17D3&quot;/&gt;&lt;wsp:rsid wsp:val=&quot;00215924&quot;/&gt;&lt;wsp:rsid wsp:val=&quot;00221BBC&quot;/&gt;&lt;wsp:rsid wsp:val=&quot;002342F1&quot;/&gt;&lt;wsp:rsid wsp:val=&quot;00235C06&quot;/&gt;&lt;wsp:rsid wsp:val=&quot;002B449F&quot;/&gt;&lt;wsp:rsid wsp:val=&quot;002C6F00&quot;/&gt;&lt;wsp:rsid wsp:val=&quot;00322BBD&quot;/&gt;&lt;wsp:rsid wsp:val=&quot;003239A0&quot;/&gt;&lt;wsp:rsid wsp:val=&quot;0036418D&quot;/&gt;&lt;wsp:rsid wsp:val=&quot;00384C9E&quot;/&gt;&lt;wsp:rsid wsp:val=&quot;00396AE2&quot;/&gt;&lt;wsp:rsid wsp:val=&quot;00407B4E&quot;/&gt;&lt;wsp:rsid wsp:val=&quot;00414B96&quot;/&gt;&lt;wsp:rsid wsp:val=&quot;004239B2&quot;/&gt;&lt;wsp:rsid wsp:val=&quot;0044139B&quot;/&gt;&lt;wsp:rsid wsp:val=&quot;004540E2&quot;/&gt;&lt;wsp:rsid wsp:val=&quot;00455072&quot;/&gt;&lt;wsp:rsid wsp:val=&quot;00461385&quot;/&gt;&lt;wsp:rsid wsp:val=&quot;00470C1B&quot;/&gt;&lt;wsp:rsid wsp:val=&quot;004B08D0&quot;/&gt;&lt;wsp:rsid wsp:val=&quot;004B5553&quot;/&gt;&lt;wsp:rsid wsp:val=&quot;005834BF&quot;/&gt;&lt;wsp:rsid wsp:val=&quot;00595B75&quot;/&gt;&lt;wsp:rsid wsp:val=&quot;005C25B3&quot;/&gt;&lt;wsp:rsid wsp:val=&quot;005C30EF&quot;/&gt;&lt;wsp:rsid wsp:val=&quot;005D50AA&quot;/&gt;&lt;wsp:rsid wsp:val=&quot;006511E2&quot;/&gt;&lt;wsp:rsid wsp:val=&quot;00655C86&quot;/&gt;&lt;wsp:rsid wsp:val=&quot;0066434C&quot;/&gt;&lt;wsp:rsid wsp:val=&quot;00667BCF&quot;/&gt;&lt;wsp:rsid wsp:val=&quot;006760FF&quot;/&gt;&lt;wsp:rsid wsp:val=&quot;006A79CB&quot;/&gt;&lt;wsp:rsid wsp:val=&quot;006E2E01&quot;/&gt;&lt;wsp:rsid wsp:val=&quot;006F65C4&quot;/&gt;&lt;wsp:rsid wsp:val=&quot;008051B1&quot;/&gt;&lt;wsp:rsid wsp:val=&quot;008560CD&quot;/&gt;&lt;wsp:rsid wsp:val=&quot;008B6F2F&quot;/&gt;&lt;wsp:rsid wsp:val=&quot;008F0B4A&quot;/&gt;&lt;wsp:rsid wsp:val=&quot;00927BBC&quot;/&gt;&lt;wsp:rsid wsp:val=&quot;00952827&quot;/&gt;&lt;wsp:rsid wsp:val=&quot;009A115C&quot;/&gt;&lt;wsp:rsid wsp:val=&quot;009D47F8&quot;/&gt;&lt;wsp:rsid wsp:val=&quot;009F63A6&quot;/&gt;&lt;wsp:rsid wsp:val=&quot;00A94F6C&quot;/&gt;&lt;wsp:rsid wsp:val=&quot;00AC4615&quot;/&gt;&lt;wsp:rsid wsp:val=&quot;00AE5C42&quot;/&gt;&lt;wsp:rsid wsp:val=&quot;00B6119F&quot;/&gt;&lt;wsp:rsid wsp:val=&quot;00B85198&quot;/&gt;&lt;wsp:rsid wsp:val=&quot;00B87BB6&quot;/&gt;&lt;wsp:rsid wsp:val=&quot;00BA7DB4&quot;/&gt;&lt;wsp:rsid wsp:val=&quot;00BC5F16&quot;/&gt;&lt;wsp:rsid wsp:val=&quot;00C3548F&quot;/&gt;&lt;wsp:rsid wsp:val=&quot;00C564BF&quot;/&gt;&lt;wsp:rsid wsp:val=&quot;00C7108B&quot;/&gt;&lt;wsp:rsid wsp:val=&quot;00CB6526&quot;/&gt;&lt;wsp:rsid wsp:val=&quot;00CD7D81&quot;/&gt;&lt;wsp:rsid wsp:val=&quot;00D078DC&quot;/&gt;&lt;wsp:rsid wsp:val=&quot;00D11F1B&quot;/&gt;&lt;wsp:rsid wsp:val=&quot;00DB7BA1&quot;/&gt;&lt;wsp:rsid wsp:val=&quot;00DE31F9&quot;/&gt;&lt;wsp:rsid wsp:val=&quot;00DF09C0&quot;/&gt;&lt;wsp:rsid wsp:val=&quot;00E428D8&quot;/&gt;&lt;wsp:rsid wsp:val=&quot;00E568A3&quot;/&gt;&lt;wsp:rsid wsp:val=&quot;00E91FCD&quot;/&gt;&lt;wsp:rsid wsp:val=&quot;00EF4708&quot;/&gt;&lt;wsp:rsid wsp:val=&quot;00F04D55&quot;/&gt;&lt;wsp:rsid wsp:val=&quot;00F81178&quot;/&gt;&lt;wsp:rsid wsp:val=&quot;00F87CD6&quot;/&gt;&lt;wsp:rsid wsp:val=&quot;00F96B94&quot;/&gt;&lt;wsp:rsid wsp:val=&quot;00FA7BDC&quot;/&gt;&lt;wsp:rsid wsp:val=&quot;00FE0B1D&quot;/&gt;&lt;/wsp:rsids&gt;&lt;/w:docPr&gt;&lt;w:body&gt;&lt;w:p wsp:rsidR=&quot;00000000&quot; wsp:rsidRDefault=&quot;00B87BB6&quot;&gt;&lt;m:oMathPara&gt;&lt;m:oMath&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Ce-Cs&lt;/m:t&gt;&lt;/m:r&gt;&lt;/m:num&gt;&lt;m:den&gt;&lt;m:r&gt;&lt;w:rPr&gt;&lt;w:rFonts w:ascii=&quot;Cambria Math&quot; w:h-ansi=&quot;Cambria Math&quot;/&gt;&lt;wx:font wx:val=&quot;Cambria Math&quot;/&gt;&lt;w:i/&gt;&lt;w:sz w:val=&quot;28&quot;/&gt;&lt;w:sz-cs w:val=&quot;28&quot;/&gt;&lt;/w:rPr&gt;&lt;m:t&gt;Ce&lt;/m:t&gt;&lt;/m:r&gt;&lt;/m:den&gt;&lt;/m:f&gt;&lt;/m:oMath&gt;&lt;/m:oMathPara&gt;&lt;/w:p&gt;&lt;w:sectPr wsp:rsidR=&quot;00000000&quot;&gt;&lt;w:pgSz w:w=&quot;12240&quot; w:h=&quot;15840&quot;/&gt;&lt;w:pgMar w:top=&quot;1417&quot; w:right=&quot;1417&quot; w:bottom=&quot;1417&quot; w:left=&quot;1417&quot; w:header=&quot;720&quot; w:footer=&quot;720&quot; w:gutter=&quot;0&quot;/&gt;&lt;w:cols w:space=&quot;720&quot;/&gt;&lt;/w:sectPr&gt;&lt;/w:body&gt;&lt;/w:wordDocument&gt;">
            <v:imagedata r:id="rId17" o:title="" chromakey="white"/>
          </v:shape>
        </w:pict>
      </w:r>
      <w:r w:rsidRPr="001A4127">
        <w:rPr>
          <w:rFonts w:ascii="Book Antiqua" w:hAnsi="Book Antiqua"/>
          <w:sz w:val="22"/>
          <w:szCs w:val="22"/>
        </w:rPr>
        <w:fldChar w:fldCharType="end"/>
      </w:r>
    </w:p>
    <w:p w:rsidR="00147745" w:rsidRPr="00DF09C0" w:rsidRDefault="00147745" w:rsidP="00DF09C0">
      <w:pPr>
        <w:rPr>
          <w:rFonts w:ascii="Book Antiqua" w:hAnsi="Book Antiqua"/>
          <w:sz w:val="22"/>
          <w:szCs w:val="22"/>
        </w:rPr>
      </w:pPr>
      <w:r w:rsidRPr="00DF09C0">
        <w:rPr>
          <w:rFonts w:ascii="Book Antiqua" w:hAnsi="Book Antiqua"/>
          <w:sz w:val="22"/>
          <w:szCs w:val="22"/>
        </w:rPr>
        <w:t>C</w:t>
      </w:r>
      <w:r>
        <w:rPr>
          <w:rFonts w:ascii="Book Antiqua" w:hAnsi="Book Antiqua"/>
          <w:sz w:val="22"/>
          <w:szCs w:val="22"/>
        </w:rPr>
        <w:t>l</w:t>
      </w:r>
      <w:r w:rsidRPr="00DF09C0">
        <w:rPr>
          <w:rFonts w:ascii="Book Antiqua" w:hAnsi="Book Antiqua"/>
          <w:sz w:val="22"/>
          <w:szCs w:val="22"/>
        </w:rPr>
        <w:t xml:space="preserve">airance : modèle général : </w:t>
      </w:r>
    </w:p>
    <w:p w:rsidR="00147745" w:rsidRPr="00DF09C0" w:rsidRDefault="00147745" w:rsidP="00DF09C0">
      <w:pPr>
        <w:rPr>
          <w:rFonts w:ascii="Book Antiqua" w:hAnsi="Book Antiqua"/>
          <w:sz w:val="22"/>
          <w:szCs w:val="22"/>
        </w:rPr>
      </w:pPr>
      <w:r>
        <w:rPr>
          <w:rFonts w:ascii="Book Antiqua" w:hAnsi="Book Antiqua"/>
          <w:sz w:val="22"/>
          <w:szCs w:val="22"/>
        </w:rPr>
        <w:t xml:space="preserve">CL = Q x E = Q </w:t>
      </w:r>
    </w:p>
    <w:p w:rsidR="00147745" w:rsidRPr="00DF09C0" w:rsidRDefault="00147745" w:rsidP="00DF09C0">
      <w:pPr>
        <w:rPr>
          <w:rFonts w:ascii="Book Antiqua" w:hAnsi="Book Antiqua"/>
          <w:sz w:val="22"/>
          <w:szCs w:val="22"/>
        </w:rPr>
      </w:pPr>
      <w:r w:rsidRPr="00DF09C0">
        <w:rPr>
          <w:rFonts w:ascii="Book Antiqua" w:hAnsi="Book Antiqua"/>
          <w:sz w:val="22"/>
          <w:szCs w:val="22"/>
        </w:rPr>
        <w:t xml:space="preserve">E compris entre 0 et 1 </w:t>
      </w:r>
      <w:r w:rsidRPr="00DF09C0">
        <w:rPr>
          <w:rFonts w:ascii="Book Antiqua" w:hAnsi="Book Antiqua"/>
          <w:sz w:val="22"/>
          <w:szCs w:val="22"/>
        </w:rPr>
        <w:sym w:font="Wingdings" w:char="F0E8"/>
      </w:r>
      <w:r w:rsidRPr="00DF09C0">
        <w:rPr>
          <w:rFonts w:ascii="Book Antiqua" w:hAnsi="Book Antiqua"/>
          <w:sz w:val="22"/>
          <w:szCs w:val="22"/>
        </w:rPr>
        <w:t xml:space="preserve"> Clmax = Q.</w:t>
      </w:r>
    </w:p>
    <w:p w:rsidR="00147745" w:rsidRDefault="00147745" w:rsidP="00DF09C0">
      <w:pPr>
        <w:rPr>
          <w:rFonts w:ascii="Book Antiqua" w:hAnsi="Book Antiqua"/>
          <w:sz w:val="22"/>
          <w:szCs w:val="22"/>
        </w:rPr>
      </w:pPr>
      <w:r w:rsidRPr="009D47F8">
        <w:rPr>
          <w:rFonts w:ascii="Book Antiqua" w:hAnsi="Book Antiqua"/>
          <w:b/>
          <w:sz w:val="22"/>
          <w:szCs w:val="22"/>
        </w:rPr>
        <w:t>Clairance totale</w:t>
      </w:r>
      <w:r w:rsidRPr="00DF09C0">
        <w:rPr>
          <w:rFonts w:ascii="Book Antiqua" w:hAnsi="Book Antiqua"/>
          <w:sz w:val="22"/>
          <w:szCs w:val="22"/>
        </w:rPr>
        <w:t xml:space="preserve"> :  </w:t>
      </w:r>
      <w:r>
        <w:rPr>
          <w:rFonts w:ascii="Book Antiqua" w:hAnsi="Book Antiqua"/>
          <w:sz w:val="22"/>
          <w:szCs w:val="22"/>
        </w:rPr>
        <w:t>Q débit sanguin cardiaque et Centrée : concentration aortique approximée</w:t>
      </w:r>
    </w:p>
    <w:p w:rsidR="00147745" w:rsidRDefault="00147745" w:rsidP="009D47F8">
      <w:pPr>
        <w:rPr>
          <w:rFonts w:ascii="Book Antiqua" w:hAnsi="Book Antiqua"/>
          <w:sz w:val="22"/>
          <w:szCs w:val="22"/>
        </w:rPr>
      </w:pPr>
      <w:r w:rsidRPr="009D47F8">
        <w:rPr>
          <w:rFonts w:ascii="Book Antiqua" w:hAnsi="Book Antiqua"/>
          <w:b/>
          <w:sz w:val="22"/>
          <w:szCs w:val="22"/>
        </w:rPr>
        <w:t xml:space="preserve">Clairance </w:t>
      </w:r>
      <w:r>
        <w:rPr>
          <w:rFonts w:ascii="Book Antiqua" w:hAnsi="Book Antiqua"/>
          <w:b/>
          <w:sz w:val="22"/>
          <w:szCs w:val="22"/>
        </w:rPr>
        <w:t>d’un organe</w:t>
      </w:r>
      <w:r w:rsidRPr="00DF09C0">
        <w:rPr>
          <w:rFonts w:ascii="Book Antiqua" w:hAnsi="Book Antiqua"/>
          <w:sz w:val="22"/>
          <w:szCs w:val="22"/>
        </w:rPr>
        <w:t xml:space="preserve"> :  </w:t>
      </w:r>
      <w:r>
        <w:rPr>
          <w:rFonts w:ascii="Book Antiqua" w:hAnsi="Book Antiqua"/>
          <w:sz w:val="22"/>
          <w:szCs w:val="22"/>
        </w:rPr>
        <w:t>Q débit sanguin de l’organe et Centrée : concentration veine porte pour le foie</w:t>
      </w:r>
    </w:p>
    <w:p w:rsidR="00147745" w:rsidRPr="00DF09C0"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sidRPr="00DF09C0">
        <w:rPr>
          <w:rFonts w:ascii="Book Antiqua" w:hAnsi="Book Antiqua"/>
          <w:sz w:val="22"/>
          <w:szCs w:val="22"/>
        </w:rPr>
        <w:t>Dans le cas du foie, en plus de la simple captation</w:t>
      </w:r>
      <w:r>
        <w:rPr>
          <w:rFonts w:ascii="Book Antiqua" w:hAnsi="Book Antiqua"/>
          <w:sz w:val="22"/>
          <w:szCs w:val="22"/>
        </w:rPr>
        <w:t xml:space="preserve"> qui va conduire à une élimination ou à une restitution du médicament</w:t>
      </w:r>
      <w:r w:rsidRPr="00DF09C0">
        <w:rPr>
          <w:rFonts w:ascii="Book Antiqua" w:hAnsi="Book Antiqua"/>
          <w:sz w:val="22"/>
          <w:szCs w:val="22"/>
        </w:rPr>
        <w:t>, on a en plus la parti</w:t>
      </w:r>
      <w:r>
        <w:rPr>
          <w:rFonts w:ascii="Book Antiqua" w:hAnsi="Book Antiqua"/>
          <w:sz w:val="22"/>
          <w:szCs w:val="22"/>
        </w:rPr>
        <w:t>e métabolisme intrinsèque qui correspond à la possibilité pour les enzymes hépatiques de se débarrasser et transformer le médicament.</w:t>
      </w:r>
    </w:p>
    <w:p w:rsidR="00147745"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r>
        <w:rPr>
          <w:rFonts w:ascii="Book Antiqua" w:hAnsi="Book Antiqua"/>
          <w:sz w:val="22"/>
          <w:szCs w:val="22"/>
        </w:rPr>
        <w:t xml:space="preserve">Cl organe = </w:t>
      </w:r>
      <w:r w:rsidRPr="001A4127">
        <w:rPr>
          <w:rFonts w:ascii="Book Antiqua" w:hAnsi="Book Antiqua"/>
          <w:sz w:val="22"/>
          <w:szCs w:val="22"/>
        </w:rPr>
        <w:fldChar w:fldCharType="begin"/>
      </w:r>
      <w:r w:rsidRPr="001A4127">
        <w:rPr>
          <w:rFonts w:ascii="Book Antiqua" w:hAnsi="Book Antiqua"/>
          <w:sz w:val="22"/>
          <w:szCs w:val="22"/>
        </w:rPr>
        <w:instrText xml:space="preserve"> QUOTE </w:instrText>
      </w:r>
      <w:r>
        <w:pict>
          <v:shape id="_x0000_i1034" type="#_x0000_t75" style="width:105pt;height:24.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stylePaneFormatFilter w:val=&quot;0000&quot;/&gt;&lt;w:defaultTabStop w:val=&quot;1134&quot;/&gt;&lt;w:hyphenationZone w:val=&quot;425&quot;/&gt;&lt;w:defaultTableStyle w:sti=&quot;0&quot; w:val=&quot;Normal&quot;/&gt;&lt;w:drawingGridHorizontalSpacing w:val=&quot;0&quot;/&gt;&lt;w:drawingGridVerticalSpacing w:val=&quot;0&quot;/&gt;&lt;w:displayHorizontalDrawingGridEvery w:val=&quot;0&quot;/&gt;&lt;w:displayVerticalDrawingGridEvery w:val=&quot;0&quot;/&gt;&lt;w:useMarginsForDrawingGridOrigin/&gt;&lt;w:drawingGridHorizontalOrigin w:val=&quot;0&quot;/&gt;&lt;w:drawingGridVerticalOrigin w:val=&quot;0&quot;/&gt;&lt;w:characterSpacingControl w:val=&quot;DontCompress&quot;/&gt;&lt;w:strictFirstAndLastChars/&gt;&lt;w:optimizeForBrowser/&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compat&gt;&lt;wsp:rsids&gt;&lt;wsp:rsidRoot wsp:val=&quot;00D11F1B&quot;/&gt;&lt;wsp:rsid wsp:val=&quot;00023301&quot;/&gt;&lt;wsp:rsid wsp:val=&quot;00044A28&quot;/&gt;&lt;wsp:rsid wsp:val=&quot;00080E67&quot;/&gt;&lt;wsp:rsid wsp:val=&quot;000C44C2&quot;/&gt;&lt;wsp:rsid wsp:val=&quot;000F2E51&quot;/&gt;&lt;wsp:rsid wsp:val=&quot;00194808&quot;/&gt;&lt;wsp:rsid wsp:val=&quot;001A1CAD&quot;/&gt;&lt;wsp:rsid wsp:val=&quot;001A4127&quot;/&gt;&lt;wsp:rsid wsp:val=&quot;001F17D3&quot;/&gt;&lt;wsp:rsid wsp:val=&quot;00215924&quot;/&gt;&lt;wsp:rsid wsp:val=&quot;00221BBC&quot;/&gt;&lt;wsp:rsid wsp:val=&quot;002342F1&quot;/&gt;&lt;wsp:rsid wsp:val=&quot;00235C06&quot;/&gt;&lt;wsp:rsid wsp:val=&quot;002B449F&quot;/&gt;&lt;wsp:rsid wsp:val=&quot;002C6F00&quot;/&gt;&lt;wsp:rsid wsp:val=&quot;00322BBD&quot;/&gt;&lt;wsp:rsid wsp:val=&quot;003239A0&quot;/&gt;&lt;wsp:rsid wsp:val=&quot;0036418D&quot;/&gt;&lt;wsp:rsid wsp:val=&quot;00384C9E&quot;/&gt;&lt;wsp:rsid wsp:val=&quot;00396AE2&quot;/&gt;&lt;wsp:rsid wsp:val=&quot;00407B4E&quot;/&gt;&lt;wsp:rsid wsp:val=&quot;00414B96&quot;/&gt;&lt;wsp:rsid wsp:val=&quot;004239B2&quot;/&gt;&lt;wsp:rsid wsp:val=&quot;004271D4&quot;/&gt;&lt;wsp:rsid wsp:val=&quot;0044139B&quot;/&gt;&lt;wsp:rsid wsp:val=&quot;004540E2&quot;/&gt;&lt;wsp:rsid wsp:val=&quot;00455072&quot;/&gt;&lt;wsp:rsid wsp:val=&quot;00461385&quot;/&gt;&lt;wsp:rsid wsp:val=&quot;00470C1B&quot;/&gt;&lt;wsp:rsid wsp:val=&quot;004B08D0&quot;/&gt;&lt;wsp:rsid wsp:val=&quot;004B5553&quot;/&gt;&lt;wsp:rsid wsp:val=&quot;005834BF&quot;/&gt;&lt;wsp:rsid wsp:val=&quot;00595B75&quot;/&gt;&lt;wsp:rsid wsp:val=&quot;005C25B3&quot;/&gt;&lt;wsp:rsid wsp:val=&quot;005C30EF&quot;/&gt;&lt;wsp:rsid wsp:val=&quot;005D50AA&quot;/&gt;&lt;wsp:rsid wsp:val=&quot;006511E2&quot;/&gt;&lt;wsp:rsid wsp:val=&quot;00655C86&quot;/&gt;&lt;wsp:rsid wsp:val=&quot;0066434C&quot;/&gt;&lt;wsp:rsid wsp:val=&quot;00667BCF&quot;/&gt;&lt;wsp:rsid wsp:val=&quot;006760FF&quot;/&gt;&lt;wsp:rsid wsp:val=&quot;006A79CB&quot;/&gt;&lt;wsp:rsid wsp:val=&quot;006E2E01&quot;/&gt;&lt;wsp:rsid wsp:val=&quot;006F65C4&quot;/&gt;&lt;wsp:rsid wsp:val=&quot;008051B1&quot;/&gt;&lt;wsp:rsid wsp:val=&quot;008560CD&quot;/&gt;&lt;wsp:rsid wsp:val=&quot;008B6F2F&quot;/&gt;&lt;wsp:rsid wsp:val=&quot;008F0B4A&quot;/&gt;&lt;wsp:rsid wsp:val=&quot;00927BBC&quot;/&gt;&lt;wsp:rsid wsp:val=&quot;00952827&quot;/&gt;&lt;wsp:rsid wsp:val=&quot;009A115C&quot;/&gt;&lt;wsp:rsid wsp:val=&quot;009D47F8&quot;/&gt;&lt;wsp:rsid wsp:val=&quot;009F63A6&quot;/&gt;&lt;wsp:rsid wsp:val=&quot;00A94F6C&quot;/&gt;&lt;wsp:rsid wsp:val=&quot;00AC4615&quot;/&gt;&lt;wsp:rsid wsp:val=&quot;00AE5C42&quot;/&gt;&lt;wsp:rsid wsp:val=&quot;00B6119F&quot;/&gt;&lt;wsp:rsid wsp:val=&quot;00B85198&quot;/&gt;&lt;wsp:rsid wsp:val=&quot;00BA7DB4&quot;/&gt;&lt;wsp:rsid wsp:val=&quot;00BC5F16&quot;/&gt;&lt;wsp:rsid wsp:val=&quot;00C3548F&quot;/&gt;&lt;wsp:rsid wsp:val=&quot;00C564BF&quot;/&gt;&lt;wsp:rsid wsp:val=&quot;00C7108B&quot;/&gt;&lt;wsp:rsid wsp:val=&quot;00CB6526&quot;/&gt;&lt;wsp:rsid wsp:val=&quot;00CD7D81&quot;/&gt;&lt;wsp:rsid wsp:val=&quot;00D078DC&quot;/&gt;&lt;wsp:rsid wsp:val=&quot;00D11F1B&quot;/&gt;&lt;wsp:rsid wsp:val=&quot;00DB7BA1&quot;/&gt;&lt;wsp:rsid wsp:val=&quot;00DE31F9&quot;/&gt;&lt;wsp:rsid wsp:val=&quot;00DF09C0&quot;/&gt;&lt;wsp:rsid wsp:val=&quot;00E428D8&quot;/&gt;&lt;wsp:rsid wsp:val=&quot;00E568A3&quot;/&gt;&lt;wsp:rsid wsp:val=&quot;00E91FCD&quot;/&gt;&lt;wsp:rsid wsp:val=&quot;00EF4708&quot;/&gt;&lt;wsp:rsid wsp:val=&quot;00F04D55&quot;/&gt;&lt;wsp:rsid wsp:val=&quot;00F81178&quot;/&gt;&lt;wsp:rsid wsp:val=&quot;00F87CD6&quot;/&gt;&lt;wsp:rsid wsp:val=&quot;00F96B94&quot;/&gt;&lt;wsp:rsid wsp:val=&quot;00FA7BDC&quot;/&gt;&lt;wsp:rsid wsp:val=&quot;00FE0B1D&quot;/&gt;&lt;/wsp:rsids&gt;&lt;/w:docPr&gt;&lt;w:body&gt;&lt;w:p wsp:rsidR=&quot;00000000&quot; wsp:rsidRDefault=&quot;004271D4&quot;&gt;&lt;m:oMathPara&gt;&lt;m:oMath&gt;&lt;m:f&gt;&lt;m:fPr&gt;&lt;m:ctrlPr&gt;&lt;w:rPr&gt;&lt;w:rFonts w:ascii=&quot;Cambria Math&quot; w:h-ansi=&quot;Cambria Math&quot;/&gt;&lt;wx:font wx:val=&quot;Cambria Math&quot;/&gt;&lt;w:i/&gt;&lt;w:sz w:val=&quot;22&quot;/&gt;&lt;w:sz-cs w:val=&quot;22&quot;/&gt;&lt;/w:rPr&gt;&lt;/m:ctrlPr&gt;&lt;/m:fPr&gt;&lt;m:num&gt;&lt;m:r&gt;&lt;w:rPr&gt;&lt;w:rFonts w:ascii=&quot;Cambria Math&quot; w:h-ansi=&quot;Cambria Math&quot;/&gt;&lt;wx:font wx:val=&quot;Cambria Math&quot;/&gt;&lt;w:i/&gt;&lt;w:sz w:val=&quot;22&quot;/&gt;&lt;w:sz-cs w:val=&quot;22&quot;/&gt;&lt;/w:rPr&gt;&lt;m:t&gt;Vitesse Ã©limination&lt;/m:t&gt;&lt;/m:r&gt;&lt;/m:num&gt;&lt;m:den&gt;&lt;m:r&gt;&lt;w:rPr&gt;&lt;w:rFonts w:ascii=&quot;Cambria Math&quot; w:h-ansi=&quot;Cambria Math&quot;/&gt;&lt;wx:font wx:val=&quot;Cambria Math&quot;/&gt;&lt;w:i/&gt;&lt;w:sz w:val=&quot;22&quot;/&gt;&lt;w:sz-cs w:val=&quot;22&quot;/&gt;&lt;/w:rPr&gt;&lt;m:t&gt;C site d'Ã©limination&lt;/m:t&gt;&lt;/m:r&gt;&lt;/m:den&gt;&lt;/m:f&gt;&lt;/m:oMath&gt;&lt;/m:oMathPara&gt;&lt;/w:p&gt;&lt;w:sectPr wsp:rsidR=&quot;00000000&quot;&gt;&lt;w:pgSz w:w=&quot;12240&quot; w:h=&quot;15840&quot;/&gt;&lt;w:pgMar w:top=&quot;1417&quot; w:right=&quot;1417&quot; w:bottom=&quot;1417&quot; w:left=&quot;1417&quot; w:header=&quot;720&quot; w:footer=&quot;720&quot; w:gutter=&quot;0&quot;/&gt;&lt;w:cols w:space=&quot;720&quot;/&gt;&lt;/w:sectPr&gt;&lt;/w:body&gt;&lt;/w:wordDocument&gt;">
            <v:imagedata r:id="rId18" o:title="" chromakey="white"/>
          </v:shape>
        </w:pict>
      </w:r>
      <w:r w:rsidRPr="001A4127">
        <w:rPr>
          <w:rFonts w:ascii="Book Antiqua" w:hAnsi="Book Antiqua"/>
          <w:sz w:val="22"/>
          <w:szCs w:val="22"/>
        </w:rPr>
        <w:instrText xml:space="preserve"> </w:instrText>
      </w:r>
      <w:r w:rsidRPr="001A4127">
        <w:rPr>
          <w:rFonts w:ascii="Book Antiqua" w:hAnsi="Book Antiqua"/>
          <w:sz w:val="22"/>
          <w:szCs w:val="22"/>
        </w:rPr>
        <w:fldChar w:fldCharType="separate"/>
      </w:r>
      <w:r>
        <w:pict>
          <v:shape id="_x0000_i1035" type="#_x0000_t75" style="width:105pt;height:24.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stylePaneFormatFilter w:val=&quot;0000&quot;/&gt;&lt;w:defaultTabStop w:val=&quot;1134&quot;/&gt;&lt;w:hyphenationZone w:val=&quot;425&quot;/&gt;&lt;w:defaultTableStyle w:sti=&quot;0&quot; w:val=&quot;Normal&quot;/&gt;&lt;w:drawingGridHorizontalSpacing w:val=&quot;0&quot;/&gt;&lt;w:drawingGridVerticalSpacing w:val=&quot;0&quot;/&gt;&lt;w:displayHorizontalDrawingGridEvery w:val=&quot;0&quot;/&gt;&lt;w:displayVerticalDrawingGridEvery w:val=&quot;0&quot;/&gt;&lt;w:useMarginsForDrawingGridOrigin/&gt;&lt;w:drawingGridHorizontalOrigin w:val=&quot;0&quot;/&gt;&lt;w:drawingGridVerticalOrigin w:val=&quot;0&quot;/&gt;&lt;w:characterSpacingControl w:val=&quot;DontCompress&quot;/&gt;&lt;w:strictFirstAndLastChars/&gt;&lt;w:optimizeForBrowser/&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compat&gt;&lt;wsp:rsids&gt;&lt;wsp:rsidRoot wsp:val=&quot;00D11F1B&quot;/&gt;&lt;wsp:rsid wsp:val=&quot;00023301&quot;/&gt;&lt;wsp:rsid wsp:val=&quot;00044A28&quot;/&gt;&lt;wsp:rsid wsp:val=&quot;00080E67&quot;/&gt;&lt;wsp:rsid wsp:val=&quot;000C44C2&quot;/&gt;&lt;wsp:rsid wsp:val=&quot;000F2E51&quot;/&gt;&lt;wsp:rsid wsp:val=&quot;00194808&quot;/&gt;&lt;wsp:rsid wsp:val=&quot;001A1CAD&quot;/&gt;&lt;wsp:rsid wsp:val=&quot;001A4127&quot;/&gt;&lt;wsp:rsid wsp:val=&quot;001F17D3&quot;/&gt;&lt;wsp:rsid wsp:val=&quot;00215924&quot;/&gt;&lt;wsp:rsid wsp:val=&quot;00221BBC&quot;/&gt;&lt;wsp:rsid wsp:val=&quot;002342F1&quot;/&gt;&lt;wsp:rsid wsp:val=&quot;00235C06&quot;/&gt;&lt;wsp:rsid wsp:val=&quot;002B449F&quot;/&gt;&lt;wsp:rsid wsp:val=&quot;002C6F00&quot;/&gt;&lt;wsp:rsid wsp:val=&quot;00322BBD&quot;/&gt;&lt;wsp:rsid wsp:val=&quot;003239A0&quot;/&gt;&lt;wsp:rsid wsp:val=&quot;0036418D&quot;/&gt;&lt;wsp:rsid wsp:val=&quot;00384C9E&quot;/&gt;&lt;wsp:rsid wsp:val=&quot;00396AE2&quot;/&gt;&lt;wsp:rsid wsp:val=&quot;00407B4E&quot;/&gt;&lt;wsp:rsid wsp:val=&quot;00414B96&quot;/&gt;&lt;wsp:rsid wsp:val=&quot;004239B2&quot;/&gt;&lt;wsp:rsid wsp:val=&quot;004271D4&quot;/&gt;&lt;wsp:rsid wsp:val=&quot;0044139B&quot;/&gt;&lt;wsp:rsid wsp:val=&quot;004540E2&quot;/&gt;&lt;wsp:rsid wsp:val=&quot;00455072&quot;/&gt;&lt;wsp:rsid wsp:val=&quot;00461385&quot;/&gt;&lt;wsp:rsid wsp:val=&quot;00470C1B&quot;/&gt;&lt;wsp:rsid wsp:val=&quot;004B08D0&quot;/&gt;&lt;wsp:rsid wsp:val=&quot;004B5553&quot;/&gt;&lt;wsp:rsid wsp:val=&quot;005834BF&quot;/&gt;&lt;wsp:rsid wsp:val=&quot;00595B75&quot;/&gt;&lt;wsp:rsid wsp:val=&quot;005C25B3&quot;/&gt;&lt;wsp:rsid wsp:val=&quot;005C30EF&quot;/&gt;&lt;wsp:rsid wsp:val=&quot;005D50AA&quot;/&gt;&lt;wsp:rsid wsp:val=&quot;006511E2&quot;/&gt;&lt;wsp:rsid wsp:val=&quot;00655C86&quot;/&gt;&lt;wsp:rsid wsp:val=&quot;0066434C&quot;/&gt;&lt;wsp:rsid wsp:val=&quot;00667BCF&quot;/&gt;&lt;wsp:rsid wsp:val=&quot;006760FF&quot;/&gt;&lt;wsp:rsid wsp:val=&quot;006A79CB&quot;/&gt;&lt;wsp:rsid wsp:val=&quot;006E2E01&quot;/&gt;&lt;wsp:rsid wsp:val=&quot;006F65C4&quot;/&gt;&lt;wsp:rsid wsp:val=&quot;008051B1&quot;/&gt;&lt;wsp:rsid wsp:val=&quot;008560CD&quot;/&gt;&lt;wsp:rsid wsp:val=&quot;008B6F2F&quot;/&gt;&lt;wsp:rsid wsp:val=&quot;008F0B4A&quot;/&gt;&lt;wsp:rsid wsp:val=&quot;00927BBC&quot;/&gt;&lt;wsp:rsid wsp:val=&quot;00952827&quot;/&gt;&lt;wsp:rsid wsp:val=&quot;009A115C&quot;/&gt;&lt;wsp:rsid wsp:val=&quot;009D47F8&quot;/&gt;&lt;wsp:rsid wsp:val=&quot;009F63A6&quot;/&gt;&lt;wsp:rsid wsp:val=&quot;00A94F6C&quot;/&gt;&lt;wsp:rsid wsp:val=&quot;00AC4615&quot;/&gt;&lt;wsp:rsid wsp:val=&quot;00AE5C42&quot;/&gt;&lt;wsp:rsid wsp:val=&quot;00B6119F&quot;/&gt;&lt;wsp:rsid wsp:val=&quot;00B85198&quot;/&gt;&lt;wsp:rsid wsp:val=&quot;00BA7DB4&quot;/&gt;&lt;wsp:rsid wsp:val=&quot;00BC5F16&quot;/&gt;&lt;wsp:rsid wsp:val=&quot;00C3548F&quot;/&gt;&lt;wsp:rsid wsp:val=&quot;00C564BF&quot;/&gt;&lt;wsp:rsid wsp:val=&quot;00C7108B&quot;/&gt;&lt;wsp:rsid wsp:val=&quot;00CB6526&quot;/&gt;&lt;wsp:rsid wsp:val=&quot;00CD7D81&quot;/&gt;&lt;wsp:rsid wsp:val=&quot;00D078DC&quot;/&gt;&lt;wsp:rsid wsp:val=&quot;00D11F1B&quot;/&gt;&lt;wsp:rsid wsp:val=&quot;00DB7BA1&quot;/&gt;&lt;wsp:rsid wsp:val=&quot;00DE31F9&quot;/&gt;&lt;wsp:rsid wsp:val=&quot;00DF09C0&quot;/&gt;&lt;wsp:rsid wsp:val=&quot;00E428D8&quot;/&gt;&lt;wsp:rsid wsp:val=&quot;00E568A3&quot;/&gt;&lt;wsp:rsid wsp:val=&quot;00E91FCD&quot;/&gt;&lt;wsp:rsid wsp:val=&quot;00EF4708&quot;/&gt;&lt;wsp:rsid wsp:val=&quot;00F04D55&quot;/&gt;&lt;wsp:rsid wsp:val=&quot;00F81178&quot;/&gt;&lt;wsp:rsid wsp:val=&quot;00F87CD6&quot;/&gt;&lt;wsp:rsid wsp:val=&quot;00F96B94&quot;/&gt;&lt;wsp:rsid wsp:val=&quot;00FA7BDC&quot;/&gt;&lt;wsp:rsid wsp:val=&quot;00FE0B1D&quot;/&gt;&lt;/wsp:rsids&gt;&lt;/w:docPr&gt;&lt;w:body&gt;&lt;w:p wsp:rsidR=&quot;00000000&quot; wsp:rsidRDefault=&quot;004271D4&quot;&gt;&lt;m:oMathPara&gt;&lt;m:oMath&gt;&lt;m:f&gt;&lt;m:fPr&gt;&lt;m:ctrlPr&gt;&lt;w:rPr&gt;&lt;w:rFonts w:ascii=&quot;Cambria Math&quot; w:h-ansi=&quot;Cambria Math&quot;/&gt;&lt;wx:font wx:val=&quot;Cambria Math&quot;/&gt;&lt;w:i/&gt;&lt;w:sz w:val=&quot;22&quot;/&gt;&lt;w:sz-cs w:val=&quot;22&quot;/&gt;&lt;/w:rPr&gt;&lt;/m:ctrlPr&gt;&lt;/m:fPr&gt;&lt;m:num&gt;&lt;m:r&gt;&lt;w:rPr&gt;&lt;w:rFonts w:ascii=&quot;Cambria Math&quot; w:h-ansi=&quot;Cambria Math&quot;/&gt;&lt;wx:font wx:val=&quot;Cambria Math&quot;/&gt;&lt;w:i/&gt;&lt;w:sz w:val=&quot;22&quot;/&gt;&lt;w:sz-cs w:val=&quot;22&quot;/&gt;&lt;/w:rPr&gt;&lt;m:t&gt;Vitesse Ã©limination&lt;/m:t&gt;&lt;/m:r&gt;&lt;/m:num&gt;&lt;m:den&gt;&lt;m:r&gt;&lt;w:rPr&gt;&lt;w:rFonts w:ascii=&quot;Cambria Math&quot; w:h-ansi=&quot;Cambria Math&quot;/&gt;&lt;wx:font wx:val=&quot;Cambria Math&quot;/&gt;&lt;w:i/&gt;&lt;w:sz w:val=&quot;22&quot;/&gt;&lt;w:sz-cs w:val=&quot;22&quot;/&gt;&lt;/w:rPr&gt;&lt;m:t&gt;C site d'Ã©limination&lt;/m:t&gt;&lt;/m:r&gt;&lt;/m:den&gt;&lt;/m:f&gt;&lt;/m:oMath&gt;&lt;/m:oMathPara&gt;&lt;/w:p&gt;&lt;w:sectPr wsp:rsidR=&quot;00000000&quot;&gt;&lt;w:pgSz w:w=&quot;12240&quot; w:h=&quot;15840&quot;/&gt;&lt;w:pgMar w:top=&quot;1417&quot; w:right=&quot;1417&quot; w:bottom=&quot;1417&quot; w:left=&quot;1417&quot; w:header=&quot;720&quot; w:footer=&quot;720&quot; w:gutter=&quot;0&quot;/&gt;&lt;w:cols w:space=&quot;720&quot;/&gt;&lt;/w:sectPr&gt;&lt;/w:body&gt;&lt;/w:wordDocument&gt;">
            <v:imagedata r:id="rId18" o:title="" chromakey="white"/>
          </v:shape>
        </w:pict>
      </w:r>
      <w:r w:rsidRPr="001A4127">
        <w:rPr>
          <w:rFonts w:ascii="Book Antiqua" w:hAnsi="Book Antiqua"/>
          <w:sz w:val="22"/>
          <w:szCs w:val="22"/>
        </w:rPr>
        <w:fldChar w:fldCharType="end"/>
      </w:r>
      <w:r>
        <w:rPr>
          <w:rFonts w:ascii="Book Antiqua" w:hAnsi="Book Antiqua"/>
          <w:sz w:val="22"/>
          <w:szCs w:val="22"/>
        </w:rPr>
        <w:t xml:space="preserve"> = </w:t>
      </w:r>
      <w:r w:rsidRPr="001A4127">
        <w:rPr>
          <w:rFonts w:ascii="Book Antiqua" w:hAnsi="Book Antiqua"/>
          <w:sz w:val="22"/>
          <w:szCs w:val="22"/>
        </w:rPr>
        <w:fldChar w:fldCharType="begin"/>
      </w:r>
      <w:r w:rsidRPr="001A4127">
        <w:rPr>
          <w:rFonts w:ascii="Book Antiqua" w:hAnsi="Book Antiqua"/>
          <w:sz w:val="22"/>
          <w:szCs w:val="22"/>
        </w:rPr>
        <w:instrText xml:space="preserve"> QUOTE </w:instrText>
      </w:r>
      <w:r>
        <w:pict>
          <v:shape id="_x0000_i1036" type="#_x0000_t75" style="width:164.25pt;height:24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stylePaneFormatFilter w:val=&quot;0000&quot;/&gt;&lt;w:defaultTabStop w:val=&quot;1134&quot;/&gt;&lt;w:hyphenationZone w:val=&quot;425&quot;/&gt;&lt;w:defaultTableStyle w:sti=&quot;0&quot; w:val=&quot;Normal&quot;/&gt;&lt;w:drawingGridHorizontalSpacing w:val=&quot;0&quot;/&gt;&lt;w:drawingGridVerticalSpacing w:val=&quot;0&quot;/&gt;&lt;w:displayHorizontalDrawingGridEvery w:val=&quot;0&quot;/&gt;&lt;w:displayVerticalDrawingGridEvery w:val=&quot;0&quot;/&gt;&lt;w:useMarginsForDrawingGridOrigin/&gt;&lt;w:drawingGridHorizontalOrigin w:val=&quot;0&quot;/&gt;&lt;w:drawingGridVerticalOrigin w:val=&quot;0&quot;/&gt;&lt;w:characterSpacingControl w:val=&quot;DontCompress&quot;/&gt;&lt;w:strictFirstAndLastChars/&gt;&lt;w:optimizeForBrowser/&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compat&gt;&lt;wsp:rsids&gt;&lt;wsp:rsidRoot wsp:val=&quot;00D11F1B&quot;/&gt;&lt;wsp:rsid wsp:val=&quot;00023301&quot;/&gt;&lt;wsp:rsid wsp:val=&quot;00044A28&quot;/&gt;&lt;wsp:rsid wsp:val=&quot;00080E67&quot;/&gt;&lt;wsp:rsid wsp:val=&quot;000C44C2&quot;/&gt;&lt;wsp:rsid wsp:val=&quot;000F2E51&quot;/&gt;&lt;wsp:rsid wsp:val=&quot;00194808&quot;/&gt;&lt;wsp:rsid wsp:val=&quot;001A1CAD&quot;/&gt;&lt;wsp:rsid wsp:val=&quot;001A4127&quot;/&gt;&lt;wsp:rsid wsp:val=&quot;001F17D3&quot;/&gt;&lt;wsp:rsid wsp:val=&quot;00215924&quot;/&gt;&lt;wsp:rsid wsp:val=&quot;00221BBC&quot;/&gt;&lt;wsp:rsid wsp:val=&quot;002342F1&quot;/&gt;&lt;wsp:rsid wsp:val=&quot;00235C06&quot;/&gt;&lt;wsp:rsid wsp:val=&quot;002B449F&quot;/&gt;&lt;wsp:rsid wsp:val=&quot;002C6F00&quot;/&gt;&lt;wsp:rsid wsp:val=&quot;00322BBD&quot;/&gt;&lt;wsp:rsid wsp:val=&quot;003239A0&quot;/&gt;&lt;wsp:rsid wsp:val=&quot;0036418D&quot;/&gt;&lt;wsp:rsid wsp:val=&quot;00384C9E&quot;/&gt;&lt;wsp:rsid wsp:val=&quot;00396AE2&quot;/&gt;&lt;wsp:rsid wsp:val=&quot;00407B4E&quot;/&gt;&lt;wsp:rsid wsp:val=&quot;00414B96&quot;/&gt;&lt;wsp:rsid wsp:val=&quot;004239B2&quot;/&gt;&lt;wsp:rsid wsp:val=&quot;0044139B&quot;/&gt;&lt;wsp:rsid wsp:val=&quot;004540E2&quot;/&gt;&lt;wsp:rsid wsp:val=&quot;00455072&quot;/&gt;&lt;wsp:rsid wsp:val=&quot;00461385&quot;/&gt;&lt;wsp:rsid wsp:val=&quot;00470C1B&quot;/&gt;&lt;wsp:rsid wsp:val=&quot;004B08D0&quot;/&gt;&lt;wsp:rsid wsp:val=&quot;004B5553&quot;/&gt;&lt;wsp:rsid wsp:val=&quot;005834BF&quot;/&gt;&lt;wsp:rsid wsp:val=&quot;00595B75&quot;/&gt;&lt;wsp:rsid wsp:val=&quot;005C25B3&quot;/&gt;&lt;wsp:rsid wsp:val=&quot;005C30EF&quot;/&gt;&lt;wsp:rsid wsp:val=&quot;005D50AA&quot;/&gt;&lt;wsp:rsid wsp:val=&quot;006511E2&quot;/&gt;&lt;wsp:rsid wsp:val=&quot;00655C86&quot;/&gt;&lt;wsp:rsid wsp:val=&quot;0066434C&quot;/&gt;&lt;wsp:rsid wsp:val=&quot;00667BCF&quot;/&gt;&lt;wsp:rsid wsp:val=&quot;006760FF&quot;/&gt;&lt;wsp:rsid wsp:val=&quot;006A79CB&quot;/&gt;&lt;wsp:rsid wsp:val=&quot;006E2E01&quot;/&gt;&lt;wsp:rsid wsp:val=&quot;006F65C4&quot;/&gt;&lt;wsp:rsid wsp:val=&quot;00753EE8&quot;/&gt;&lt;wsp:rsid wsp:val=&quot;008051B1&quot;/&gt;&lt;wsp:rsid wsp:val=&quot;008560CD&quot;/&gt;&lt;wsp:rsid wsp:val=&quot;008B6F2F&quot;/&gt;&lt;wsp:rsid wsp:val=&quot;008F0B4A&quot;/&gt;&lt;wsp:rsid wsp:val=&quot;00927BBC&quot;/&gt;&lt;wsp:rsid wsp:val=&quot;00952827&quot;/&gt;&lt;wsp:rsid wsp:val=&quot;009A115C&quot;/&gt;&lt;wsp:rsid wsp:val=&quot;009D47F8&quot;/&gt;&lt;wsp:rsid wsp:val=&quot;009F63A6&quot;/&gt;&lt;wsp:rsid wsp:val=&quot;00A94F6C&quot;/&gt;&lt;wsp:rsid wsp:val=&quot;00AC4615&quot;/&gt;&lt;wsp:rsid wsp:val=&quot;00AE5C42&quot;/&gt;&lt;wsp:rsid wsp:val=&quot;00B6119F&quot;/&gt;&lt;wsp:rsid wsp:val=&quot;00B85198&quot;/&gt;&lt;wsp:rsid wsp:val=&quot;00BA7DB4&quot;/&gt;&lt;wsp:rsid wsp:val=&quot;00BC5F16&quot;/&gt;&lt;wsp:rsid wsp:val=&quot;00C3548F&quot;/&gt;&lt;wsp:rsid wsp:val=&quot;00C564BF&quot;/&gt;&lt;wsp:rsid wsp:val=&quot;00C7108B&quot;/&gt;&lt;wsp:rsid wsp:val=&quot;00CB6526&quot;/&gt;&lt;wsp:rsid wsp:val=&quot;00CD7D81&quot;/&gt;&lt;wsp:rsid wsp:val=&quot;00D078DC&quot;/&gt;&lt;wsp:rsid wsp:val=&quot;00D11F1B&quot;/&gt;&lt;wsp:rsid wsp:val=&quot;00DB7BA1&quot;/&gt;&lt;wsp:rsid wsp:val=&quot;00DE31F9&quot;/&gt;&lt;wsp:rsid wsp:val=&quot;00DF09C0&quot;/&gt;&lt;wsp:rsid wsp:val=&quot;00E428D8&quot;/&gt;&lt;wsp:rsid wsp:val=&quot;00E568A3&quot;/&gt;&lt;wsp:rsid wsp:val=&quot;00E91FCD&quot;/&gt;&lt;wsp:rsid wsp:val=&quot;00EF4708&quot;/&gt;&lt;wsp:rsid wsp:val=&quot;00F04D55&quot;/&gt;&lt;wsp:rsid wsp:val=&quot;00F81178&quot;/&gt;&lt;wsp:rsid wsp:val=&quot;00F87CD6&quot;/&gt;&lt;wsp:rsid wsp:val=&quot;00F96B94&quot;/&gt;&lt;wsp:rsid wsp:val=&quot;00FA7BDC&quot;/&gt;&lt;wsp:rsid wsp:val=&quot;00FE0B1D&quot;/&gt;&lt;/wsp:rsids&gt;&lt;/w:docPr&gt;&lt;w:body&gt;&lt;w:p wsp:rsidR=&quot;00000000&quot; wsp:rsidRDefault=&quot;00753EE8&quot;&gt;&lt;m:oMathPara&gt;&lt;m:oMath&gt;&lt;m:f&gt;&lt;m:fPr&gt;&lt;m:ctrlPr&gt;&lt;w:rPr&gt;&lt;w:rFonts w:ascii=&quot;Cambria Math&quot; w:h-ansi=&quot;Cambria Math&quot;/&gt;&lt;wx:font wx:val=&quot;Cambria Math&quot;/&gt;&lt;w:i/&gt;&lt;w:sz w:val=&quot;22&quot;/&gt;&lt;w:sz-cs w:val=&quot;22&quot;/&gt;&lt;/w:rPr&gt;&lt;/m:ctrlPr&gt;&lt;/m:fPr&gt;&lt;m:num&gt;&lt;m:r&gt;&lt;w:rPr&gt;&lt;w:rFonts w:ascii=&quot;Cambria Math&quot; w:h-ansi=&quot;Cambria Math&quot;/&gt;&lt;wx:font wx:val=&quot;Cambria Math&quot;/&gt;&lt;w:i/&gt;&lt;w:sz w:val=&quot;22&quot;/&gt;&lt;w:sz-cs w:val=&quot;22&quot;/&gt;&lt;/w:rPr&gt;&lt;m:t&gt;Q organeÃ—(C entrÃ©e-C sortie)&lt;/m:t&gt;&lt;/m:r&gt;&lt;/m:num&gt;&lt;m:den&gt;&lt;m:r&gt;&lt;w:rPr&gt;&lt;w:rFonts w:ascii=&quot;Cambria Math&quot; w:h-ansi=&quot;Cambria Math&quot;/&gt;&lt;wx:font wx:val=&quot;Cambria Math&quot;/&gt;&lt;w:i/&gt;&lt;w:sz w:val=&quot;22&quot;/&gt;&lt;w:sz-cs w:val=&quot;22&quot;/&gt;&lt;/w:rPr&gt;&lt;m:t&gt;C entrÃ©e&lt;/m:t&gt;&lt;/m:r&gt;&lt;/m:den&gt;&lt;/m:f&gt;&lt;/m:oMath&gt;&lt;/m:oMathPara&gt;&lt;/w:p&gt;&lt;w:sectPr wsp:rsidR=&quot;00000000&quot;&gt;&lt;w:pgSz w:w=&quot;12240&quot; w:h=&quot;15840&quot;/&gt;&lt;w:pgMar w:top=&quot;1417&quot; w:right=&quot;1417&quot; w:bottom=&quot;1417&quot; w:left=&quot;1417&quot; w:header=&quot;720&quot; w:footer=&quot;720&quot; w:gutter=&quot;0&quot;/&gt;&lt;w:cols w:space=&quot;720&quot;/&gt;&lt;/w:sectPr&gt;&lt;/w:body&gt;&lt;/w:wordDocument&gt;">
            <v:imagedata r:id="rId19" o:title="" chromakey="white"/>
          </v:shape>
        </w:pict>
      </w:r>
      <w:r w:rsidRPr="001A4127">
        <w:rPr>
          <w:rFonts w:ascii="Book Antiqua" w:hAnsi="Book Antiqua"/>
          <w:sz w:val="22"/>
          <w:szCs w:val="22"/>
        </w:rPr>
        <w:instrText xml:space="preserve"> </w:instrText>
      </w:r>
      <w:r w:rsidRPr="001A4127">
        <w:rPr>
          <w:rFonts w:ascii="Book Antiqua" w:hAnsi="Book Antiqua"/>
          <w:sz w:val="22"/>
          <w:szCs w:val="22"/>
        </w:rPr>
        <w:fldChar w:fldCharType="separate"/>
      </w:r>
      <w:r>
        <w:pict>
          <v:shape id="_x0000_i1037" type="#_x0000_t75" style="width:164.25pt;height:24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stylePaneFormatFilter w:val=&quot;0000&quot;/&gt;&lt;w:defaultTabStop w:val=&quot;1134&quot;/&gt;&lt;w:hyphenationZone w:val=&quot;425&quot;/&gt;&lt;w:defaultTableStyle w:sti=&quot;0&quot; w:val=&quot;Normal&quot;/&gt;&lt;w:drawingGridHorizontalSpacing w:val=&quot;0&quot;/&gt;&lt;w:drawingGridVerticalSpacing w:val=&quot;0&quot;/&gt;&lt;w:displayHorizontalDrawingGridEvery w:val=&quot;0&quot;/&gt;&lt;w:displayVerticalDrawingGridEvery w:val=&quot;0&quot;/&gt;&lt;w:useMarginsForDrawingGridOrigin/&gt;&lt;w:drawingGridHorizontalOrigin w:val=&quot;0&quot;/&gt;&lt;w:drawingGridVerticalOrigin w:val=&quot;0&quot;/&gt;&lt;w:characterSpacingControl w:val=&quot;DontCompress&quot;/&gt;&lt;w:strictFirstAndLastChars/&gt;&lt;w:optimizeForBrowser/&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compat&gt;&lt;wsp:rsids&gt;&lt;wsp:rsidRoot wsp:val=&quot;00D11F1B&quot;/&gt;&lt;wsp:rsid wsp:val=&quot;00023301&quot;/&gt;&lt;wsp:rsid wsp:val=&quot;00044A28&quot;/&gt;&lt;wsp:rsid wsp:val=&quot;00080E67&quot;/&gt;&lt;wsp:rsid wsp:val=&quot;000C44C2&quot;/&gt;&lt;wsp:rsid wsp:val=&quot;000F2E51&quot;/&gt;&lt;wsp:rsid wsp:val=&quot;00194808&quot;/&gt;&lt;wsp:rsid wsp:val=&quot;001A1CAD&quot;/&gt;&lt;wsp:rsid wsp:val=&quot;001A4127&quot;/&gt;&lt;wsp:rsid wsp:val=&quot;001F17D3&quot;/&gt;&lt;wsp:rsid wsp:val=&quot;00215924&quot;/&gt;&lt;wsp:rsid wsp:val=&quot;00221BBC&quot;/&gt;&lt;wsp:rsid wsp:val=&quot;002342F1&quot;/&gt;&lt;wsp:rsid wsp:val=&quot;00235C06&quot;/&gt;&lt;wsp:rsid wsp:val=&quot;002B449F&quot;/&gt;&lt;wsp:rsid wsp:val=&quot;002C6F00&quot;/&gt;&lt;wsp:rsid wsp:val=&quot;00322BBD&quot;/&gt;&lt;wsp:rsid wsp:val=&quot;003239A0&quot;/&gt;&lt;wsp:rsid wsp:val=&quot;0036418D&quot;/&gt;&lt;wsp:rsid wsp:val=&quot;00384C9E&quot;/&gt;&lt;wsp:rsid wsp:val=&quot;00396AE2&quot;/&gt;&lt;wsp:rsid wsp:val=&quot;00407B4E&quot;/&gt;&lt;wsp:rsid wsp:val=&quot;00414B96&quot;/&gt;&lt;wsp:rsid wsp:val=&quot;004239B2&quot;/&gt;&lt;wsp:rsid wsp:val=&quot;0044139B&quot;/&gt;&lt;wsp:rsid wsp:val=&quot;004540E2&quot;/&gt;&lt;wsp:rsid wsp:val=&quot;00455072&quot;/&gt;&lt;wsp:rsid wsp:val=&quot;00461385&quot;/&gt;&lt;wsp:rsid wsp:val=&quot;00470C1B&quot;/&gt;&lt;wsp:rsid wsp:val=&quot;004B08D0&quot;/&gt;&lt;wsp:rsid wsp:val=&quot;004B5553&quot;/&gt;&lt;wsp:rsid wsp:val=&quot;005834BF&quot;/&gt;&lt;wsp:rsid wsp:val=&quot;00595B75&quot;/&gt;&lt;wsp:rsid wsp:val=&quot;005C25B3&quot;/&gt;&lt;wsp:rsid wsp:val=&quot;005C30EF&quot;/&gt;&lt;wsp:rsid wsp:val=&quot;005D50AA&quot;/&gt;&lt;wsp:rsid wsp:val=&quot;006511E2&quot;/&gt;&lt;wsp:rsid wsp:val=&quot;00655C86&quot;/&gt;&lt;wsp:rsid wsp:val=&quot;0066434C&quot;/&gt;&lt;wsp:rsid wsp:val=&quot;00667BCF&quot;/&gt;&lt;wsp:rsid wsp:val=&quot;006760FF&quot;/&gt;&lt;wsp:rsid wsp:val=&quot;006A79CB&quot;/&gt;&lt;wsp:rsid wsp:val=&quot;006E2E01&quot;/&gt;&lt;wsp:rsid wsp:val=&quot;006F65C4&quot;/&gt;&lt;wsp:rsid wsp:val=&quot;00753EE8&quot;/&gt;&lt;wsp:rsid wsp:val=&quot;008051B1&quot;/&gt;&lt;wsp:rsid wsp:val=&quot;008560CD&quot;/&gt;&lt;wsp:rsid wsp:val=&quot;008B6F2F&quot;/&gt;&lt;wsp:rsid wsp:val=&quot;008F0B4A&quot;/&gt;&lt;wsp:rsid wsp:val=&quot;00927BBC&quot;/&gt;&lt;wsp:rsid wsp:val=&quot;00952827&quot;/&gt;&lt;wsp:rsid wsp:val=&quot;009A115C&quot;/&gt;&lt;wsp:rsid wsp:val=&quot;009D47F8&quot;/&gt;&lt;wsp:rsid wsp:val=&quot;009F63A6&quot;/&gt;&lt;wsp:rsid wsp:val=&quot;00A94F6C&quot;/&gt;&lt;wsp:rsid wsp:val=&quot;00AC4615&quot;/&gt;&lt;wsp:rsid wsp:val=&quot;00AE5C42&quot;/&gt;&lt;wsp:rsid wsp:val=&quot;00B6119F&quot;/&gt;&lt;wsp:rsid wsp:val=&quot;00B85198&quot;/&gt;&lt;wsp:rsid wsp:val=&quot;00BA7DB4&quot;/&gt;&lt;wsp:rsid wsp:val=&quot;00BC5F16&quot;/&gt;&lt;wsp:rsid wsp:val=&quot;00C3548F&quot;/&gt;&lt;wsp:rsid wsp:val=&quot;00C564BF&quot;/&gt;&lt;wsp:rsid wsp:val=&quot;00C7108B&quot;/&gt;&lt;wsp:rsid wsp:val=&quot;00CB6526&quot;/&gt;&lt;wsp:rsid wsp:val=&quot;00CD7D81&quot;/&gt;&lt;wsp:rsid wsp:val=&quot;00D078DC&quot;/&gt;&lt;wsp:rsid wsp:val=&quot;00D11F1B&quot;/&gt;&lt;wsp:rsid wsp:val=&quot;00DB7BA1&quot;/&gt;&lt;wsp:rsid wsp:val=&quot;00DE31F9&quot;/&gt;&lt;wsp:rsid wsp:val=&quot;00DF09C0&quot;/&gt;&lt;wsp:rsid wsp:val=&quot;00E428D8&quot;/&gt;&lt;wsp:rsid wsp:val=&quot;00E568A3&quot;/&gt;&lt;wsp:rsid wsp:val=&quot;00E91FCD&quot;/&gt;&lt;wsp:rsid wsp:val=&quot;00EF4708&quot;/&gt;&lt;wsp:rsid wsp:val=&quot;00F04D55&quot;/&gt;&lt;wsp:rsid wsp:val=&quot;00F81178&quot;/&gt;&lt;wsp:rsid wsp:val=&quot;00F87CD6&quot;/&gt;&lt;wsp:rsid wsp:val=&quot;00F96B94&quot;/&gt;&lt;wsp:rsid wsp:val=&quot;00FA7BDC&quot;/&gt;&lt;wsp:rsid wsp:val=&quot;00FE0B1D&quot;/&gt;&lt;/wsp:rsids&gt;&lt;/w:docPr&gt;&lt;w:body&gt;&lt;w:p wsp:rsidR=&quot;00000000&quot; wsp:rsidRDefault=&quot;00753EE8&quot;&gt;&lt;m:oMathPara&gt;&lt;m:oMath&gt;&lt;m:f&gt;&lt;m:fPr&gt;&lt;m:ctrlPr&gt;&lt;w:rPr&gt;&lt;w:rFonts w:ascii=&quot;Cambria Math&quot; w:h-ansi=&quot;Cambria Math&quot;/&gt;&lt;wx:font wx:val=&quot;Cambria Math&quot;/&gt;&lt;w:i/&gt;&lt;w:sz w:val=&quot;22&quot;/&gt;&lt;w:sz-cs w:val=&quot;22&quot;/&gt;&lt;/w:rPr&gt;&lt;/m:ctrlPr&gt;&lt;/m:fPr&gt;&lt;m:num&gt;&lt;m:r&gt;&lt;w:rPr&gt;&lt;w:rFonts w:ascii=&quot;Cambria Math&quot; w:h-ansi=&quot;Cambria Math&quot;/&gt;&lt;wx:font wx:val=&quot;Cambria Math&quot;/&gt;&lt;w:i/&gt;&lt;w:sz w:val=&quot;22&quot;/&gt;&lt;w:sz-cs w:val=&quot;22&quot;/&gt;&lt;/w:rPr&gt;&lt;m:t&gt;Q organeÃ—(C entrÃ©e-C sortie)&lt;/m:t&gt;&lt;/m:r&gt;&lt;/m:num&gt;&lt;m:den&gt;&lt;m:r&gt;&lt;w:rPr&gt;&lt;w:rFonts w:ascii=&quot;Cambria Math&quot; w:h-ansi=&quot;Cambria Math&quot;/&gt;&lt;wx:font wx:val=&quot;Cambria Math&quot;/&gt;&lt;w:i/&gt;&lt;w:sz w:val=&quot;22&quot;/&gt;&lt;w:sz-cs w:val=&quot;22&quot;/&gt;&lt;/w:rPr&gt;&lt;m:t&gt;C entrÃ©e&lt;/m:t&gt;&lt;/m:r&gt;&lt;/m:den&gt;&lt;/m:f&gt;&lt;/m:oMath&gt;&lt;/m:oMathPara&gt;&lt;/w:p&gt;&lt;w:sectPr wsp:rsidR=&quot;00000000&quot;&gt;&lt;w:pgSz w:w=&quot;12240&quot; w:h=&quot;15840&quot;/&gt;&lt;w:pgMar w:top=&quot;1417&quot; w:right=&quot;1417&quot; w:bottom=&quot;1417&quot; w:left=&quot;1417&quot; w:header=&quot;720&quot; w:footer=&quot;720&quot; w:gutter=&quot;0&quot;/&gt;&lt;w:cols w:space=&quot;720&quot;/&gt;&lt;/w:sectPr&gt;&lt;/w:body&gt;&lt;/w:wordDocument&gt;">
            <v:imagedata r:id="rId19" o:title="" chromakey="white"/>
          </v:shape>
        </w:pict>
      </w:r>
      <w:r w:rsidRPr="001A4127">
        <w:rPr>
          <w:rFonts w:ascii="Book Antiqua" w:hAnsi="Book Antiqua"/>
          <w:sz w:val="22"/>
          <w:szCs w:val="22"/>
        </w:rPr>
        <w:fldChar w:fldCharType="end"/>
      </w:r>
      <w:r>
        <w:rPr>
          <w:rFonts w:ascii="Book Antiqua" w:hAnsi="Book Antiqua"/>
          <w:sz w:val="22"/>
          <w:szCs w:val="22"/>
        </w:rPr>
        <w:t xml:space="preserve"> = Q* E</w:t>
      </w:r>
    </w:p>
    <w:p w:rsidR="00147745" w:rsidRPr="00DF09C0"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Pr>
          <w:rFonts w:ascii="Book Antiqua" w:hAnsi="Book Antiqua"/>
          <w:sz w:val="22"/>
          <w:szCs w:val="22"/>
        </w:rPr>
        <w:t>Les médicaments qui ont E&lt; 0,3 dépendent de la fraction libre, non liée aux protéines car le foie n’extrait pas beaucoup le médicament.</w:t>
      </w:r>
    </w:p>
    <w:p w:rsidR="00147745" w:rsidRPr="00DF09C0" w:rsidRDefault="00147745" w:rsidP="00DF09C0">
      <w:pPr>
        <w:rPr>
          <w:rFonts w:ascii="Book Antiqua" w:hAnsi="Book Antiqua"/>
          <w:sz w:val="22"/>
          <w:szCs w:val="22"/>
        </w:rPr>
      </w:pPr>
      <w:r>
        <w:rPr>
          <w:rFonts w:ascii="Book Antiqua" w:hAnsi="Book Antiqua"/>
          <w:sz w:val="22"/>
          <w:szCs w:val="22"/>
        </w:rPr>
        <w:t>Les médicaments qui ont E&gt; 0,7 dépendent du débit hépatique.</w:t>
      </w:r>
    </w:p>
    <w:p w:rsidR="00147745" w:rsidRDefault="00147745" w:rsidP="00DF09C0">
      <w:pPr>
        <w:rPr>
          <w:rFonts w:ascii="Book Antiqua" w:hAnsi="Book Antiqua"/>
          <w:sz w:val="22"/>
          <w:szCs w:val="22"/>
        </w:rPr>
      </w:pPr>
      <w:r w:rsidRPr="00013339">
        <w:rPr>
          <w:rFonts w:ascii="Book Antiqua" w:hAnsi="Book Antiqua"/>
          <w:noProof/>
          <w:sz w:val="22"/>
          <w:szCs w:val="22"/>
          <w:lang w:eastAsia="fr-FR"/>
        </w:rPr>
        <w:pict>
          <v:shape id="_x0000_i1038" type="#_x0000_t75" style="width:294pt;height:198.75pt;visibility:visible">
            <v:imagedata r:id="rId20" o:title="" croptop="8421f" cropleft="902f" cropright="2556f" gain="109227f" blacklevel="6554f"/>
          </v:shape>
        </w:pict>
      </w: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Pr>
          <w:rFonts w:ascii="Book Antiqua" w:hAnsi="Book Antiqua"/>
          <w:sz w:val="22"/>
          <w:szCs w:val="22"/>
        </w:rPr>
        <w:t>Le but de tout cela est la  détoxification, mais celle-ci se fait en augmentant l’hydrophilie et donc en facilitant l’élimination du médicament.</w:t>
      </w:r>
    </w:p>
    <w:p w:rsidR="00147745"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r w:rsidRPr="00455072">
        <w:rPr>
          <w:rFonts w:ascii="Book Antiqua" w:hAnsi="Book Antiqua"/>
          <w:b/>
          <w:sz w:val="22"/>
          <w:szCs w:val="22"/>
        </w:rPr>
        <w:t>Réactions de phase 1 </w:t>
      </w:r>
      <w:r w:rsidRPr="00DF09C0">
        <w:rPr>
          <w:rFonts w:ascii="Book Antiqua" w:hAnsi="Book Antiqua"/>
          <w:sz w:val="22"/>
          <w:szCs w:val="22"/>
        </w:rPr>
        <w:t>: modification</w:t>
      </w:r>
      <w:r>
        <w:rPr>
          <w:rFonts w:ascii="Book Antiqua" w:hAnsi="Book Antiqua"/>
          <w:sz w:val="22"/>
          <w:szCs w:val="22"/>
        </w:rPr>
        <w:t xml:space="preserve"> de la structure de la molécule : oxydation, réduction, dé-alkylation, hydrolyse (estérase) en dehors du foie le plus souvent</w:t>
      </w:r>
    </w:p>
    <w:p w:rsidR="00147745" w:rsidRPr="00DF09C0" w:rsidRDefault="00147745" w:rsidP="00DF09C0">
      <w:pPr>
        <w:rPr>
          <w:rFonts w:ascii="Book Antiqua" w:hAnsi="Book Antiqua"/>
          <w:sz w:val="22"/>
          <w:szCs w:val="22"/>
        </w:rPr>
      </w:pPr>
      <w:r w:rsidRPr="00455072">
        <w:rPr>
          <w:rFonts w:ascii="Book Antiqua" w:hAnsi="Book Antiqua"/>
          <w:b/>
          <w:sz w:val="22"/>
          <w:szCs w:val="22"/>
        </w:rPr>
        <w:t>Réaction de phase 2</w:t>
      </w:r>
      <w:r>
        <w:rPr>
          <w:rFonts w:ascii="Book Antiqua" w:hAnsi="Book Antiqua"/>
          <w:sz w:val="22"/>
          <w:szCs w:val="22"/>
        </w:rPr>
        <w:t> : ajout de groupements, conjugaison : glucuronidation, sulphoconjugaison, acétylation, methylation</w:t>
      </w:r>
    </w:p>
    <w:p w:rsidR="00147745" w:rsidRDefault="00147745" w:rsidP="00DF09C0">
      <w:pPr>
        <w:rPr>
          <w:rFonts w:ascii="Book Antiqua" w:hAnsi="Book Antiqua"/>
          <w:sz w:val="22"/>
          <w:szCs w:val="22"/>
        </w:rPr>
      </w:pPr>
      <w:r w:rsidRPr="00DF09C0">
        <w:rPr>
          <w:rFonts w:ascii="Book Antiqua" w:hAnsi="Book Antiqua"/>
          <w:sz w:val="22"/>
          <w:szCs w:val="22"/>
        </w:rPr>
        <w:t>Métabolisme = E</w:t>
      </w:r>
      <w:r>
        <w:rPr>
          <w:rFonts w:ascii="Book Antiqua" w:hAnsi="Book Antiqua"/>
          <w:sz w:val="22"/>
          <w:szCs w:val="22"/>
        </w:rPr>
        <w:t>n</w:t>
      </w:r>
      <w:r w:rsidRPr="00DF09C0">
        <w:rPr>
          <w:rFonts w:ascii="Book Antiqua" w:hAnsi="Book Antiqua"/>
          <w:sz w:val="22"/>
          <w:szCs w:val="22"/>
        </w:rPr>
        <w:t>z</w:t>
      </w:r>
      <w:r>
        <w:rPr>
          <w:rFonts w:ascii="Book Antiqua" w:hAnsi="Book Antiqua"/>
          <w:sz w:val="22"/>
          <w:szCs w:val="22"/>
        </w:rPr>
        <w:t>ymes</w:t>
      </w:r>
      <w:r w:rsidRPr="00DF09C0">
        <w:rPr>
          <w:rFonts w:ascii="Book Antiqua" w:hAnsi="Book Antiqua"/>
          <w:sz w:val="22"/>
          <w:szCs w:val="22"/>
        </w:rPr>
        <w:t> : inhibition, induction, interaction mé</w:t>
      </w:r>
      <w:r>
        <w:rPr>
          <w:rFonts w:ascii="Book Antiqua" w:hAnsi="Book Antiqua"/>
          <w:sz w:val="22"/>
          <w:szCs w:val="22"/>
        </w:rPr>
        <w:t>d</w:t>
      </w:r>
      <w:r w:rsidRPr="00DF09C0">
        <w:rPr>
          <w:rFonts w:ascii="Book Antiqua" w:hAnsi="Book Antiqua"/>
          <w:sz w:val="22"/>
          <w:szCs w:val="22"/>
        </w:rPr>
        <w:t>i</w:t>
      </w:r>
      <w:r>
        <w:rPr>
          <w:rFonts w:ascii="Book Antiqua" w:hAnsi="Book Antiqua"/>
          <w:sz w:val="22"/>
          <w:szCs w:val="22"/>
        </w:rPr>
        <w:t>ca</w:t>
      </w:r>
      <w:r w:rsidRPr="00DF09C0">
        <w:rPr>
          <w:rFonts w:ascii="Book Antiqua" w:hAnsi="Book Antiqua"/>
          <w:sz w:val="22"/>
          <w:szCs w:val="22"/>
        </w:rPr>
        <w:t>menteuses ; influence des gènes, e</w:t>
      </w:r>
      <w:r>
        <w:rPr>
          <w:rFonts w:ascii="Book Antiqua" w:hAnsi="Book Antiqua"/>
          <w:sz w:val="22"/>
          <w:szCs w:val="22"/>
        </w:rPr>
        <w:t>nvironnement ; variabilité inter et intra individuelle</w:t>
      </w: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Pr>
          <w:noProof/>
          <w:lang w:eastAsia="fr-FR"/>
        </w:rPr>
        <w:pict>
          <v:shape id="Image 4" o:spid="_x0000_s1033" type="#_x0000_t75" style="position:absolute;margin-left:1.25pt;margin-top:-.05pt;width:240pt;height:111.75pt;z-index:251660800;visibility:visible">
            <v:imagedata r:id="rId21" o:title="" croptop="2537f" cropleft="1793f" gain="2" blacklevel="7864f"/>
            <w10:wrap type="square"/>
          </v:shape>
        </w:pict>
      </w:r>
      <w:r>
        <w:rPr>
          <w:rFonts w:ascii="Book Antiqua" w:hAnsi="Book Antiqua"/>
          <w:sz w:val="22"/>
          <w:szCs w:val="22"/>
        </w:rPr>
        <w:t>% de CYP 450 impliqués dans le métabolisme des médicaments.</w:t>
      </w:r>
    </w:p>
    <w:p w:rsidR="00147745" w:rsidRDefault="00147745" w:rsidP="00DF09C0">
      <w:pPr>
        <w:rPr>
          <w:rFonts w:ascii="Book Antiqua" w:hAnsi="Book Antiqua"/>
          <w:sz w:val="22"/>
          <w:szCs w:val="22"/>
        </w:rPr>
      </w:pPr>
      <w:r>
        <w:rPr>
          <w:rFonts w:ascii="Book Antiqua" w:hAnsi="Book Antiqua"/>
          <w:sz w:val="22"/>
          <w:szCs w:val="22"/>
        </w:rPr>
        <w:t>Le CYP3A4  est le plus impliqué dans le métabolisme des médicaments.</w:t>
      </w: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p>
    <w:p w:rsidR="00147745" w:rsidRDefault="00147745" w:rsidP="00DF09C0">
      <w:pPr>
        <w:rPr>
          <w:rFonts w:ascii="Book Antiqua" w:hAnsi="Book Antiqua"/>
          <w:b/>
          <w:sz w:val="22"/>
          <w:szCs w:val="22"/>
        </w:rPr>
      </w:pPr>
    </w:p>
    <w:p w:rsidR="00147745" w:rsidRPr="00DF09C0" w:rsidRDefault="00147745" w:rsidP="00DF09C0">
      <w:pPr>
        <w:rPr>
          <w:rFonts w:ascii="Book Antiqua" w:hAnsi="Book Antiqua"/>
          <w:sz w:val="22"/>
          <w:szCs w:val="22"/>
        </w:rPr>
      </w:pPr>
      <w:r>
        <w:rPr>
          <w:noProof/>
          <w:lang w:eastAsia="fr-FR"/>
        </w:rPr>
        <w:pict>
          <v:shape id="Image 5" o:spid="_x0000_s1034" type="#_x0000_t75" style="position:absolute;margin-left:1.25pt;margin-top:.2pt;width:269.25pt;height:201.75pt;z-index:251661824;visibility:visible">
            <v:imagedata r:id="rId22" o:title="" gain="121363f" blacklevel="6554f"/>
            <w10:wrap type="square"/>
          </v:shape>
        </w:pict>
      </w:r>
      <w:r w:rsidRPr="00215924">
        <w:rPr>
          <w:rFonts w:ascii="Book Antiqua" w:hAnsi="Book Antiqua"/>
          <w:b/>
          <w:sz w:val="22"/>
          <w:szCs w:val="22"/>
        </w:rPr>
        <w:t>Effet inducteur</w:t>
      </w:r>
      <w:r w:rsidRPr="00DF09C0">
        <w:rPr>
          <w:rFonts w:ascii="Book Antiqua" w:hAnsi="Book Antiqua"/>
          <w:sz w:val="22"/>
          <w:szCs w:val="22"/>
        </w:rPr>
        <w:t xml:space="preserve"> : </w:t>
      </w:r>
      <w:r>
        <w:rPr>
          <w:rFonts w:ascii="Book Antiqua" w:hAnsi="Book Antiqua"/>
          <w:sz w:val="22"/>
          <w:szCs w:val="22"/>
        </w:rPr>
        <w:t xml:space="preserve">la </w:t>
      </w:r>
      <w:r w:rsidRPr="00DF09C0">
        <w:rPr>
          <w:rFonts w:ascii="Book Antiqua" w:hAnsi="Book Antiqua"/>
          <w:sz w:val="22"/>
          <w:szCs w:val="22"/>
        </w:rPr>
        <w:t>possibilité de certains médicaments</w:t>
      </w:r>
      <w:r>
        <w:rPr>
          <w:rFonts w:ascii="Book Antiqua" w:hAnsi="Book Antiqua"/>
          <w:sz w:val="22"/>
          <w:szCs w:val="22"/>
        </w:rPr>
        <w:t xml:space="preserve"> d’induire l’activité du gène qui va coder pour les cytochromes =&gt; plus de métabolites formés</w:t>
      </w:r>
      <w:r w:rsidRPr="00DF09C0">
        <w:rPr>
          <w:rFonts w:ascii="Book Antiqua" w:hAnsi="Book Antiqua"/>
          <w:sz w:val="22"/>
          <w:szCs w:val="22"/>
        </w:rPr>
        <w:t xml:space="preserve"> </w:t>
      </w:r>
      <w:r w:rsidRPr="00DF09C0">
        <w:rPr>
          <w:rFonts w:ascii="Book Antiqua" w:hAnsi="Book Antiqua"/>
          <w:sz w:val="22"/>
          <w:szCs w:val="22"/>
        </w:rPr>
        <w:sym w:font="Wingdings" w:char="F0E8"/>
      </w:r>
      <w:r w:rsidRPr="00DF09C0">
        <w:rPr>
          <w:rFonts w:ascii="Book Antiqua" w:hAnsi="Book Antiqua"/>
          <w:sz w:val="22"/>
          <w:szCs w:val="22"/>
        </w:rPr>
        <w:t xml:space="preserve"> </w:t>
      </w:r>
      <w:r>
        <w:rPr>
          <w:rFonts w:ascii="Book Antiqua" w:hAnsi="Book Antiqua"/>
          <w:sz w:val="22"/>
          <w:szCs w:val="22"/>
        </w:rPr>
        <w:t>la concentration d</w:t>
      </w:r>
      <w:r w:rsidRPr="00DF09C0">
        <w:rPr>
          <w:rFonts w:ascii="Book Antiqua" w:hAnsi="Book Antiqua"/>
          <w:sz w:val="22"/>
          <w:szCs w:val="22"/>
        </w:rPr>
        <w:t xml:space="preserve">es médicaments dépendant du métabolisme de CYP450 </w:t>
      </w:r>
      <w:r>
        <w:rPr>
          <w:rFonts w:ascii="Book Antiqua" w:hAnsi="Book Antiqua"/>
          <w:sz w:val="22"/>
          <w:szCs w:val="22"/>
        </w:rPr>
        <w:t xml:space="preserve">va diminuer et ils </w:t>
      </w:r>
      <w:r w:rsidRPr="00215924">
        <w:rPr>
          <w:rFonts w:ascii="Book Antiqua" w:hAnsi="Book Antiqua"/>
          <w:b/>
          <w:sz w:val="22"/>
          <w:szCs w:val="22"/>
        </w:rPr>
        <w:t>risquent d’être inefficaces</w:t>
      </w:r>
      <w:r>
        <w:rPr>
          <w:rFonts w:ascii="Book Antiqua" w:hAnsi="Book Antiqua"/>
          <w:sz w:val="22"/>
          <w:szCs w:val="22"/>
        </w:rPr>
        <w:t>.</w:t>
      </w:r>
    </w:p>
    <w:p w:rsidR="00147745" w:rsidRDefault="00147745" w:rsidP="00DF09C0">
      <w:pPr>
        <w:rPr>
          <w:rFonts w:ascii="Book Antiqua" w:hAnsi="Book Antiqua"/>
          <w:b/>
          <w:sz w:val="22"/>
          <w:szCs w:val="22"/>
        </w:rPr>
      </w:pPr>
    </w:p>
    <w:p w:rsidR="00147745" w:rsidRDefault="00147745" w:rsidP="00DF09C0">
      <w:pPr>
        <w:rPr>
          <w:rFonts w:ascii="Book Antiqua" w:hAnsi="Book Antiqua"/>
          <w:b/>
          <w:sz w:val="22"/>
          <w:szCs w:val="22"/>
        </w:rPr>
      </w:pPr>
    </w:p>
    <w:p w:rsidR="00147745" w:rsidRPr="00DF09C0" w:rsidRDefault="00147745" w:rsidP="00DF09C0">
      <w:pPr>
        <w:rPr>
          <w:rFonts w:ascii="Book Antiqua" w:hAnsi="Book Antiqua"/>
          <w:sz w:val="22"/>
          <w:szCs w:val="22"/>
        </w:rPr>
      </w:pPr>
      <w:r w:rsidRPr="00215924">
        <w:rPr>
          <w:rFonts w:ascii="Book Antiqua" w:hAnsi="Book Antiqua"/>
          <w:b/>
          <w:sz w:val="22"/>
          <w:szCs w:val="22"/>
        </w:rPr>
        <w:t>Effet inhibiteur</w:t>
      </w:r>
      <w:r w:rsidRPr="00DF09C0">
        <w:rPr>
          <w:rFonts w:ascii="Book Antiqua" w:hAnsi="Book Antiqua"/>
          <w:sz w:val="22"/>
          <w:szCs w:val="22"/>
        </w:rPr>
        <w:t xml:space="preserve"> : </w:t>
      </w:r>
      <w:r>
        <w:rPr>
          <w:rFonts w:ascii="Book Antiqua" w:hAnsi="Book Antiqua"/>
          <w:sz w:val="22"/>
          <w:szCs w:val="22"/>
        </w:rPr>
        <w:t xml:space="preserve">c’est l’inverse  mais c’est une interaction purement mécanique: un médicament va avoir une affinité particulière pour le site actif de l’enzyme et va se fixer dessus et empêche d’autres médicaments de se fixer et va inhiber la sélectivité métabolique. Le résultat c’est que le médicament qui est éliminé par métabolisation le sera beaucoup moins. Il y a donc un </w:t>
      </w:r>
      <w:r w:rsidRPr="00215924">
        <w:rPr>
          <w:rFonts w:ascii="Book Antiqua" w:hAnsi="Book Antiqua"/>
          <w:b/>
          <w:sz w:val="22"/>
          <w:szCs w:val="22"/>
        </w:rPr>
        <w:t>risque de toxicité par surdosage</w:t>
      </w:r>
      <w:r>
        <w:rPr>
          <w:rFonts w:ascii="Book Antiqua" w:hAnsi="Book Antiqua"/>
          <w:sz w:val="22"/>
          <w:szCs w:val="22"/>
        </w:rPr>
        <w:t>.</w:t>
      </w:r>
    </w:p>
    <w:p w:rsidR="00147745"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r w:rsidRPr="00DF09C0">
        <w:rPr>
          <w:rFonts w:ascii="Book Antiqua" w:hAnsi="Book Antiqua"/>
          <w:sz w:val="22"/>
          <w:szCs w:val="22"/>
        </w:rPr>
        <w:t xml:space="preserve">Quand un médicament a plusieurs types de </w:t>
      </w:r>
      <w:r>
        <w:rPr>
          <w:rFonts w:ascii="Book Antiqua" w:hAnsi="Book Antiqua"/>
          <w:sz w:val="22"/>
          <w:szCs w:val="22"/>
        </w:rPr>
        <w:t>voies métaboliques</w:t>
      </w:r>
      <w:r w:rsidRPr="00DF09C0">
        <w:rPr>
          <w:rFonts w:ascii="Book Antiqua" w:hAnsi="Book Antiqua"/>
          <w:sz w:val="22"/>
          <w:szCs w:val="22"/>
        </w:rPr>
        <w:t>,</w:t>
      </w:r>
      <w:r>
        <w:rPr>
          <w:rFonts w:ascii="Book Antiqua" w:hAnsi="Book Antiqua"/>
          <w:sz w:val="22"/>
          <w:szCs w:val="22"/>
        </w:rPr>
        <w:t xml:space="preserve"> on a</w:t>
      </w:r>
      <w:r w:rsidRPr="00DF09C0">
        <w:rPr>
          <w:rFonts w:ascii="Book Antiqua" w:hAnsi="Book Antiqua"/>
          <w:sz w:val="22"/>
          <w:szCs w:val="22"/>
        </w:rPr>
        <w:t xml:space="preserve"> moins de risque </w:t>
      </w:r>
      <w:r>
        <w:rPr>
          <w:rFonts w:ascii="Book Antiqua" w:hAnsi="Book Antiqua"/>
          <w:sz w:val="22"/>
          <w:szCs w:val="22"/>
        </w:rPr>
        <w:t xml:space="preserve">de surdosage ou de sous-dosage et </w:t>
      </w:r>
      <w:r w:rsidRPr="00DF09C0">
        <w:rPr>
          <w:rFonts w:ascii="Book Antiqua" w:hAnsi="Book Antiqua"/>
          <w:sz w:val="22"/>
          <w:szCs w:val="22"/>
        </w:rPr>
        <w:t xml:space="preserve">d’interaction médicamenteuse. </w:t>
      </w:r>
    </w:p>
    <w:p w:rsidR="00147745" w:rsidRPr="00DF09C0" w:rsidRDefault="00147745" w:rsidP="00DF09C0">
      <w:pPr>
        <w:pBdr>
          <w:bottom w:val="single" w:sz="12" w:space="1" w:color="auto"/>
        </w:pBdr>
        <w:rPr>
          <w:rFonts w:ascii="Book Antiqua" w:hAnsi="Book Antiqua"/>
          <w:sz w:val="22"/>
          <w:szCs w:val="22"/>
        </w:rPr>
      </w:pPr>
    </w:p>
    <w:p w:rsidR="00147745" w:rsidRPr="00DF09C0" w:rsidRDefault="00147745" w:rsidP="00DF09C0">
      <w:pPr>
        <w:rPr>
          <w:rFonts w:ascii="Book Antiqua" w:hAnsi="Book Antiqua"/>
          <w:sz w:val="22"/>
          <w:szCs w:val="22"/>
        </w:rPr>
      </w:pPr>
    </w:p>
    <w:p w:rsidR="00147745" w:rsidRPr="00FE0B1D" w:rsidRDefault="00147745" w:rsidP="00FE0B1D">
      <w:pPr>
        <w:jc w:val="center"/>
        <w:rPr>
          <w:rFonts w:ascii="Lucida Handwriting" w:hAnsi="Lucida Handwriting"/>
          <w:b/>
        </w:rPr>
      </w:pPr>
      <w:r w:rsidRPr="00FE0B1D">
        <w:rPr>
          <w:rFonts w:ascii="Lucida Handwriting" w:hAnsi="Lucida Handwriting"/>
          <w:b/>
        </w:rPr>
        <w:t xml:space="preserve">Les médicaments </w:t>
      </w:r>
      <w:r>
        <w:rPr>
          <w:rFonts w:ascii="Lucida Handwriting" w:hAnsi="Lucida Handwriting"/>
          <w:b/>
        </w:rPr>
        <w:t xml:space="preserve"> </w:t>
      </w:r>
      <w:r w:rsidRPr="00FE0B1D">
        <w:rPr>
          <w:rFonts w:ascii="Lucida Handwriting" w:hAnsi="Lucida Handwriting"/>
          <w:b/>
        </w:rPr>
        <w:t xml:space="preserve">de l’hépatite </w:t>
      </w:r>
      <w:r>
        <w:rPr>
          <w:rFonts w:ascii="Lucida Handwriting" w:hAnsi="Lucida Handwriting"/>
          <w:b/>
        </w:rPr>
        <w:t xml:space="preserve"> </w:t>
      </w:r>
      <w:r w:rsidRPr="00FE0B1D">
        <w:rPr>
          <w:rFonts w:ascii="Lucida Handwriting" w:hAnsi="Lucida Handwriting"/>
          <w:b/>
        </w:rPr>
        <w:t>C</w:t>
      </w: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Pr="00DF09C0" w:rsidRDefault="00147745" w:rsidP="00FE0B1D">
      <w:pPr>
        <w:rPr>
          <w:rFonts w:ascii="Book Antiqua" w:hAnsi="Book Antiqua"/>
          <w:sz w:val="22"/>
          <w:szCs w:val="22"/>
        </w:rPr>
      </w:pPr>
      <w:r>
        <w:rPr>
          <w:rFonts w:ascii="Book Antiqua" w:hAnsi="Book Antiqua"/>
          <w:sz w:val="22"/>
          <w:szCs w:val="22"/>
        </w:rPr>
        <w:t xml:space="preserve">Jusqu’à </w:t>
      </w:r>
      <w:r w:rsidRPr="00FE0B1D">
        <w:rPr>
          <w:rFonts w:ascii="Book Antiqua" w:hAnsi="Book Antiqua"/>
          <w:sz w:val="22"/>
          <w:szCs w:val="22"/>
        </w:rPr>
        <w:t>aujourd’hui</w:t>
      </w:r>
      <w:r>
        <w:rPr>
          <w:rFonts w:ascii="Book Antiqua" w:hAnsi="Book Antiqua"/>
          <w:sz w:val="22"/>
          <w:szCs w:val="22"/>
        </w:rPr>
        <w:t xml:space="preserve"> le traitement officiel de l’hépatite C se fait par </w:t>
      </w:r>
      <w:r w:rsidRPr="00322BBD">
        <w:rPr>
          <w:rFonts w:ascii="Book Antiqua" w:hAnsi="Book Antiqua"/>
          <w:b/>
          <w:sz w:val="22"/>
          <w:szCs w:val="22"/>
        </w:rPr>
        <w:t>l’association ribavirine-interféron</w:t>
      </w:r>
      <w:r>
        <w:rPr>
          <w:rFonts w:ascii="Book Antiqua" w:hAnsi="Book Antiqua"/>
          <w:sz w:val="22"/>
          <w:szCs w:val="22"/>
        </w:rPr>
        <w:t xml:space="preserve"> et est très efficace.</w:t>
      </w:r>
      <w:r w:rsidRPr="00FE0B1D">
        <w:rPr>
          <w:rFonts w:ascii="Book Antiqua" w:hAnsi="Book Antiqua"/>
          <w:sz w:val="22"/>
          <w:szCs w:val="22"/>
        </w:rPr>
        <w:t xml:space="preserve"> </w:t>
      </w:r>
      <w:r>
        <w:rPr>
          <w:rFonts w:ascii="Book Antiqua" w:hAnsi="Book Antiqua"/>
          <w:sz w:val="22"/>
          <w:szCs w:val="22"/>
        </w:rPr>
        <w:t>C’est important puisque l’h</w:t>
      </w:r>
      <w:r w:rsidRPr="00DF09C0">
        <w:rPr>
          <w:rFonts w:ascii="Book Antiqua" w:hAnsi="Book Antiqua"/>
          <w:sz w:val="22"/>
          <w:szCs w:val="22"/>
        </w:rPr>
        <w:t xml:space="preserve">épatite </w:t>
      </w:r>
      <w:r>
        <w:rPr>
          <w:rFonts w:ascii="Book Antiqua" w:hAnsi="Book Antiqua"/>
          <w:sz w:val="22"/>
          <w:szCs w:val="22"/>
        </w:rPr>
        <w:t xml:space="preserve">C est </w:t>
      </w:r>
      <w:r w:rsidRPr="00DF09C0">
        <w:rPr>
          <w:rFonts w:ascii="Book Antiqua" w:hAnsi="Book Antiqua"/>
          <w:sz w:val="22"/>
          <w:szCs w:val="22"/>
        </w:rPr>
        <w:t xml:space="preserve"> </w:t>
      </w:r>
      <w:r>
        <w:rPr>
          <w:rFonts w:ascii="Book Antiqua" w:hAnsi="Book Antiqua"/>
          <w:sz w:val="22"/>
          <w:szCs w:val="22"/>
        </w:rPr>
        <w:t>l’</w:t>
      </w:r>
      <w:r w:rsidRPr="00DF09C0">
        <w:rPr>
          <w:rFonts w:ascii="Book Antiqua" w:hAnsi="Book Antiqua"/>
          <w:sz w:val="22"/>
          <w:szCs w:val="22"/>
        </w:rPr>
        <w:t>infection</w:t>
      </w:r>
      <w:r>
        <w:rPr>
          <w:rFonts w:ascii="Book Antiqua" w:hAnsi="Book Antiqua"/>
          <w:sz w:val="22"/>
          <w:szCs w:val="22"/>
        </w:rPr>
        <w:t xml:space="preserve"> virale</w:t>
      </w:r>
      <w:r w:rsidRPr="00DF09C0">
        <w:rPr>
          <w:rFonts w:ascii="Book Antiqua" w:hAnsi="Book Antiqua"/>
          <w:sz w:val="22"/>
          <w:szCs w:val="22"/>
        </w:rPr>
        <w:t xml:space="preserve"> la plus rependu</w:t>
      </w:r>
      <w:r>
        <w:rPr>
          <w:rFonts w:ascii="Book Antiqua" w:hAnsi="Book Antiqua"/>
          <w:sz w:val="22"/>
          <w:szCs w:val="22"/>
        </w:rPr>
        <w:t>e</w:t>
      </w:r>
      <w:r w:rsidRPr="00DF09C0">
        <w:rPr>
          <w:rFonts w:ascii="Book Antiqua" w:hAnsi="Book Antiqua"/>
          <w:sz w:val="22"/>
          <w:szCs w:val="22"/>
        </w:rPr>
        <w:t xml:space="preserve"> </w:t>
      </w:r>
      <w:r>
        <w:rPr>
          <w:rFonts w:ascii="Book Antiqua" w:hAnsi="Book Antiqua"/>
          <w:sz w:val="22"/>
          <w:szCs w:val="22"/>
        </w:rPr>
        <w:t>dans le</w:t>
      </w:r>
      <w:r w:rsidRPr="00DF09C0">
        <w:rPr>
          <w:rFonts w:ascii="Book Antiqua" w:hAnsi="Book Antiqua"/>
          <w:sz w:val="22"/>
          <w:szCs w:val="22"/>
        </w:rPr>
        <w:t xml:space="preserve"> monde</w:t>
      </w:r>
      <w:r>
        <w:rPr>
          <w:rFonts w:ascii="Book Antiqua" w:hAnsi="Book Antiqua"/>
          <w:sz w:val="22"/>
          <w:szCs w:val="22"/>
        </w:rPr>
        <w:t>, plus importante que le SIDA et il y a d’ailleurs beaucoup de patients qui sont co-infectés par le VIH et le VHC</w:t>
      </w:r>
      <w:r w:rsidRPr="00DF09C0">
        <w:rPr>
          <w:rFonts w:ascii="Book Antiqua" w:hAnsi="Book Antiqua"/>
          <w:sz w:val="22"/>
          <w:szCs w:val="22"/>
        </w:rPr>
        <w:t xml:space="preserve">. </w:t>
      </w:r>
    </w:p>
    <w:p w:rsidR="00147745" w:rsidRDefault="00147745" w:rsidP="00DF09C0">
      <w:pPr>
        <w:rPr>
          <w:rFonts w:ascii="Book Antiqua" w:hAnsi="Book Antiqua"/>
          <w:sz w:val="22"/>
          <w:szCs w:val="22"/>
        </w:rPr>
      </w:pPr>
    </w:p>
    <w:p w:rsidR="00147745" w:rsidRPr="00FE0B1D" w:rsidRDefault="00147745" w:rsidP="00DF09C0">
      <w:pPr>
        <w:rPr>
          <w:rFonts w:ascii="Book Antiqua" w:hAnsi="Book Antiqua"/>
          <w:sz w:val="22"/>
          <w:szCs w:val="22"/>
        </w:rPr>
      </w:pPr>
      <w:r>
        <w:rPr>
          <w:rFonts w:ascii="Book Antiqua" w:hAnsi="Book Antiqua"/>
          <w:sz w:val="22"/>
          <w:szCs w:val="22"/>
        </w:rPr>
        <w:t>L</w:t>
      </w:r>
      <w:r w:rsidRPr="00FE0B1D">
        <w:rPr>
          <w:rFonts w:ascii="Book Antiqua" w:hAnsi="Book Antiqua"/>
          <w:sz w:val="22"/>
          <w:szCs w:val="22"/>
        </w:rPr>
        <w:t>a RIBAVIRINE :</w:t>
      </w:r>
    </w:p>
    <w:p w:rsidR="00147745" w:rsidRPr="00DF09C0" w:rsidRDefault="00147745" w:rsidP="00322BBD">
      <w:pPr>
        <w:pStyle w:val="ListParagraph"/>
        <w:numPr>
          <w:ilvl w:val="0"/>
          <w:numId w:val="1"/>
        </w:numPr>
        <w:ind w:left="0" w:firstLine="357"/>
        <w:jc w:val="left"/>
        <w:rPr>
          <w:rFonts w:ascii="Book Antiqua" w:hAnsi="Book Antiqua"/>
        </w:rPr>
      </w:pPr>
      <w:r w:rsidRPr="00DF09C0">
        <w:rPr>
          <w:rFonts w:ascii="Book Antiqua" w:hAnsi="Book Antiqua"/>
        </w:rPr>
        <w:t>Analogue nucléosidique de la purine</w:t>
      </w:r>
    </w:p>
    <w:p w:rsidR="00147745" w:rsidRPr="00DF09C0" w:rsidRDefault="00147745" w:rsidP="00322BBD">
      <w:pPr>
        <w:pStyle w:val="ListParagraph"/>
        <w:numPr>
          <w:ilvl w:val="0"/>
          <w:numId w:val="1"/>
        </w:numPr>
        <w:ind w:left="0" w:firstLine="357"/>
        <w:jc w:val="left"/>
        <w:rPr>
          <w:rFonts w:ascii="Book Antiqua" w:hAnsi="Book Antiqua"/>
        </w:rPr>
      </w:pPr>
      <w:r w:rsidRPr="00DF09C0">
        <w:rPr>
          <w:rFonts w:ascii="Book Antiqua" w:hAnsi="Book Antiqua"/>
        </w:rPr>
        <w:t xml:space="preserve">Forme </w:t>
      </w:r>
      <w:r w:rsidRPr="00322BBD">
        <w:rPr>
          <w:rFonts w:ascii="Book Antiqua" w:hAnsi="Book Antiqua"/>
          <w:b/>
        </w:rPr>
        <w:t>active</w:t>
      </w:r>
      <w:r w:rsidRPr="00DF09C0">
        <w:rPr>
          <w:rFonts w:ascii="Book Antiqua" w:hAnsi="Book Antiqua"/>
        </w:rPr>
        <w:t xml:space="preserve"> : ribavirine </w:t>
      </w:r>
      <w:r w:rsidRPr="00322BBD">
        <w:rPr>
          <w:rFonts w:ascii="Book Antiqua" w:hAnsi="Book Antiqua"/>
          <w:b/>
        </w:rPr>
        <w:t>triphosphate</w:t>
      </w:r>
    </w:p>
    <w:p w:rsidR="00147745" w:rsidRDefault="00147745" w:rsidP="00322BBD">
      <w:pPr>
        <w:pStyle w:val="ListParagraph"/>
        <w:numPr>
          <w:ilvl w:val="0"/>
          <w:numId w:val="1"/>
        </w:numPr>
        <w:ind w:left="0" w:firstLine="357"/>
        <w:jc w:val="left"/>
        <w:rPr>
          <w:rFonts w:ascii="Book Antiqua" w:hAnsi="Book Antiqua"/>
        </w:rPr>
      </w:pPr>
      <w:r w:rsidRPr="00322BBD">
        <w:rPr>
          <w:rFonts w:ascii="Book Antiqua" w:hAnsi="Book Antiqua"/>
          <w:b/>
        </w:rPr>
        <w:t>Effet anti-viral</w:t>
      </w:r>
      <w:r w:rsidRPr="00DF09C0">
        <w:rPr>
          <w:rFonts w:ascii="Book Antiqua" w:hAnsi="Book Antiqua"/>
        </w:rPr>
        <w:t xml:space="preserve"> : réplication virale (faible ; 0,3log), 2’5’ OAS en synergie avec l’interféron, </w:t>
      </w:r>
      <w:r w:rsidRPr="00322BBD">
        <w:rPr>
          <w:rFonts w:ascii="Book Antiqua" w:hAnsi="Book Antiqua"/>
          <w:b/>
        </w:rPr>
        <w:t>inhibition</w:t>
      </w:r>
      <w:r w:rsidRPr="00DF09C0">
        <w:rPr>
          <w:rFonts w:ascii="Book Antiqua" w:hAnsi="Book Antiqua"/>
        </w:rPr>
        <w:t xml:space="preserve"> </w:t>
      </w:r>
      <w:r w:rsidRPr="00322BBD">
        <w:rPr>
          <w:rFonts w:ascii="Book Antiqua" w:hAnsi="Book Antiqua"/>
          <w:b/>
        </w:rPr>
        <w:t>de l’IMPDH</w:t>
      </w:r>
      <w:r>
        <w:rPr>
          <w:rFonts w:ascii="Book Antiqua" w:hAnsi="Book Antiqua"/>
          <w:b/>
        </w:rPr>
        <w:t xml:space="preserve"> </w:t>
      </w:r>
      <w:r>
        <w:rPr>
          <w:rFonts w:ascii="Book Antiqua" w:hAnsi="Book Antiqua"/>
        </w:rPr>
        <w:t>et donc la réplication qui a besoin de cette enzyme ne peut plus se faire</w:t>
      </w:r>
    </w:p>
    <w:p w:rsidR="00147745" w:rsidRPr="00DF09C0" w:rsidRDefault="00147745" w:rsidP="00322BBD">
      <w:pPr>
        <w:pStyle w:val="ListParagraph"/>
        <w:numPr>
          <w:ilvl w:val="0"/>
          <w:numId w:val="1"/>
        </w:numPr>
        <w:ind w:left="0" w:firstLine="357"/>
        <w:jc w:val="left"/>
        <w:rPr>
          <w:rFonts w:ascii="Book Antiqua" w:hAnsi="Book Antiqua"/>
        </w:rPr>
      </w:pPr>
      <w:r>
        <w:rPr>
          <w:rFonts w:ascii="Book Antiqua" w:hAnsi="Book Antiqua"/>
        </w:rPr>
        <w:t xml:space="preserve"> R</w:t>
      </w:r>
      <w:r w:rsidRPr="00DF09C0">
        <w:rPr>
          <w:rFonts w:ascii="Book Antiqua" w:hAnsi="Book Antiqua"/>
        </w:rPr>
        <w:t>éduction de synthèse de GTP, mutations possibles (NS5b)</w:t>
      </w:r>
    </w:p>
    <w:p w:rsidR="00147745" w:rsidRPr="00DF09C0" w:rsidRDefault="00147745" w:rsidP="00322BBD">
      <w:pPr>
        <w:pStyle w:val="ListParagraph"/>
        <w:numPr>
          <w:ilvl w:val="0"/>
          <w:numId w:val="1"/>
        </w:numPr>
        <w:ind w:left="0" w:firstLine="357"/>
        <w:jc w:val="left"/>
        <w:rPr>
          <w:rFonts w:ascii="Book Antiqua" w:hAnsi="Book Antiqua"/>
        </w:rPr>
      </w:pPr>
      <w:r w:rsidRPr="00DF09C0">
        <w:rPr>
          <w:rFonts w:ascii="Book Antiqua" w:hAnsi="Book Antiqua"/>
        </w:rPr>
        <w:t>Mécanisme d’action mal connu.</w:t>
      </w:r>
    </w:p>
    <w:p w:rsidR="00147745" w:rsidRPr="00322BBD" w:rsidRDefault="00147745" w:rsidP="00DF09C0">
      <w:pPr>
        <w:rPr>
          <w:rFonts w:ascii="Book Antiqua" w:hAnsi="Book Antiqua"/>
          <w:sz w:val="22"/>
          <w:szCs w:val="22"/>
        </w:rPr>
      </w:pPr>
    </w:p>
    <w:p w:rsidR="00147745" w:rsidRPr="00322BBD" w:rsidRDefault="00147745" w:rsidP="00DF09C0">
      <w:pPr>
        <w:rPr>
          <w:rFonts w:ascii="Book Antiqua" w:hAnsi="Book Antiqua"/>
          <w:sz w:val="22"/>
          <w:szCs w:val="22"/>
        </w:rPr>
      </w:pPr>
      <w:r>
        <w:rPr>
          <w:rFonts w:ascii="Book Antiqua" w:hAnsi="Book Antiqua"/>
          <w:sz w:val="22"/>
          <w:szCs w:val="22"/>
        </w:rPr>
        <w:t>L</w:t>
      </w:r>
      <w:r w:rsidRPr="00322BBD">
        <w:rPr>
          <w:rFonts w:ascii="Book Antiqua" w:hAnsi="Book Antiqua"/>
          <w:sz w:val="22"/>
          <w:szCs w:val="22"/>
        </w:rPr>
        <w:t>’association ribavirine-interféron</w:t>
      </w:r>
      <w:r>
        <w:rPr>
          <w:rFonts w:ascii="Book Antiqua" w:hAnsi="Book Antiqua"/>
          <w:sz w:val="22"/>
          <w:szCs w:val="22"/>
        </w:rPr>
        <w:t xml:space="preserve"> est plus efficace  dans le temps que la ribavirine ou l’interféron seuls.</w:t>
      </w:r>
    </w:p>
    <w:p w:rsidR="00147745"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r w:rsidRPr="00DF09C0">
        <w:rPr>
          <w:rFonts w:ascii="Book Antiqua" w:hAnsi="Book Antiqua"/>
          <w:sz w:val="22"/>
          <w:szCs w:val="22"/>
        </w:rPr>
        <w:t>Effets indésirables</w:t>
      </w:r>
      <w:r>
        <w:rPr>
          <w:rFonts w:ascii="Book Antiqua" w:hAnsi="Book Antiqua"/>
          <w:sz w:val="22"/>
          <w:szCs w:val="22"/>
        </w:rPr>
        <w:t xml:space="preserve"> de la ribavirine</w:t>
      </w:r>
      <w:r w:rsidRPr="00DF09C0">
        <w:rPr>
          <w:rFonts w:ascii="Book Antiqua" w:hAnsi="Book Antiqua"/>
          <w:sz w:val="22"/>
          <w:szCs w:val="22"/>
        </w:rPr>
        <w:t xml:space="preserve"> : </w:t>
      </w:r>
    </w:p>
    <w:p w:rsidR="00147745" w:rsidRDefault="00147745" w:rsidP="00DF09C0">
      <w:pPr>
        <w:pStyle w:val="ListParagraph"/>
        <w:numPr>
          <w:ilvl w:val="0"/>
          <w:numId w:val="1"/>
        </w:numPr>
        <w:rPr>
          <w:rFonts w:ascii="Book Antiqua" w:hAnsi="Book Antiqua"/>
        </w:rPr>
      </w:pPr>
      <w:r w:rsidRPr="00DF09C0">
        <w:rPr>
          <w:rFonts w:ascii="Book Antiqua" w:hAnsi="Book Antiqua"/>
        </w:rPr>
        <w:t>Anémie hémolytique</w:t>
      </w:r>
      <w:r>
        <w:rPr>
          <w:rFonts w:ascii="Book Antiqua" w:hAnsi="Book Antiqua"/>
        </w:rPr>
        <w:t xml:space="preserve"> mais maintenant avec l’utilisation des facteurs de croissances hématopoïétiques on arrive à différer l’arrêt du traitement</w:t>
      </w:r>
    </w:p>
    <w:p w:rsidR="00147745" w:rsidRPr="00DF09C0" w:rsidRDefault="00147745" w:rsidP="00DF09C0">
      <w:pPr>
        <w:pStyle w:val="ListParagraph"/>
        <w:numPr>
          <w:ilvl w:val="0"/>
          <w:numId w:val="1"/>
        </w:numPr>
        <w:rPr>
          <w:rFonts w:ascii="Book Antiqua" w:hAnsi="Book Antiqua"/>
        </w:rPr>
      </w:pPr>
      <w:r>
        <w:rPr>
          <w:rFonts w:ascii="Book Antiqua" w:hAnsi="Book Antiqua"/>
        </w:rPr>
        <w:t>Hépatotoxique</w:t>
      </w:r>
    </w:p>
    <w:p w:rsidR="00147745" w:rsidRPr="00DF09C0" w:rsidRDefault="00147745" w:rsidP="00DF09C0">
      <w:pPr>
        <w:pStyle w:val="ListParagraph"/>
        <w:numPr>
          <w:ilvl w:val="0"/>
          <w:numId w:val="1"/>
        </w:numPr>
        <w:rPr>
          <w:rFonts w:ascii="Book Antiqua" w:hAnsi="Book Antiqua"/>
        </w:rPr>
      </w:pPr>
      <w:r w:rsidRPr="00DF09C0">
        <w:rPr>
          <w:rFonts w:ascii="Book Antiqua" w:hAnsi="Book Antiqua"/>
        </w:rPr>
        <w:t>Tératogénicité</w:t>
      </w:r>
    </w:p>
    <w:p w:rsidR="00147745" w:rsidRPr="00DF09C0" w:rsidRDefault="00147745" w:rsidP="00DF09C0">
      <w:pPr>
        <w:pStyle w:val="ListParagraph"/>
        <w:numPr>
          <w:ilvl w:val="0"/>
          <w:numId w:val="1"/>
        </w:numPr>
        <w:rPr>
          <w:rFonts w:ascii="Book Antiqua" w:hAnsi="Book Antiqua"/>
        </w:rPr>
      </w:pPr>
      <w:r w:rsidRPr="00DF09C0">
        <w:rPr>
          <w:rFonts w:ascii="Book Antiqua" w:hAnsi="Book Antiqua"/>
        </w:rPr>
        <w:t>Toux et dyspnée</w:t>
      </w:r>
    </w:p>
    <w:p w:rsidR="00147745" w:rsidRPr="00DF09C0" w:rsidRDefault="00147745" w:rsidP="00DF09C0">
      <w:pPr>
        <w:pStyle w:val="ListParagraph"/>
        <w:numPr>
          <w:ilvl w:val="0"/>
          <w:numId w:val="1"/>
        </w:numPr>
        <w:rPr>
          <w:rFonts w:ascii="Book Antiqua" w:hAnsi="Book Antiqua"/>
        </w:rPr>
      </w:pPr>
      <w:r w:rsidRPr="00DF09C0">
        <w:rPr>
          <w:rFonts w:ascii="Book Antiqua" w:hAnsi="Book Antiqua"/>
        </w:rPr>
        <w:t>Rash et purit</w:t>
      </w:r>
    </w:p>
    <w:p w:rsidR="00147745" w:rsidRPr="00DF09C0" w:rsidRDefault="00147745" w:rsidP="00DF09C0">
      <w:pPr>
        <w:pStyle w:val="ListParagraph"/>
        <w:numPr>
          <w:ilvl w:val="0"/>
          <w:numId w:val="1"/>
        </w:numPr>
        <w:rPr>
          <w:rFonts w:ascii="Book Antiqua" w:hAnsi="Book Antiqua"/>
        </w:rPr>
      </w:pPr>
      <w:r w:rsidRPr="00DF09C0">
        <w:rPr>
          <w:rFonts w:ascii="Book Antiqua" w:hAnsi="Book Antiqua"/>
        </w:rPr>
        <w:t>Insomnie</w:t>
      </w:r>
    </w:p>
    <w:p w:rsidR="00147745" w:rsidRPr="00DF09C0" w:rsidRDefault="00147745" w:rsidP="00DF09C0">
      <w:pPr>
        <w:pStyle w:val="ListParagraph"/>
        <w:numPr>
          <w:ilvl w:val="0"/>
          <w:numId w:val="1"/>
        </w:numPr>
        <w:rPr>
          <w:rFonts w:ascii="Book Antiqua" w:hAnsi="Book Antiqua"/>
        </w:rPr>
      </w:pPr>
      <w:r w:rsidRPr="00DF09C0">
        <w:rPr>
          <w:rFonts w:ascii="Book Antiqua" w:hAnsi="Book Antiqua"/>
        </w:rPr>
        <w:t xml:space="preserve">Anorexie </w:t>
      </w:r>
    </w:p>
    <w:p w:rsidR="00147745" w:rsidRPr="00DF09C0" w:rsidRDefault="00147745" w:rsidP="00DF09C0">
      <w:pPr>
        <w:pStyle w:val="ListParagraph"/>
        <w:numPr>
          <w:ilvl w:val="0"/>
          <w:numId w:val="3"/>
        </w:numPr>
        <w:rPr>
          <w:rFonts w:ascii="Book Antiqua" w:hAnsi="Book Antiqua"/>
        </w:rPr>
      </w:pPr>
      <w:r w:rsidRPr="00DF09C0">
        <w:rPr>
          <w:rFonts w:ascii="Book Antiqua" w:hAnsi="Book Antiqua"/>
        </w:rPr>
        <w:t>Arrêt dans 10 à 20% du cas, réduction de dose = 7 à 9%, contrac</w:t>
      </w:r>
      <w:r>
        <w:rPr>
          <w:rFonts w:ascii="Book Antiqua" w:hAnsi="Book Antiqua"/>
        </w:rPr>
        <w:t>eption, contre-indications</w:t>
      </w:r>
      <w:r w:rsidRPr="00DF09C0">
        <w:rPr>
          <w:rFonts w:ascii="Book Antiqua" w:hAnsi="Book Antiqua"/>
        </w:rPr>
        <w:t xml:space="preserve"> </w:t>
      </w: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Pr>
          <w:rFonts w:ascii="Book Antiqua" w:hAnsi="Book Antiqua"/>
          <w:sz w:val="22"/>
          <w:szCs w:val="22"/>
        </w:rPr>
        <w:t>Nouvelles cibles du traitement antiviral, toutes sont étudiées. Les plus avancées sont les inhibiteurs de protéases et ils ont reçu l’AMM. Les prochains devraient être les inhibiteurs de la polymérase.</w:t>
      </w: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r w:rsidRPr="00DF09C0">
        <w:rPr>
          <w:rFonts w:ascii="Book Antiqua" w:hAnsi="Book Antiqua"/>
          <w:sz w:val="22"/>
          <w:szCs w:val="22"/>
        </w:rPr>
        <w:t>Similitude</w:t>
      </w:r>
      <w:r>
        <w:rPr>
          <w:rFonts w:ascii="Book Antiqua" w:hAnsi="Book Antiqua"/>
          <w:sz w:val="22"/>
          <w:szCs w:val="22"/>
        </w:rPr>
        <w:t>s</w:t>
      </w:r>
      <w:r w:rsidRPr="00DF09C0">
        <w:rPr>
          <w:rFonts w:ascii="Book Antiqua" w:hAnsi="Book Antiqua"/>
          <w:sz w:val="22"/>
          <w:szCs w:val="22"/>
        </w:rPr>
        <w:t xml:space="preserve"> entre VIH et VHC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06"/>
        <w:gridCol w:w="4606"/>
      </w:tblGrid>
      <w:tr w:rsidR="00147745" w:rsidRPr="00DF09C0" w:rsidTr="001A4127">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Très forte charge virale</w:t>
            </w:r>
          </w:p>
        </w:tc>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Très forte charge virale</w:t>
            </w:r>
          </w:p>
        </w:tc>
      </w:tr>
      <w:tr w:rsidR="00147745" w:rsidRPr="00DF09C0" w:rsidTr="001A4127">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Résistance primaire étendue</w:t>
            </w:r>
          </w:p>
        </w:tc>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Résistance primaire étendue</w:t>
            </w:r>
          </w:p>
        </w:tc>
      </w:tr>
      <w:tr w:rsidR="00147745" w:rsidRPr="00DF09C0" w:rsidTr="001A4127">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Résistance acquise étendue</w:t>
            </w:r>
          </w:p>
        </w:tc>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Résistance acquise étendue</w:t>
            </w:r>
          </w:p>
        </w:tc>
      </w:tr>
      <w:tr w:rsidR="00147745" w:rsidRPr="00DF09C0" w:rsidTr="001A4127">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Danger des monothérapies séquentielles</w:t>
            </w:r>
          </w:p>
        </w:tc>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Danger des monothérapies séquentielles</w:t>
            </w:r>
          </w:p>
        </w:tc>
      </w:tr>
      <w:tr w:rsidR="00147745" w:rsidRPr="00DF09C0" w:rsidTr="001A4127">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Thérapies multi drogues</w:t>
            </w:r>
          </w:p>
        </w:tc>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Thérapies multi drogues</w:t>
            </w:r>
          </w:p>
        </w:tc>
      </w:tr>
    </w:tbl>
    <w:p w:rsidR="00147745" w:rsidRDefault="00147745" w:rsidP="00BA7DB4">
      <w:pPr>
        <w:rPr>
          <w:rFonts w:ascii="Book Antiqua" w:hAnsi="Book Antiqua"/>
          <w:sz w:val="22"/>
          <w:szCs w:val="22"/>
        </w:rPr>
      </w:pPr>
    </w:p>
    <w:p w:rsidR="00147745" w:rsidRPr="00DF09C0" w:rsidRDefault="00147745" w:rsidP="00BA7DB4">
      <w:pPr>
        <w:rPr>
          <w:rFonts w:ascii="Book Antiqua" w:hAnsi="Book Antiqua"/>
          <w:sz w:val="22"/>
          <w:szCs w:val="22"/>
        </w:rPr>
      </w:pPr>
      <w:r>
        <w:rPr>
          <w:rFonts w:ascii="Book Antiqua" w:hAnsi="Book Antiqua"/>
          <w:sz w:val="22"/>
          <w:szCs w:val="22"/>
        </w:rPr>
        <w:t>Différences</w:t>
      </w:r>
      <w:r w:rsidRPr="00DF09C0">
        <w:rPr>
          <w:rFonts w:ascii="Book Antiqua" w:hAnsi="Book Antiqua"/>
          <w:sz w:val="22"/>
          <w:szCs w:val="22"/>
        </w:rPr>
        <w:t xml:space="preserve"> entre VIH et VHC :</w:t>
      </w:r>
    </w:p>
    <w:p w:rsidR="00147745" w:rsidRDefault="0014774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06"/>
        <w:gridCol w:w="4606"/>
      </w:tblGrid>
      <w:tr w:rsidR="00147745" w:rsidRPr="00DF09C0" w:rsidTr="001A4127">
        <w:tc>
          <w:tcPr>
            <w:tcW w:w="4606" w:type="dxa"/>
          </w:tcPr>
          <w:p w:rsidR="00147745" w:rsidRPr="001A4127" w:rsidRDefault="00147745" w:rsidP="001A4127">
            <w:pPr>
              <w:jc w:val="both"/>
              <w:rPr>
                <w:rFonts w:ascii="Book Antiqua" w:hAnsi="Book Antiqua"/>
                <w:b/>
              </w:rPr>
            </w:pPr>
            <w:r w:rsidRPr="001A4127">
              <w:rPr>
                <w:rFonts w:ascii="Book Antiqua" w:hAnsi="Book Antiqua"/>
                <w:b/>
                <w:sz w:val="22"/>
                <w:szCs w:val="22"/>
              </w:rPr>
              <w:t>Non guérissable</w:t>
            </w:r>
          </w:p>
        </w:tc>
        <w:tc>
          <w:tcPr>
            <w:tcW w:w="4606" w:type="dxa"/>
          </w:tcPr>
          <w:p w:rsidR="00147745" w:rsidRPr="001A4127" w:rsidRDefault="00147745" w:rsidP="00E568A3">
            <w:pPr>
              <w:rPr>
                <w:rFonts w:ascii="Book Antiqua" w:hAnsi="Book Antiqua"/>
              </w:rPr>
            </w:pPr>
            <w:r w:rsidRPr="001A4127">
              <w:rPr>
                <w:rFonts w:ascii="Book Antiqua" w:hAnsi="Book Antiqua"/>
                <w:b/>
                <w:sz w:val="22"/>
                <w:szCs w:val="22"/>
              </w:rPr>
              <w:t xml:space="preserve">Guérissable </w:t>
            </w:r>
            <w:r w:rsidRPr="001A4127">
              <w:rPr>
                <w:rFonts w:ascii="Book Antiqua" w:hAnsi="Book Antiqua"/>
                <w:sz w:val="22"/>
                <w:szCs w:val="22"/>
              </w:rPr>
              <w:t>(association ribavirine interféron)</w:t>
            </w:r>
          </w:p>
        </w:tc>
      </w:tr>
      <w:tr w:rsidR="00147745" w:rsidRPr="00DF09C0" w:rsidTr="001A4127">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Uniformément fatal</w:t>
            </w:r>
          </w:p>
        </w:tc>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Pas uniformément fatal</w:t>
            </w:r>
          </w:p>
        </w:tc>
      </w:tr>
      <w:tr w:rsidR="00147745" w:rsidRPr="00DF09C0" w:rsidTr="001A4127">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Intégration chromosomique</w:t>
            </w:r>
          </w:p>
        </w:tc>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Pas d’intégration dans l‘ADN</w:t>
            </w:r>
          </w:p>
        </w:tc>
      </w:tr>
      <w:tr w:rsidR="00147745" w:rsidRPr="00DF09C0" w:rsidTr="001A4127">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Mutations de résistance répertoriées</w:t>
            </w:r>
          </w:p>
        </w:tc>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Pas de mutations de résistance répertoriées</w:t>
            </w:r>
          </w:p>
        </w:tc>
      </w:tr>
      <w:tr w:rsidR="00147745" w:rsidRPr="00DF09C0" w:rsidTr="001A4127">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Existence de réservoir</w:t>
            </w:r>
          </w:p>
        </w:tc>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 xml:space="preserve">Pas de réservoir </w:t>
            </w:r>
            <w:r w:rsidRPr="001A4127">
              <w:rPr>
                <w:rFonts w:ascii="Book Antiqua" w:hAnsi="Book Antiqua"/>
                <w:b/>
                <w:sz w:val="22"/>
                <w:szCs w:val="22"/>
              </w:rPr>
              <w:t>identifié</w:t>
            </w:r>
          </w:p>
        </w:tc>
      </w:tr>
      <w:tr w:rsidR="00147745" w:rsidRPr="00470C1B" w:rsidTr="001A4127">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Traitement avec trois molécules au minimum</w:t>
            </w:r>
          </w:p>
        </w:tc>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Traitement avec deux molécules au minimum</w:t>
            </w:r>
          </w:p>
        </w:tc>
      </w:tr>
      <w:tr w:rsidR="00147745" w:rsidRPr="00DF09C0" w:rsidTr="001A4127">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Traitement à vie</w:t>
            </w:r>
          </w:p>
        </w:tc>
        <w:tc>
          <w:tcPr>
            <w:tcW w:w="4606" w:type="dxa"/>
          </w:tcPr>
          <w:p w:rsidR="00147745" w:rsidRPr="001A4127" w:rsidRDefault="00147745" w:rsidP="001A4127">
            <w:pPr>
              <w:jc w:val="both"/>
              <w:rPr>
                <w:rFonts w:ascii="Book Antiqua" w:hAnsi="Book Antiqua"/>
              </w:rPr>
            </w:pPr>
            <w:r w:rsidRPr="001A4127">
              <w:rPr>
                <w:rFonts w:ascii="Book Antiqua" w:hAnsi="Book Antiqua"/>
                <w:sz w:val="22"/>
                <w:szCs w:val="22"/>
              </w:rPr>
              <w:t>Traitement limité (48 à72 semaines)</w:t>
            </w:r>
          </w:p>
        </w:tc>
      </w:tr>
    </w:tbl>
    <w:p w:rsidR="00147745" w:rsidRPr="00DF09C0"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r>
        <w:rPr>
          <w:rFonts w:ascii="Book Antiqua" w:hAnsi="Book Antiqua"/>
          <w:sz w:val="22"/>
          <w:szCs w:val="22"/>
        </w:rPr>
        <w:t>Le principal objectif en ce qui concerne l’hépatite C est de réussir à guérir les patients qui ne répondent pas au traitement ribavirine-interféron et essayer de réduire la durée des traitements (1 à 2 ans).</w:t>
      </w:r>
    </w:p>
    <w:p w:rsidR="00147745"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r w:rsidRPr="00DF09C0">
        <w:rPr>
          <w:rFonts w:ascii="Book Antiqua" w:hAnsi="Book Antiqua"/>
          <w:sz w:val="22"/>
          <w:szCs w:val="22"/>
        </w:rPr>
        <w:t>Commente prévenir les interactions médicamenteuse</w:t>
      </w:r>
      <w:r>
        <w:rPr>
          <w:rFonts w:ascii="Book Antiqua" w:hAnsi="Book Antiqua"/>
          <w:sz w:val="22"/>
          <w:szCs w:val="22"/>
        </w:rPr>
        <w:t>, notamment chez les patients co- infectés VIH VHC</w:t>
      </w:r>
      <w:r w:rsidRPr="00DF09C0">
        <w:rPr>
          <w:rFonts w:ascii="Book Antiqua" w:hAnsi="Book Antiqua"/>
          <w:sz w:val="22"/>
          <w:szCs w:val="22"/>
        </w:rPr>
        <w:t xml:space="preserve"> : </w:t>
      </w:r>
    </w:p>
    <w:p w:rsidR="00147745" w:rsidRPr="00DF09C0" w:rsidRDefault="00147745" w:rsidP="00DF09C0">
      <w:pPr>
        <w:pStyle w:val="ListParagraph"/>
        <w:numPr>
          <w:ilvl w:val="0"/>
          <w:numId w:val="1"/>
        </w:numPr>
        <w:rPr>
          <w:rFonts w:ascii="Book Antiqua" w:hAnsi="Book Antiqua"/>
        </w:rPr>
      </w:pPr>
      <w:r w:rsidRPr="00DF09C0">
        <w:rPr>
          <w:rFonts w:ascii="Book Antiqua" w:hAnsi="Book Antiqua"/>
        </w:rPr>
        <w:t>Prudence lors de l’instauration de tout nouveau traitement</w:t>
      </w:r>
    </w:p>
    <w:p w:rsidR="00147745" w:rsidRPr="00DF09C0" w:rsidRDefault="00147745" w:rsidP="00DF09C0">
      <w:pPr>
        <w:pStyle w:val="ListParagraph"/>
        <w:numPr>
          <w:ilvl w:val="0"/>
          <w:numId w:val="1"/>
        </w:numPr>
        <w:rPr>
          <w:rFonts w:ascii="Book Antiqua" w:hAnsi="Book Antiqua"/>
        </w:rPr>
      </w:pPr>
      <w:r w:rsidRPr="00DF09C0">
        <w:rPr>
          <w:rFonts w:ascii="Book Antiqua" w:hAnsi="Book Antiqua"/>
        </w:rPr>
        <w:t>Connaitre le métabolisme d</w:t>
      </w:r>
      <w:r>
        <w:rPr>
          <w:rFonts w:ascii="Book Antiqua" w:hAnsi="Book Antiqua"/>
        </w:rPr>
        <w:t>e</w:t>
      </w:r>
      <w:r w:rsidRPr="00DF09C0">
        <w:rPr>
          <w:rFonts w:ascii="Book Antiqua" w:hAnsi="Book Antiqua"/>
        </w:rPr>
        <w:t>s nou</w:t>
      </w:r>
      <w:r>
        <w:rPr>
          <w:rFonts w:ascii="Book Antiqua" w:hAnsi="Book Antiqua"/>
        </w:rPr>
        <w:t>v</w:t>
      </w:r>
      <w:r w:rsidRPr="00DF09C0">
        <w:rPr>
          <w:rFonts w:ascii="Book Antiqua" w:hAnsi="Book Antiqua"/>
        </w:rPr>
        <w:t>elles molécules anti-VHC</w:t>
      </w:r>
    </w:p>
    <w:p w:rsidR="00147745" w:rsidRPr="00DF09C0" w:rsidRDefault="00147745" w:rsidP="00DF09C0">
      <w:pPr>
        <w:pStyle w:val="ListParagraph"/>
        <w:numPr>
          <w:ilvl w:val="0"/>
          <w:numId w:val="1"/>
        </w:numPr>
        <w:rPr>
          <w:rFonts w:ascii="Book Antiqua" w:hAnsi="Book Antiqua"/>
        </w:rPr>
      </w:pPr>
      <w:r w:rsidRPr="00DF09C0">
        <w:rPr>
          <w:rFonts w:ascii="Book Antiqua" w:hAnsi="Book Antiqua"/>
        </w:rPr>
        <w:t>Savoir quels peuvent être les sources d’informations</w:t>
      </w:r>
      <w:r>
        <w:rPr>
          <w:rFonts w:ascii="Book Antiqua" w:hAnsi="Book Antiqua"/>
        </w:rPr>
        <w:t xml:space="preserve"> si</w:t>
      </w:r>
      <w:r w:rsidRPr="00DF09C0">
        <w:rPr>
          <w:rFonts w:ascii="Book Antiqua" w:hAnsi="Book Antiqua"/>
        </w:rPr>
        <w:t xml:space="preserve"> nécessaire</w:t>
      </w:r>
    </w:p>
    <w:p w:rsidR="00147745" w:rsidRPr="00DF09C0" w:rsidRDefault="00147745" w:rsidP="00DF09C0">
      <w:pPr>
        <w:pStyle w:val="ListParagraph"/>
        <w:numPr>
          <w:ilvl w:val="0"/>
          <w:numId w:val="1"/>
        </w:numPr>
        <w:rPr>
          <w:rFonts w:ascii="Book Antiqua" w:hAnsi="Book Antiqua"/>
        </w:rPr>
      </w:pPr>
      <w:r w:rsidRPr="00DF09C0">
        <w:rPr>
          <w:rFonts w:ascii="Book Antiqua" w:hAnsi="Book Antiqua"/>
        </w:rPr>
        <w:t xml:space="preserve">Comparer les profils métaboliques </w:t>
      </w:r>
      <w:r>
        <w:rPr>
          <w:rFonts w:ascii="Book Antiqua" w:hAnsi="Book Antiqua"/>
        </w:rPr>
        <w:t>des médicaments que l’on souhaite associer avant de commencer le traitement</w:t>
      </w:r>
    </w:p>
    <w:p w:rsidR="00147745"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r w:rsidRPr="00DF09C0">
        <w:rPr>
          <w:rFonts w:ascii="Book Antiqua" w:hAnsi="Book Antiqua"/>
          <w:sz w:val="22"/>
          <w:szCs w:val="22"/>
        </w:rPr>
        <w:t>En pratique :</w:t>
      </w:r>
    </w:p>
    <w:p w:rsidR="00147745" w:rsidRPr="00DF09C0" w:rsidRDefault="00147745" w:rsidP="00DF09C0">
      <w:pPr>
        <w:pStyle w:val="ListParagraph"/>
        <w:numPr>
          <w:ilvl w:val="0"/>
          <w:numId w:val="1"/>
        </w:numPr>
        <w:rPr>
          <w:rFonts w:ascii="Book Antiqua" w:hAnsi="Book Antiqua"/>
        </w:rPr>
      </w:pPr>
      <w:r w:rsidRPr="00DF09C0">
        <w:rPr>
          <w:rFonts w:ascii="Book Antiqua" w:hAnsi="Book Antiqua"/>
        </w:rPr>
        <w:t>Evaluation soigneuse des co-médi</w:t>
      </w:r>
      <w:r>
        <w:rPr>
          <w:rFonts w:ascii="Book Antiqua" w:hAnsi="Book Antiqua"/>
        </w:rPr>
        <w:t>cations</w:t>
      </w:r>
    </w:p>
    <w:p w:rsidR="00147745" w:rsidRPr="00DF09C0" w:rsidRDefault="00147745" w:rsidP="00DF09C0">
      <w:pPr>
        <w:pStyle w:val="ListParagraph"/>
        <w:numPr>
          <w:ilvl w:val="0"/>
          <w:numId w:val="1"/>
        </w:numPr>
        <w:rPr>
          <w:rFonts w:ascii="Book Antiqua" w:hAnsi="Book Antiqua"/>
        </w:rPr>
      </w:pPr>
      <w:r w:rsidRPr="00DF09C0">
        <w:rPr>
          <w:rFonts w:ascii="Book Antiqua" w:hAnsi="Book Antiqua"/>
        </w:rPr>
        <w:t xml:space="preserve">Arrêt ou remplacement des médicaments à interactions </w:t>
      </w:r>
    </w:p>
    <w:p w:rsidR="00147745" w:rsidRDefault="00147745" w:rsidP="00DF09C0">
      <w:pPr>
        <w:pStyle w:val="ListParagraph"/>
        <w:numPr>
          <w:ilvl w:val="0"/>
          <w:numId w:val="1"/>
        </w:numPr>
        <w:rPr>
          <w:rFonts w:ascii="Book Antiqua" w:hAnsi="Book Antiqua"/>
        </w:rPr>
      </w:pPr>
      <w:r w:rsidRPr="00DF09C0">
        <w:rPr>
          <w:rFonts w:ascii="Book Antiqua" w:hAnsi="Book Antiqua"/>
        </w:rPr>
        <w:t>Si impossible : c</w:t>
      </w:r>
      <w:r>
        <w:rPr>
          <w:rFonts w:ascii="Book Antiqua" w:hAnsi="Book Antiqua"/>
        </w:rPr>
        <w:t>ontrindication au traitement /</w:t>
      </w:r>
      <w:r w:rsidRPr="00DF09C0">
        <w:rPr>
          <w:rFonts w:ascii="Book Antiqua" w:hAnsi="Book Antiqua"/>
        </w:rPr>
        <w:t>traitement moyennant</w:t>
      </w:r>
      <w:r>
        <w:rPr>
          <w:rFonts w:ascii="Book Antiqua" w:hAnsi="Book Antiqua"/>
        </w:rPr>
        <w:t xml:space="preserve"> surveillance spécifique</w:t>
      </w:r>
    </w:p>
    <w:p w:rsidR="00147745" w:rsidRDefault="00147745" w:rsidP="00A94F6C">
      <w:pPr>
        <w:rPr>
          <w:rFonts w:ascii="Book Antiqua" w:hAnsi="Book Antiqua"/>
        </w:rPr>
      </w:pPr>
      <w:r>
        <w:rPr>
          <w:rFonts w:ascii="Book Antiqua" w:hAnsi="Book Antiqua"/>
        </w:rPr>
        <w:t>Quelle que soit l’anti-protéase utilisée, il est vivement déconseillé de :</w:t>
      </w:r>
    </w:p>
    <w:p w:rsidR="00147745" w:rsidRDefault="00147745" w:rsidP="00A94F6C">
      <w:pPr>
        <w:pStyle w:val="ListParagraph"/>
        <w:numPr>
          <w:ilvl w:val="0"/>
          <w:numId w:val="5"/>
        </w:numPr>
        <w:rPr>
          <w:rFonts w:ascii="Book Antiqua" w:hAnsi="Book Antiqua"/>
        </w:rPr>
      </w:pPr>
      <w:r>
        <w:rPr>
          <w:rFonts w:ascii="Book Antiqua" w:hAnsi="Book Antiqua"/>
        </w:rPr>
        <w:t>Diminuer la posologie de cette anti-protéase</w:t>
      </w:r>
    </w:p>
    <w:p w:rsidR="00147745" w:rsidRDefault="00147745" w:rsidP="00A94F6C">
      <w:pPr>
        <w:pStyle w:val="ListParagraph"/>
        <w:numPr>
          <w:ilvl w:val="0"/>
          <w:numId w:val="5"/>
        </w:numPr>
        <w:rPr>
          <w:rFonts w:ascii="Book Antiqua" w:hAnsi="Book Antiqua"/>
        </w:rPr>
      </w:pPr>
      <w:r>
        <w:rPr>
          <w:rFonts w:ascii="Book Antiqua" w:hAnsi="Book Antiqua"/>
        </w:rPr>
        <w:t>De reprendre le traitement après un arrêt temporaire</w:t>
      </w:r>
    </w:p>
    <w:p w:rsidR="00147745" w:rsidRPr="00A94F6C" w:rsidRDefault="00147745" w:rsidP="00A94F6C">
      <w:pPr>
        <w:rPr>
          <w:rFonts w:ascii="Book Antiqua" w:hAnsi="Book Antiqua"/>
        </w:rPr>
      </w:pPr>
      <w:r>
        <w:rPr>
          <w:rFonts w:ascii="Book Antiqua" w:hAnsi="Book Antiqua"/>
        </w:rPr>
        <w:t>au risque de voir apparaitre des résistances virales possiblement définitives.</w:t>
      </w:r>
    </w:p>
    <w:p w:rsidR="00147745" w:rsidRDefault="00147745" w:rsidP="00A94F6C">
      <w:pPr>
        <w:rPr>
          <w:rFonts w:ascii="Book Antiqua" w:hAnsi="Book Antiqua"/>
        </w:rPr>
      </w:pPr>
    </w:p>
    <w:p w:rsidR="00147745" w:rsidRPr="00A94F6C" w:rsidRDefault="00147745" w:rsidP="00A94F6C">
      <w:pPr>
        <w:rPr>
          <w:rFonts w:ascii="Book Antiqua" w:hAnsi="Book Antiqua"/>
        </w:rPr>
      </w:pPr>
      <w:r w:rsidRPr="00A94F6C">
        <w:rPr>
          <w:rFonts w:ascii="Book Antiqua" w:hAnsi="Book Antiqua"/>
        </w:rPr>
        <w:t>Les inhibiteurs de protéases notamment interagissent beaucoup avec les autres médicaments</w:t>
      </w:r>
      <w:r>
        <w:rPr>
          <w:rFonts w:ascii="Book Antiqua" w:hAnsi="Book Antiqua"/>
        </w:rPr>
        <w:t xml:space="preserve"> et sont capables d’inhiber leur métabolisme</w:t>
      </w:r>
      <w:r w:rsidRPr="00A94F6C">
        <w:rPr>
          <w:rFonts w:ascii="Book Antiqua" w:hAnsi="Book Antiqua"/>
        </w:rPr>
        <w:t>.</w:t>
      </w:r>
    </w:p>
    <w:p w:rsidR="00147745"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r w:rsidRPr="00DF09C0">
        <w:rPr>
          <w:rFonts w:ascii="Book Antiqua" w:hAnsi="Book Antiqua"/>
          <w:sz w:val="22"/>
          <w:szCs w:val="22"/>
        </w:rPr>
        <w:t>Les inhibiteurs de protéase :</w:t>
      </w:r>
    </w:p>
    <w:p w:rsidR="00147745" w:rsidRPr="00DF09C0" w:rsidRDefault="00147745" w:rsidP="00DF09C0">
      <w:pPr>
        <w:rPr>
          <w:rFonts w:ascii="Book Antiqua" w:hAnsi="Book Antiqua"/>
          <w:sz w:val="22"/>
          <w:szCs w:val="22"/>
        </w:rPr>
      </w:pPr>
      <w:r w:rsidRPr="00DF09C0">
        <w:rPr>
          <w:rFonts w:ascii="Book Antiqua" w:hAnsi="Book Antiqua"/>
          <w:sz w:val="22"/>
          <w:szCs w:val="22"/>
        </w:rPr>
        <w:t>Le bocéprévir et le telaprevir sont des inhibiteurs de la protéase NS3</w:t>
      </w:r>
      <w:r>
        <w:rPr>
          <w:rFonts w:ascii="Book Antiqua" w:hAnsi="Book Antiqua"/>
          <w:sz w:val="22"/>
          <w:szCs w:val="22"/>
        </w:rPr>
        <w:t>/4A du virus de l’hépatite C. Ils ont obtenus l’AMM chez des patients mono-infectés et sont en cours d’essais clinique chez les co-infectés. Chacun d’eux est utilisé en association avec le peginterféreon alpha et la ribavirine. Leur mécanisme d’action est comparable à celui des inhibiteurs de la protéase du VIH.</w:t>
      </w:r>
    </w:p>
    <w:p w:rsidR="00147745" w:rsidRPr="00DF09C0"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Pr>
          <w:rFonts w:ascii="Book Antiqua" w:hAnsi="Book Antiqua"/>
          <w:sz w:val="22"/>
          <w:szCs w:val="22"/>
        </w:rPr>
        <w:t>Nouvelles molécules anti-VH</w:t>
      </w:r>
      <w:r w:rsidRPr="00DF09C0">
        <w:rPr>
          <w:rFonts w:ascii="Book Antiqua" w:hAnsi="Book Antiqua"/>
          <w:sz w:val="22"/>
          <w:szCs w:val="22"/>
        </w:rPr>
        <w:t xml:space="preserve">C </w:t>
      </w:r>
    </w:p>
    <w:p w:rsidR="00147745" w:rsidRDefault="00147745" w:rsidP="00461385">
      <w:pPr>
        <w:pStyle w:val="ListParagraph"/>
        <w:numPr>
          <w:ilvl w:val="0"/>
          <w:numId w:val="6"/>
        </w:numPr>
        <w:rPr>
          <w:rFonts w:ascii="Book Antiqua" w:hAnsi="Book Antiqua"/>
        </w:rPr>
      </w:pPr>
      <w:r>
        <w:rPr>
          <w:rFonts w:ascii="Book Antiqua" w:hAnsi="Book Antiqua"/>
        </w:rPr>
        <w:t>La thérapeutique conventionnelle par IFNα + ribavirine ne permettent en général pas d’obtenir une réponse virologique chez 50% des patients</w:t>
      </w:r>
    </w:p>
    <w:p w:rsidR="00147745" w:rsidRDefault="00147745" w:rsidP="00461385">
      <w:pPr>
        <w:pStyle w:val="ListParagraph"/>
        <w:numPr>
          <w:ilvl w:val="0"/>
          <w:numId w:val="6"/>
        </w:numPr>
        <w:rPr>
          <w:rFonts w:ascii="Book Antiqua" w:hAnsi="Book Antiqua"/>
        </w:rPr>
      </w:pPr>
      <w:r>
        <w:rPr>
          <w:rFonts w:ascii="Book Antiqua" w:hAnsi="Book Antiqua"/>
        </w:rPr>
        <w:t>Il était donc nécessaire de développer de nouvelles drogues pour augmenter cette efficacité</w:t>
      </w:r>
    </w:p>
    <w:p w:rsidR="00147745" w:rsidRDefault="00147745" w:rsidP="00461385">
      <w:pPr>
        <w:pStyle w:val="ListParagraph"/>
        <w:numPr>
          <w:ilvl w:val="0"/>
          <w:numId w:val="6"/>
        </w:numPr>
        <w:rPr>
          <w:rFonts w:ascii="Book Antiqua" w:hAnsi="Book Antiqua"/>
        </w:rPr>
      </w:pPr>
      <w:r>
        <w:rPr>
          <w:rFonts w:ascii="Book Antiqua" w:hAnsi="Book Antiqua"/>
        </w:rPr>
        <w:t>Nouvelle classe : inhibiteurs de la sérine protéase du VHC telepravir et boceprevir viennent d’obtenir leur AMM</w:t>
      </w:r>
    </w:p>
    <w:p w:rsidR="00147745" w:rsidRPr="00461385" w:rsidRDefault="00147745" w:rsidP="00461385">
      <w:pPr>
        <w:pStyle w:val="ListParagraph"/>
        <w:numPr>
          <w:ilvl w:val="0"/>
          <w:numId w:val="6"/>
        </w:numPr>
        <w:rPr>
          <w:rFonts w:ascii="Book Antiqua" w:hAnsi="Book Antiqua"/>
        </w:rPr>
      </w:pPr>
      <w:r>
        <w:rPr>
          <w:rFonts w:ascii="Book Antiqua" w:hAnsi="Book Antiqua"/>
        </w:rPr>
        <w:t>En effet les résultats de la trithérapie IP + IFN et ribavirine ont été convaincants.</w:t>
      </w:r>
    </w:p>
    <w:p w:rsidR="00147745" w:rsidRPr="00DF09C0"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Pr>
          <w:rFonts w:ascii="Book Antiqua" w:hAnsi="Book Antiqua"/>
          <w:sz w:val="22"/>
          <w:szCs w:val="22"/>
        </w:rPr>
        <w:t>Résultats en clinique : pour le boceprévir on a évalué l’indétectabilité du virus obtenu chez les patients et pour le télaprevir on a évalué la réponse virale soutenue et on voit dans les 2 cas une réponse qui est nettement améliorée lorsque l’on ajoute du boceprévir ou du télaprevir  à l’association ribavirine-interféron.</w:t>
      </w: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sidRPr="00013339">
        <w:rPr>
          <w:rFonts w:ascii="Book Antiqua" w:hAnsi="Book Antiqua"/>
          <w:noProof/>
          <w:sz w:val="22"/>
          <w:szCs w:val="22"/>
          <w:lang w:eastAsia="fr-FR"/>
        </w:rPr>
        <w:pict>
          <v:shape id="Image 8" o:spid="_x0000_i1039" type="#_x0000_t75" style="width:292.5pt;height:213pt;visibility:visible">
            <v:imagedata r:id="rId23" o:title="" croptop="1859f" cropbottom="2103f" cropleft="1398f" cropright="1226f" gain="109227f" blacklevel="6554f"/>
          </v:shape>
        </w:pict>
      </w: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Pr>
          <w:rFonts w:ascii="Book Antiqua" w:hAnsi="Book Antiqua"/>
          <w:sz w:val="22"/>
          <w:szCs w:val="22"/>
        </w:rPr>
        <w:t>Le boceprévir et le télaprevir ne se comportent pes de la même manière sur le plan pharmacocinétique.</w:t>
      </w:r>
    </w:p>
    <w:p w:rsidR="00147745" w:rsidRPr="00DF09C0" w:rsidRDefault="00147745" w:rsidP="00DF09C0">
      <w:pPr>
        <w:rPr>
          <w:rFonts w:ascii="Book Antiqua" w:hAnsi="Book Antiqua"/>
          <w:sz w:val="22"/>
          <w:szCs w:val="22"/>
        </w:rPr>
      </w:pPr>
      <w:r w:rsidRPr="00DF09C0">
        <w:rPr>
          <w:rFonts w:ascii="Book Antiqua" w:hAnsi="Book Antiqua"/>
          <w:sz w:val="22"/>
          <w:szCs w:val="22"/>
        </w:rPr>
        <w:t xml:space="preserve">Pharmacocinétique du Bocéprevir : </w:t>
      </w:r>
    </w:p>
    <w:p w:rsidR="00147745" w:rsidRPr="00DF09C0" w:rsidRDefault="00147745" w:rsidP="00DF09C0">
      <w:pPr>
        <w:pStyle w:val="ListParagraph"/>
        <w:numPr>
          <w:ilvl w:val="0"/>
          <w:numId w:val="2"/>
        </w:numPr>
        <w:rPr>
          <w:rFonts w:ascii="Book Antiqua" w:hAnsi="Book Antiqua"/>
        </w:rPr>
      </w:pPr>
      <w:r w:rsidRPr="00DF09C0">
        <w:rPr>
          <w:rFonts w:ascii="Book Antiqua" w:hAnsi="Book Antiqua"/>
        </w:rPr>
        <w:t xml:space="preserve">Plusieurs voies de métabolisation : </w:t>
      </w:r>
    </w:p>
    <w:p w:rsidR="00147745" w:rsidRPr="00DF09C0" w:rsidRDefault="00147745" w:rsidP="00DF09C0">
      <w:pPr>
        <w:pStyle w:val="ListParagraph"/>
        <w:numPr>
          <w:ilvl w:val="0"/>
          <w:numId w:val="1"/>
        </w:numPr>
        <w:rPr>
          <w:rFonts w:ascii="Book Antiqua" w:hAnsi="Book Antiqua"/>
        </w:rPr>
      </w:pPr>
      <w:r w:rsidRPr="00DF09C0">
        <w:rPr>
          <w:rFonts w:ascii="Book Antiqua" w:hAnsi="Book Antiqua"/>
        </w:rPr>
        <w:t>Métabolisation</w:t>
      </w:r>
      <w:r>
        <w:rPr>
          <w:rFonts w:ascii="Book Antiqua" w:hAnsi="Book Antiqua"/>
        </w:rPr>
        <w:t xml:space="preserve"> </w:t>
      </w:r>
      <w:r w:rsidRPr="00DF09C0">
        <w:rPr>
          <w:rFonts w:ascii="Book Antiqua" w:hAnsi="Book Antiqua"/>
        </w:rPr>
        <w:t xml:space="preserve">principale : voie AKR </w:t>
      </w:r>
      <w:r>
        <w:rPr>
          <w:rFonts w:ascii="Book Antiqua" w:hAnsi="Book Antiqua"/>
        </w:rPr>
        <w:t>(aldo-kéto réductase)</w:t>
      </w:r>
    </w:p>
    <w:p w:rsidR="00147745" w:rsidRPr="00DF09C0" w:rsidRDefault="00147745" w:rsidP="00DF09C0">
      <w:pPr>
        <w:pStyle w:val="ListParagraph"/>
        <w:numPr>
          <w:ilvl w:val="0"/>
          <w:numId w:val="1"/>
        </w:numPr>
        <w:rPr>
          <w:rFonts w:ascii="Book Antiqua" w:hAnsi="Book Antiqua"/>
        </w:rPr>
      </w:pPr>
      <w:r w:rsidRPr="00DF09C0">
        <w:rPr>
          <w:rFonts w:ascii="Book Antiqua" w:hAnsi="Book Antiqua"/>
        </w:rPr>
        <w:t xml:space="preserve">En partie métabolisée par </w:t>
      </w:r>
      <w:r>
        <w:rPr>
          <w:rFonts w:ascii="Book Antiqua" w:hAnsi="Book Antiqua"/>
        </w:rPr>
        <w:t>C</w:t>
      </w:r>
      <w:r w:rsidRPr="00DF09C0">
        <w:rPr>
          <w:rFonts w:ascii="Book Antiqua" w:hAnsi="Book Antiqua"/>
        </w:rPr>
        <w:t>YP 450</w:t>
      </w:r>
      <w:r>
        <w:rPr>
          <w:rFonts w:ascii="Book Antiqua" w:hAnsi="Book Antiqua"/>
        </w:rPr>
        <w:t>/A5</w:t>
      </w:r>
    </w:p>
    <w:p w:rsidR="00147745" w:rsidRPr="00DF09C0" w:rsidRDefault="00147745" w:rsidP="00DF09C0">
      <w:pPr>
        <w:pStyle w:val="ListParagraph"/>
        <w:numPr>
          <w:ilvl w:val="0"/>
          <w:numId w:val="1"/>
        </w:numPr>
        <w:rPr>
          <w:rFonts w:ascii="Book Antiqua" w:hAnsi="Book Antiqua"/>
        </w:rPr>
      </w:pPr>
      <w:r w:rsidRPr="00DF09C0">
        <w:rPr>
          <w:rFonts w:ascii="Book Antiqua" w:hAnsi="Book Antiqua"/>
        </w:rPr>
        <w:t>Substrat et inhibite</w:t>
      </w:r>
      <w:r>
        <w:rPr>
          <w:rFonts w:ascii="Book Antiqua" w:hAnsi="Book Antiqua"/>
        </w:rPr>
        <w:t>u</w:t>
      </w:r>
      <w:r w:rsidRPr="00DF09C0">
        <w:rPr>
          <w:rFonts w:ascii="Book Antiqua" w:hAnsi="Book Antiqua"/>
        </w:rPr>
        <w:t>r Pgp</w:t>
      </w:r>
      <w:r>
        <w:rPr>
          <w:rFonts w:ascii="Book Antiqua" w:hAnsi="Book Antiqua"/>
        </w:rPr>
        <w:t xml:space="preserve"> doc possibilité d’interactions médicamenteuses</w:t>
      </w:r>
    </w:p>
    <w:p w:rsidR="00147745" w:rsidRPr="00DF09C0" w:rsidRDefault="00147745" w:rsidP="00DF09C0">
      <w:pPr>
        <w:pStyle w:val="ListParagraph"/>
        <w:numPr>
          <w:ilvl w:val="0"/>
          <w:numId w:val="2"/>
        </w:numPr>
        <w:rPr>
          <w:rFonts w:ascii="Book Antiqua" w:hAnsi="Book Antiqua"/>
        </w:rPr>
      </w:pPr>
      <w:r w:rsidRPr="00DF09C0">
        <w:rPr>
          <w:rFonts w:ascii="Book Antiqua" w:hAnsi="Book Antiqua"/>
        </w:rPr>
        <w:t xml:space="preserve">Pharmacocinétique : </w:t>
      </w:r>
    </w:p>
    <w:p w:rsidR="00147745" w:rsidRPr="00DF09C0" w:rsidRDefault="00147745" w:rsidP="00DF09C0">
      <w:pPr>
        <w:pStyle w:val="ListParagraph"/>
        <w:numPr>
          <w:ilvl w:val="0"/>
          <w:numId w:val="1"/>
        </w:numPr>
        <w:rPr>
          <w:rFonts w:ascii="Book Antiqua" w:hAnsi="Book Antiqua"/>
        </w:rPr>
      </w:pPr>
      <w:r>
        <w:rPr>
          <w:rFonts w:ascii="Book Antiqua" w:hAnsi="Book Antiqua"/>
        </w:rPr>
        <w:t>75% liaison</w:t>
      </w:r>
      <w:r w:rsidRPr="00DF09C0">
        <w:rPr>
          <w:rFonts w:ascii="Book Antiqua" w:hAnsi="Book Antiqua"/>
        </w:rPr>
        <w:t xml:space="preserve"> aux protéines</w:t>
      </w:r>
      <w:r>
        <w:rPr>
          <w:rFonts w:ascii="Book Antiqua" w:hAnsi="Book Antiqua"/>
        </w:rPr>
        <w:t xml:space="preserve"> plasmatiques</w:t>
      </w:r>
    </w:p>
    <w:p w:rsidR="00147745" w:rsidRDefault="00147745" w:rsidP="00DF09C0">
      <w:pPr>
        <w:pStyle w:val="ListParagraph"/>
        <w:numPr>
          <w:ilvl w:val="0"/>
          <w:numId w:val="1"/>
        </w:numPr>
        <w:rPr>
          <w:rFonts w:ascii="Book Antiqua" w:hAnsi="Book Antiqua"/>
        </w:rPr>
      </w:pPr>
      <w:r w:rsidRPr="00DF09C0">
        <w:rPr>
          <w:rFonts w:ascii="Book Antiqua" w:hAnsi="Book Antiqua"/>
        </w:rPr>
        <w:t xml:space="preserve"> </w:t>
      </w:r>
      <w:r>
        <w:rPr>
          <w:rFonts w:ascii="Book Antiqua" w:hAnsi="Book Antiqua"/>
        </w:rPr>
        <w:t>Temps de demi-vie : 3,4h (courte donc administration 3X par jour)</w:t>
      </w:r>
    </w:p>
    <w:p w:rsidR="00147745" w:rsidRPr="00DF09C0" w:rsidRDefault="00147745" w:rsidP="00DF09C0">
      <w:pPr>
        <w:pStyle w:val="ListParagraph"/>
        <w:numPr>
          <w:ilvl w:val="0"/>
          <w:numId w:val="1"/>
        </w:numPr>
        <w:rPr>
          <w:rFonts w:ascii="Book Antiqua" w:hAnsi="Book Antiqua"/>
        </w:rPr>
      </w:pPr>
      <w:r>
        <w:rPr>
          <w:rFonts w:ascii="Book Antiqua" w:hAnsi="Book Antiqua"/>
        </w:rPr>
        <w:t>Elimination : fèces 79% et urines 9%</w:t>
      </w:r>
    </w:p>
    <w:p w:rsidR="00147745" w:rsidRPr="00DF09C0"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r w:rsidRPr="00DF09C0">
        <w:rPr>
          <w:rFonts w:ascii="Book Antiqua" w:hAnsi="Book Antiqua"/>
          <w:sz w:val="22"/>
          <w:szCs w:val="22"/>
        </w:rPr>
        <w:t xml:space="preserve">Contrindication Boceprévir : </w:t>
      </w:r>
    </w:p>
    <w:p w:rsidR="00147745" w:rsidRPr="00DF09C0" w:rsidRDefault="00147745" w:rsidP="00DF09C0">
      <w:pPr>
        <w:pStyle w:val="ListParagraph"/>
        <w:numPr>
          <w:ilvl w:val="0"/>
          <w:numId w:val="1"/>
        </w:numPr>
        <w:rPr>
          <w:rFonts w:ascii="Book Antiqua" w:hAnsi="Book Antiqua"/>
        </w:rPr>
      </w:pPr>
      <w:r w:rsidRPr="00DF09C0">
        <w:rPr>
          <w:rFonts w:ascii="Book Antiqua" w:hAnsi="Book Antiqua"/>
        </w:rPr>
        <w:t>Médicaments dont la clairance dépend fort</w:t>
      </w:r>
      <w:r>
        <w:rPr>
          <w:rFonts w:ascii="Book Antiqua" w:hAnsi="Book Antiqua"/>
        </w:rPr>
        <w:t>e</w:t>
      </w:r>
      <w:r w:rsidRPr="00DF09C0">
        <w:rPr>
          <w:rFonts w:ascii="Book Antiqua" w:hAnsi="Book Antiqua"/>
        </w:rPr>
        <w:t xml:space="preserve">ment du </w:t>
      </w:r>
      <w:r>
        <w:rPr>
          <w:rFonts w:ascii="Book Antiqua" w:hAnsi="Book Antiqua"/>
        </w:rPr>
        <w:t>CY</w:t>
      </w:r>
      <w:r w:rsidRPr="00DF09C0">
        <w:rPr>
          <w:rFonts w:ascii="Book Antiqua" w:hAnsi="Book Antiqua"/>
        </w:rPr>
        <w:t>P3A4</w:t>
      </w:r>
      <w:r>
        <w:rPr>
          <w:rFonts w:ascii="Book Antiqua" w:hAnsi="Book Antiqua"/>
        </w:rPr>
        <w:t>/5</w:t>
      </w:r>
      <w:r w:rsidRPr="00DF09C0">
        <w:rPr>
          <w:rFonts w:ascii="Book Antiqua" w:hAnsi="Book Antiqua"/>
        </w:rPr>
        <w:t xml:space="preserve"> et AKR</w:t>
      </w:r>
    </w:p>
    <w:p w:rsidR="00147745" w:rsidRPr="00DF09C0" w:rsidRDefault="00147745" w:rsidP="00DF09C0">
      <w:pPr>
        <w:pStyle w:val="ListParagraph"/>
        <w:numPr>
          <w:ilvl w:val="0"/>
          <w:numId w:val="1"/>
        </w:numPr>
        <w:rPr>
          <w:rFonts w:ascii="Book Antiqua" w:hAnsi="Book Antiqua"/>
        </w:rPr>
      </w:pPr>
      <w:r w:rsidRPr="00DF09C0">
        <w:rPr>
          <w:rFonts w:ascii="Book Antiqua" w:hAnsi="Book Antiqua"/>
        </w:rPr>
        <w:t xml:space="preserve">Pour lesquels </w:t>
      </w:r>
      <w:r>
        <w:rPr>
          <w:rFonts w:ascii="Book Antiqua" w:hAnsi="Book Antiqua"/>
        </w:rPr>
        <w:t>des concentrations plasmatiques élevées sont associées à des événements graves et/ou engageant le pronostic vital</w:t>
      </w:r>
    </w:p>
    <w:p w:rsidR="00147745" w:rsidRPr="00DF09C0" w:rsidRDefault="00147745" w:rsidP="00DF09C0">
      <w:pPr>
        <w:rPr>
          <w:rFonts w:ascii="Book Antiqua" w:hAnsi="Book Antiqua"/>
          <w:sz w:val="22"/>
          <w:szCs w:val="22"/>
        </w:rPr>
      </w:pPr>
      <w:r w:rsidRPr="00DF09C0">
        <w:rPr>
          <w:rFonts w:ascii="Book Antiqua" w:hAnsi="Book Antiqua"/>
          <w:sz w:val="22"/>
          <w:szCs w:val="22"/>
        </w:rPr>
        <w:sym w:font="Wingdings" w:char="F0E8"/>
      </w:r>
      <w:r>
        <w:rPr>
          <w:rFonts w:ascii="Book Antiqua" w:hAnsi="Book Antiqua"/>
          <w:sz w:val="22"/>
          <w:szCs w:val="22"/>
        </w:rPr>
        <w:t xml:space="preserve"> Médicament à marge thérapeutique étroite</w:t>
      </w:r>
    </w:p>
    <w:p w:rsidR="00147745"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r w:rsidRPr="00DF09C0">
        <w:rPr>
          <w:rFonts w:ascii="Book Antiqua" w:hAnsi="Book Antiqua"/>
          <w:sz w:val="22"/>
          <w:szCs w:val="22"/>
        </w:rPr>
        <w:t xml:space="preserve">Pharmacocinétique du télaprevir : </w:t>
      </w:r>
    </w:p>
    <w:p w:rsidR="00147745" w:rsidRDefault="00147745" w:rsidP="00DF09C0">
      <w:pPr>
        <w:pStyle w:val="ListParagraph"/>
        <w:numPr>
          <w:ilvl w:val="0"/>
          <w:numId w:val="2"/>
        </w:numPr>
        <w:rPr>
          <w:rFonts w:ascii="Book Antiqua" w:hAnsi="Book Antiqua"/>
        </w:rPr>
      </w:pPr>
      <w:r w:rsidRPr="00DF09C0">
        <w:rPr>
          <w:rFonts w:ascii="Book Antiqua" w:hAnsi="Book Antiqua"/>
        </w:rPr>
        <w:t>Un</w:t>
      </w:r>
      <w:r>
        <w:rPr>
          <w:rFonts w:ascii="Book Antiqua" w:hAnsi="Book Antiqua"/>
        </w:rPr>
        <w:t>e</w:t>
      </w:r>
      <w:r w:rsidRPr="00DF09C0">
        <w:rPr>
          <w:rFonts w:ascii="Book Antiqua" w:hAnsi="Book Antiqua"/>
        </w:rPr>
        <w:t xml:space="preserve"> voie </w:t>
      </w:r>
      <w:r>
        <w:rPr>
          <w:rFonts w:ascii="Book Antiqua" w:hAnsi="Book Antiqua"/>
        </w:rPr>
        <w:t>de métabolisation largement majoritaire</w:t>
      </w:r>
    </w:p>
    <w:p w:rsidR="00147745" w:rsidRDefault="00147745" w:rsidP="005C30EF">
      <w:pPr>
        <w:pStyle w:val="ListParagraph"/>
        <w:numPr>
          <w:ilvl w:val="0"/>
          <w:numId w:val="7"/>
        </w:numPr>
        <w:jc w:val="left"/>
        <w:rPr>
          <w:rFonts w:ascii="Book Antiqua" w:hAnsi="Book Antiqua"/>
        </w:rPr>
      </w:pPr>
      <w:r w:rsidRPr="00CB6526">
        <w:rPr>
          <w:rFonts w:ascii="Book Antiqua" w:hAnsi="Book Antiqua"/>
          <w:b/>
        </w:rPr>
        <w:t>CYT P450</w:t>
      </w:r>
      <w:r>
        <w:rPr>
          <w:rFonts w:ascii="Book Antiqua" w:hAnsi="Book Antiqua"/>
        </w:rPr>
        <w:t> : substrat CYP3A4 et Pgp</w:t>
      </w:r>
    </w:p>
    <w:p w:rsidR="00147745" w:rsidRDefault="00147745" w:rsidP="005C30EF">
      <w:pPr>
        <w:pStyle w:val="ListParagraph"/>
        <w:numPr>
          <w:ilvl w:val="0"/>
          <w:numId w:val="7"/>
        </w:numPr>
        <w:jc w:val="left"/>
        <w:rPr>
          <w:rFonts w:ascii="Book Antiqua" w:hAnsi="Book Antiqua"/>
        </w:rPr>
      </w:pPr>
      <w:r>
        <w:rPr>
          <w:rFonts w:ascii="Book Antiqua" w:hAnsi="Book Antiqua"/>
        </w:rPr>
        <w:t>Inhibiteur sélectif CYP3A4/5 isozymes</w:t>
      </w:r>
    </w:p>
    <w:p w:rsidR="00147745" w:rsidRDefault="00147745" w:rsidP="005C30EF">
      <w:pPr>
        <w:pStyle w:val="ListParagraph"/>
        <w:numPr>
          <w:ilvl w:val="0"/>
          <w:numId w:val="7"/>
        </w:numPr>
        <w:jc w:val="left"/>
        <w:rPr>
          <w:rFonts w:ascii="Book Antiqua" w:hAnsi="Book Antiqua"/>
        </w:rPr>
      </w:pPr>
      <w:r>
        <w:rPr>
          <w:rFonts w:ascii="Book Antiqua" w:hAnsi="Book Antiqua"/>
        </w:rPr>
        <w:t>Substrat et inhibiteur Pgp</w:t>
      </w:r>
    </w:p>
    <w:p w:rsidR="00147745" w:rsidRDefault="00147745" w:rsidP="00CB6526">
      <w:pPr>
        <w:pStyle w:val="ListParagraph"/>
        <w:numPr>
          <w:ilvl w:val="0"/>
          <w:numId w:val="3"/>
        </w:numPr>
        <w:jc w:val="left"/>
        <w:rPr>
          <w:rFonts w:ascii="Book Antiqua" w:hAnsi="Book Antiqua"/>
        </w:rPr>
      </w:pPr>
      <w:r>
        <w:rPr>
          <w:rFonts w:ascii="Book Antiqua" w:hAnsi="Book Antiqua"/>
        </w:rPr>
        <w:t>arguments pour être à l’origine d’interactions médicamenteuses</w:t>
      </w:r>
    </w:p>
    <w:p w:rsidR="00147745" w:rsidRDefault="00147745" w:rsidP="00CB6526">
      <w:pPr>
        <w:pStyle w:val="ListParagraph"/>
        <w:ind w:left="717" w:firstLine="0"/>
        <w:jc w:val="left"/>
        <w:rPr>
          <w:rFonts w:ascii="Book Antiqua" w:hAnsi="Book Antiqua"/>
        </w:rPr>
      </w:pPr>
    </w:p>
    <w:p w:rsidR="00147745" w:rsidRDefault="00147745" w:rsidP="005C30EF">
      <w:pPr>
        <w:pStyle w:val="ListParagraph"/>
        <w:numPr>
          <w:ilvl w:val="0"/>
          <w:numId w:val="8"/>
        </w:numPr>
        <w:rPr>
          <w:rFonts w:ascii="Book Antiqua" w:hAnsi="Book Antiqua"/>
        </w:rPr>
      </w:pPr>
      <w:r>
        <w:rPr>
          <w:rFonts w:ascii="Book Antiqua" w:hAnsi="Book Antiqua"/>
        </w:rPr>
        <w:t>Pharmacocinétique</w:t>
      </w:r>
    </w:p>
    <w:p w:rsidR="00147745" w:rsidRPr="00DF09C0" w:rsidRDefault="00147745" w:rsidP="00CB6526">
      <w:pPr>
        <w:pStyle w:val="ListParagraph"/>
        <w:numPr>
          <w:ilvl w:val="0"/>
          <w:numId w:val="10"/>
        </w:numPr>
        <w:ind w:left="1418" w:hanging="284"/>
        <w:rPr>
          <w:rFonts w:ascii="Book Antiqua" w:hAnsi="Book Antiqua"/>
        </w:rPr>
      </w:pPr>
      <w:r>
        <w:rPr>
          <w:rFonts w:ascii="Book Antiqua" w:hAnsi="Book Antiqua"/>
        </w:rPr>
        <w:t>75% liaison</w:t>
      </w:r>
      <w:r w:rsidRPr="00DF09C0">
        <w:rPr>
          <w:rFonts w:ascii="Book Antiqua" w:hAnsi="Book Antiqua"/>
        </w:rPr>
        <w:t xml:space="preserve"> aux protéines</w:t>
      </w:r>
      <w:r>
        <w:rPr>
          <w:rFonts w:ascii="Book Antiqua" w:hAnsi="Book Antiqua"/>
        </w:rPr>
        <w:t xml:space="preserve"> plasmatiques</w:t>
      </w:r>
    </w:p>
    <w:p w:rsidR="00147745" w:rsidRDefault="00147745" w:rsidP="00CB6526">
      <w:pPr>
        <w:pStyle w:val="ListParagraph"/>
        <w:numPr>
          <w:ilvl w:val="0"/>
          <w:numId w:val="10"/>
        </w:numPr>
        <w:ind w:left="1418" w:hanging="284"/>
        <w:rPr>
          <w:rFonts w:ascii="Book Antiqua" w:hAnsi="Book Antiqua"/>
        </w:rPr>
      </w:pPr>
      <w:r w:rsidRPr="00DF09C0">
        <w:rPr>
          <w:rFonts w:ascii="Book Antiqua" w:hAnsi="Book Antiqua"/>
        </w:rPr>
        <w:t xml:space="preserve"> </w:t>
      </w:r>
      <w:r>
        <w:rPr>
          <w:rFonts w:ascii="Book Antiqua" w:hAnsi="Book Antiqua"/>
        </w:rPr>
        <w:t>Temps de demi-vie : 3,4h (courte donc administration 3X par jour)</w:t>
      </w:r>
    </w:p>
    <w:p w:rsidR="00147745" w:rsidRPr="00DF09C0" w:rsidRDefault="00147745" w:rsidP="00CB6526">
      <w:pPr>
        <w:pStyle w:val="ListParagraph"/>
        <w:numPr>
          <w:ilvl w:val="0"/>
          <w:numId w:val="10"/>
        </w:numPr>
        <w:ind w:left="1418" w:hanging="284"/>
        <w:rPr>
          <w:rFonts w:ascii="Book Antiqua" w:hAnsi="Book Antiqua"/>
        </w:rPr>
      </w:pPr>
      <w:r>
        <w:rPr>
          <w:rFonts w:ascii="Book Antiqua" w:hAnsi="Book Antiqua"/>
        </w:rPr>
        <w:t>Elimination : fèces 79% et urines 9%</w:t>
      </w:r>
    </w:p>
    <w:p w:rsidR="00147745" w:rsidRPr="005C30EF" w:rsidRDefault="00147745" w:rsidP="005C30EF">
      <w:pPr>
        <w:pStyle w:val="ListParagraph"/>
        <w:ind w:left="1440" w:firstLine="0"/>
        <w:rPr>
          <w:rFonts w:ascii="Book Antiqua" w:hAnsi="Book Antiqua"/>
        </w:rPr>
      </w:pPr>
    </w:p>
    <w:p w:rsidR="00147745" w:rsidRDefault="00147745" w:rsidP="00DF09C0">
      <w:pPr>
        <w:rPr>
          <w:rFonts w:ascii="Book Antiqua" w:hAnsi="Book Antiqua"/>
          <w:sz w:val="22"/>
          <w:szCs w:val="22"/>
        </w:rPr>
      </w:pPr>
      <w:r>
        <w:rPr>
          <w:rFonts w:ascii="Book Antiqua" w:hAnsi="Book Antiqua"/>
          <w:sz w:val="22"/>
          <w:szCs w:val="22"/>
        </w:rPr>
        <w:t>Pour le boceprévir, la prise du médicament au cours d’un repas permet l’augmentation de 60% de la biodisponibilité peut importe la nature du repas.</w:t>
      </w:r>
    </w:p>
    <w:p w:rsidR="00147745" w:rsidRPr="00DF09C0" w:rsidRDefault="00147745" w:rsidP="00DF09C0">
      <w:pPr>
        <w:rPr>
          <w:rFonts w:ascii="Book Antiqua" w:hAnsi="Book Antiqua"/>
          <w:sz w:val="22"/>
          <w:szCs w:val="22"/>
        </w:rPr>
      </w:pPr>
      <w:r>
        <w:rPr>
          <w:rFonts w:ascii="Book Antiqua" w:hAnsi="Book Antiqua"/>
          <w:sz w:val="22"/>
          <w:szCs w:val="22"/>
        </w:rPr>
        <w:t>Avec le télaprevir c’est différent il peut y avoir une modification par la prise d’un repas mais celui-ci doit être essentiellement lipidique qui va améliorer de 20% la biodisponibilité ; par contre en absence de repas on a une perte très importante de biodisponibilité – 73%.</w:t>
      </w:r>
    </w:p>
    <w:p w:rsidR="00147745" w:rsidRPr="00DF09C0" w:rsidRDefault="00147745" w:rsidP="00DF09C0">
      <w:pPr>
        <w:rPr>
          <w:rFonts w:ascii="Book Antiqua" w:hAnsi="Book Antiqua"/>
          <w:sz w:val="22"/>
          <w:szCs w:val="22"/>
        </w:rPr>
      </w:pPr>
    </w:p>
    <w:p w:rsidR="00147745" w:rsidRDefault="00147745" w:rsidP="00DF09C0">
      <w:pPr>
        <w:rPr>
          <w:rFonts w:ascii="Book Antiqua" w:hAnsi="Book Antiqua"/>
          <w:sz w:val="22"/>
          <w:szCs w:val="22"/>
        </w:rPr>
      </w:pPr>
      <w:r>
        <w:rPr>
          <w:rFonts w:ascii="Book Antiqua" w:hAnsi="Book Antiqua"/>
          <w:sz w:val="22"/>
          <w:szCs w:val="22"/>
        </w:rPr>
        <w:t xml:space="preserve">Il va y avoir l’impact sur des populations particulières, à risque. Pour le sujet âgé, on ne sait pas si ça modifie les propriétés d’élimination de ces médicaments. Pour les insuffisants hépatiques et rénaux peu de modification significative pour le boceprévir. Pour le télaprevir l’élimination est réduite (50% de la biodisponibilité) par l’insuffisance hépatique =&gt; il faut donc faire une adaptation de posologie. Chez l’insuffisant rénal c’est globalement pareil (modification de 10 à 20%), avec le télaprevir. </w:t>
      </w:r>
    </w:p>
    <w:p w:rsidR="00147745" w:rsidRDefault="00147745" w:rsidP="00DF09C0">
      <w:pPr>
        <w:rPr>
          <w:rFonts w:ascii="Book Antiqua" w:hAnsi="Book Antiqua"/>
          <w:sz w:val="22"/>
          <w:szCs w:val="22"/>
        </w:rPr>
      </w:pPr>
    </w:p>
    <w:p w:rsidR="00147745" w:rsidRDefault="00147745" w:rsidP="00DF09C0">
      <w:pPr>
        <w:rPr>
          <w:rFonts w:ascii="Book Antiqua" w:hAnsi="Book Antiqua"/>
          <w:sz w:val="22"/>
          <w:szCs w:val="22"/>
        </w:rPr>
      </w:pPr>
    </w:p>
    <w:p w:rsidR="00147745" w:rsidRPr="00DF09C0" w:rsidRDefault="00147745" w:rsidP="00DF09C0">
      <w:pPr>
        <w:rPr>
          <w:rFonts w:ascii="Book Antiqua" w:hAnsi="Book Antiqua"/>
          <w:sz w:val="22"/>
          <w:szCs w:val="22"/>
        </w:rPr>
      </w:pPr>
      <w:r w:rsidRPr="00DF09C0">
        <w:rPr>
          <w:rFonts w:ascii="Book Antiqua" w:hAnsi="Book Antiqua"/>
          <w:sz w:val="22"/>
          <w:szCs w:val="22"/>
        </w:rPr>
        <w:t xml:space="preserve">Effets secondaires : </w:t>
      </w:r>
    </w:p>
    <w:p w:rsidR="00147745" w:rsidRDefault="00147745" w:rsidP="00DF09C0">
      <w:pPr>
        <w:pStyle w:val="ListParagraph"/>
        <w:numPr>
          <w:ilvl w:val="0"/>
          <w:numId w:val="1"/>
        </w:numPr>
        <w:rPr>
          <w:rFonts w:ascii="Book Antiqua" w:hAnsi="Book Antiqua"/>
        </w:rPr>
      </w:pPr>
      <w:r w:rsidRPr="00DF09C0">
        <w:rPr>
          <w:rFonts w:ascii="Book Antiqua" w:hAnsi="Book Antiqua"/>
        </w:rPr>
        <w:t>Telaprevir : rach 37%(sévère 7%</w:t>
      </w:r>
      <w:r>
        <w:rPr>
          <w:rFonts w:ascii="Book Antiqua" w:hAnsi="Book Antiqua"/>
        </w:rPr>
        <w:t>), anémie =&gt; arrêt effets secondaires 13-20%</w:t>
      </w:r>
    </w:p>
    <w:p w:rsidR="00147745" w:rsidRDefault="00147745" w:rsidP="00DF09C0">
      <w:pPr>
        <w:pStyle w:val="ListParagraph"/>
        <w:numPr>
          <w:ilvl w:val="0"/>
          <w:numId w:val="1"/>
        </w:numPr>
        <w:rPr>
          <w:rFonts w:ascii="Book Antiqua" w:hAnsi="Book Antiqua"/>
        </w:rPr>
      </w:pPr>
      <w:r>
        <w:rPr>
          <w:rFonts w:ascii="Book Antiqua" w:hAnsi="Book Antiqua"/>
        </w:rPr>
        <w:t>Boceprevir : anémie X2 (50%), dysgeusie, vomissement =&gt;  arrêt effets secondaires 9-19%</w:t>
      </w:r>
      <w:r w:rsidRPr="00DF09C0">
        <w:rPr>
          <w:rFonts w:ascii="Book Antiqua" w:hAnsi="Book Antiqua"/>
        </w:rPr>
        <w:t xml:space="preserve">       </w:t>
      </w:r>
    </w:p>
    <w:p w:rsidR="00147745" w:rsidRDefault="00147745" w:rsidP="00BC5F16">
      <w:pPr>
        <w:rPr>
          <w:rFonts w:ascii="Book Antiqua" w:hAnsi="Book Antiqua"/>
        </w:rPr>
      </w:pPr>
    </w:p>
    <w:p w:rsidR="00147745" w:rsidRDefault="00147745" w:rsidP="00BC5F16">
      <w:pPr>
        <w:rPr>
          <w:rFonts w:ascii="Book Antiqua" w:hAnsi="Book Antiqua"/>
        </w:rPr>
      </w:pPr>
      <w:r>
        <w:rPr>
          <w:rFonts w:ascii="Book Antiqua" w:hAnsi="Book Antiqua"/>
        </w:rPr>
        <w:t>L’impact des associations médicamenteuses : exemple le bocéprevir en présence d’Efavirenz ( anti rétroviral) qui a des propriétés inductrices enzymatiques du CYP 3A4 qui entrainent des modifications qui ne semblent pas très significatives</w:t>
      </w:r>
      <w:r w:rsidRPr="00BC5F16">
        <w:rPr>
          <w:rFonts w:ascii="Book Antiqua" w:hAnsi="Book Antiqua"/>
        </w:rPr>
        <w:t xml:space="preserve">  </w:t>
      </w:r>
      <w:r>
        <w:rPr>
          <w:rFonts w:ascii="Book Antiqua" w:hAnsi="Book Antiqua"/>
        </w:rPr>
        <w:t>puisque le boceprévir est principalement métabolisé par des AKR.</w:t>
      </w:r>
    </w:p>
    <w:p w:rsidR="00147745" w:rsidRDefault="00147745" w:rsidP="00BC5F16">
      <w:pPr>
        <w:rPr>
          <w:rFonts w:ascii="Book Antiqua" w:hAnsi="Book Antiqua"/>
        </w:rPr>
      </w:pPr>
    </w:p>
    <w:p w:rsidR="00147745" w:rsidRDefault="00147745" w:rsidP="00BC5F16">
      <w:pPr>
        <w:rPr>
          <w:rFonts w:ascii="Book Antiqua" w:hAnsi="Book Antiqua"/>
        </w:rPr>
      </w:pPr>
      <w:r>
        <w:rPr>
          <w:rFonts w:ascii="Book Antiqua" w:hAnsi="Book Antiqua"/>
        </w:rPr>
        <w:t>Le télaprevir : même si des interactions existent, elles n’ont pas forcément de significations cliniques.</w:t>
      </w:r>
    </w:p>
    <w:p w:rsidR="00147745" w:rsidRDefault="00147745" w:rsidP="00BC5F16">
      <w:pPr>
        <w:rPr>
          <w:rFonts w:ascii="Book Antiqua" w:hAnsi="Book Antiqua"/>
        </w:rPr>
      </w:pPr>
      <w:r>
        <w:rPr>
          <w:rFonts w:ascii="Book Antiqua" w:hAnsi="Book Antiqua"/>
        </w:rPr>
        <w:t xml:space="preserve"> Si on met télaprevir + méthadone, on perd 80% de l’exposition à la méthadone, par contre le rapport fraction libre/fraction liée  reste inchangé et on a donc pas de modification significative de l’impact du traitement associé il n’est pas nécessaire de modifier la posologie Néanmoins, on recommande de surveiller les patients sur le plan clinique.</w:t>
      </w:r>
    </w:p>
    <w:p w:rsidR="00147745" w:rsidRDefault="00147745" w:rsidP="00BC5F16">
      <w:pPr>
        <w:rPr>
          <w:rFonts w:ascii="Book Antiqua" w:hAnsi="Book Antiqua"/>
        </w:rPr>
      </w:pPr>
    </w:p>
    <w:p w:rsidR="00147745" w:rsidRDefault="00147745" w:rsidP="00BC5F16">
      <w:pPr>
        <w:rPr>
          <w:rFonts w:ascii="Book Antiqua" w:hAnsi="Book Antiqua"/>
        </w:rPr>
      </w:pPr>
      <w:r>
        <w:rPr>
          <w:rFonts w:ascii="Book Antiqua" w:hAnsi="Book Antiqua"/>
        </w:rPr>
        <w:t>La rifampicine qui est le médicament de référence en induction enzymatique réduit l’exposition au télaprevir de presque 100% =&gt; contrindication, la différence étant trop importante.</w:t>
      </w:r>
    </w:p>
    <w:p w:rsidR="00147745" w:rsidRDefault="00147745" w:rsidP="00BC5F16">
      <w:pPr>
        <w:rPr>
          <w:rFonts w:ascii="Book Antiqua" w:hAnsi="Book Antiqua"/>
        </w:rPr>
      </w:pPr>
    </w:p>
    <w:p w:rsidR="00147745" w:rsidRDefault="00147745" w:rsidP="00BC5F16">
      <w:pPr>
        <w:rPr>
          <w:rFonts w:ascii="Book Antiqua" w:hAnsi="Book Antiqua"/>
        </w:rPr>
      </w:pPr>
      <w:r>
        <w:rPr>
          <w:rFonts w:ascii="Book Antiqua" w:hAnsi="Book Antiqua"/>
        </w:rPr>
        <w:t>Interaction avec les immunosuppresseurs : les patients qui ont une hépatite C très avancée vont nécessités une transplantation hépatique. La présence de télaprevir et d’immunosuppresseurs (cyclosporine ou tacrolimus) se traduit par une multiplication de l’AUC (70X plus importante en présence de tacrolimus)</w:t>
      </w:r>
      <w:r w:rsidRPr="00BC5F16">
        <w:rPr>
          <w:rFonts w:ascii="Book Antiqua" w:hAnsi="Book Antiqua"/>
        </w:rPr>
        <w:t xml:space="preserve">  </w:t>
      </w:r>
      <w:r>
        <w:rPr>
          <w:rFonts w:ascii="Book Antiqua" w:hAnsi="Book Antiqua"/>
        </w:rPr>
        <w:t>=&gt; il faut donc modifier les posologies.</w:t>
      </w:r>
    </w:p>
    <w:p w:rsidR="00147745" w:rsidRDefault="00147745" w:rsidP="00BC5F16">
      <w:pPr>
        <w:rPr>
          <w:rFonts w:ascii="Book Antiqua" w:hAnsi="Book Antiqua"/>
        </w:rPr>
      </w:pPr>
    </w:p>
    <w:p w:rsidR="00147745" w:rsidRDefault="00147745" w:rsidP="00BC5F16">
      <w:pPr>
        <w:rPr>
          <w:rFonts w:ascii="Book Antiqua" w:hAnsi="Book Antiqua"/>
        </w:rPr>
      </w:pPr>
      <w:r>
        <w:rPr>
          <w:rFonts w:ascii="Book Antiqua" w:hAnsi="Book Antiqua"/>
        </w:rPr>
        <w:t xml:space="preserve">On note aussi des interactions importantes avec des contraceptifs oraux ; avec des plantes (millepertuis).  </w:t>
      </w:r>
    </w:p>
    <w:p w:rsidR="00147745" w:rsidRDefault="00147745" w:rsidP="00BC5F16">
      <w:pPr>
        <w:rPr>
          <w:rFonts w:ascii="Book Antiqua" w:hAnsi="Book Antiqua"/>
        </w:rPr>
      </w:pPr>
    </w:p>
    <w:p w:rsidR="00147745" w:rsidRDefault="00147745" w:rsidP="00BC5F16">
      <w:pPr>
        <w:rPr>
          <w:rFonts w:ascii="Book Antiqua" w:hAnsi="Book Antiqua"/>
        </w:rPr>
      </w:pPr>
      <w:r>
        <w:rPr>
          <w:rFonts w:ascii="Book Antiqua" w:hAnsi="Book Antiqua"/>
        </w:rPr>
        <w:t>Quand on traite une infection virale (dont l’hépatite C) il faut tenir compte de 3 choses :</w:t>
      </w:r>
    </w:p>
    <w:p w:rsidR="00147745" w:rsidRDefault="00147745" w:rsidP="0044139B">
      <w:pPr>
        <w:pStyle w:val="ListParagraph"/>
        <w:numPr>
          <w:ilvl w:val="0"/>
          <w:numId w:val="8"/>
        </w:numPr>
        <w:rPr>
          <w:rFonts w:ascii="Book Antiqua" w:hAnsi="Book Antiqua"/>
        </w:rPr>
      </w:pPr>
      <w:r>
        <w:rPr>
          <w:rFonts w:ascii="Book Antiqua" w:hAnsi="Book Antiqua"/>
        </w:rPr>
        <w:t>le patient, le virus et le médicament</w:t>
      </w:r>
    </w:p>
    <w:p w:rsidR="00147745" w:rsidRDefault="00147745" w:rsidP="0044139B">
      <w:pPr>
        <w:rPr>
          <w:rFonts w:ascii="Book Antiqua" w:hAnsi="Book Antiqua"/>
        </w:rPr>
      </w:pPr>
      <w:r>
        <w:rPr>
          <w:rFonts w:ascii="Book Antiqua" w:hAnsi="Book Antiqua"/>
        </w:rPr>
        <w:t>Avec ce virus, on sait qu’il y a au début des virus mutants formés par la population virale qui seront probablement résistants au traitement donc si l’on fait un traitement antiviral en monothérapie ou sous-dosé on risque d’éliminer les virus les plus sensibles et de laisser les virus les plus résistants qui va se multiplier dans l’organisme et on a plus aucune chance de pouvoir traiter le patient correctement.</w:t>
      </w:r>
    </w:p>
    <w:p w:rsidR="00147745" w:rsidRDefault="00147745" w:rsidP="0044139B">
      <w:pPr>
        <w:rPr>
          <w:rFonts w:ascii="Book Antiqua" w:hAnsi="Book Antiqua"/>
        </w:rPr>
      </w:pPr>
      <w:r>
        <w:rPr>
          <w:rFonts w:ascii="Book Antiqua" w:hAnsi="Book Antiqua"/>
        </w:rPr>
        <w:t>Il faut donc utiliser des posologies correctes et faire des traitements en polythérapies.</w:t>
      </w:r>
    </w:p>
    <w:p w:rsidR="00147745" w:rsidRDefault="00147745" w:rsidP="0044139B">
      <w:pPr>
        <w:rPr>
          <w:rFonts w:ascii="Book Antiqua" w:hAnsi="Book Antiqua"/>
        </w:rPr>
      </w:pPr>
    </w:p>
    <w:p w:rsidR="00147745" w:rsidRPr="0044139B" w:rsidRDefault="00147745" w:rsidP="0044139B">
      <w:pPr>
        <w:rPr>
          <w:rFonts w:ascii="Book Antiqua" w:hAnsi="Book Antiqua"/>
          <w:b/>
        </w:rPr>
      </w:pPr>
      <w:r>
        <w:rPr>
          <w:rFonts w:ascii="Book Antiqua" w:hAnsi="Book Antiqua"/>
        </w:rPr>
        <w:t>L’avenir des traitements de l’hépatite C est surtout les anti-protéases (télaprevir et boceprevir) mais échappement rapide et développement de résistances en monothérapies. Augmentation de la réponse avec traitement 24 semaines seulement si associé avec IFN et ribavirine. On étudie aussi les inhibiteurs de polymérase dont les résultats sont intéressants.</w:t>
      </w:r>
    </w:p>
    <w:p w:rsidR="00147745" w:rsidRDefault="00147745" w:rsidP="0044139B">
      <w:pPr>
        <w:rPr>
          <w:rFonts w:ascii="Book Antiqua" w:hAnsi="Book Antiqua"/>
        </w:rPr>
      </w:pPr>
      <w:r w:rsidRPr="0044139B">
        <w:rPr>
          <w:rFonts w:ascii="Book Antiqua" w:hAnsi="Book Antiqua"/>
          <w:b/>
        </w:rPr>
        <w:t>L’avenir actuel est aux trithérapies</w:t>
      </w:r>
      <w:r>
        <w:rPr>
          <w:rFonts w:ascii="Book Antiqua" w:hAnsi="Book Antiqua"/>
        </w:rPr>
        <w:t>.</w:t>
      </w:r>
    </w:p>
    <w:p w:rsidR="00147745" w:rsidRDefault="00147745" w:rsidP="0044139B">
      <w:pPr>
        <w:rPr>
          <w:rFonts w:ascii="Calibri" w:hAnsi="Calibri" w:cs="Calibri"/>
        </w:rPr>
      </w:pPr>
    </w:p>
    <w:p w:rsidR="00147745" w:rsidRPr="00235C06" w:rsidRDefault="00147745" w:rsidP="0044139B">
      <w:pPr>
        <w:rPr>
          <w:rFonts w:ascii="Calibri" w:hAnsi="Calibri" w:cs="Calibri"/>
        </w:rPr>
      </w:pPr>
      <w:r w:rsidRPr="00235C06">
        <w:rPr>
          <w:rFonts w:ascii="Calibri" w:hAnsi="Calibri" w:cs="Calibri"/>
        </w:rPr>
        <w:t>Pour l’exam : l’hépatotoxicité, le métabolisme hépatique , l’induction et l’inhibition enzymatique/ les cibles principales avec les médicaments de l’hépatite C et les règles générales de traitement.</w:t>
      </w:r>
    </w:p>
    <w:p w:rsidR="00147745" w:rsidRDefault="00147745" w:rsidP="0044139B">
      <w:pPr>
        <w:rPr>
          <w:rFonts w:ascii="Calibri" w:hAnsi="Calibri" w:cs="Calibri"/>
          <w:sz w:val="20"/>
          <w:szCs w:val="20"/>
        </w:rPr>
      </w:pPr>
    </w:p>
    <w:p w:rsidR="00147745" w:rsidRPr="00235C06" w:rsidRDefault="00147745" w:rsidP="0044139B">
      <w:pPr>
        <w:rPr>
          <w:rFonts w:ascii="Calibri" w:hAnsi="Calibri" w:cs="Calibri"/>
          <w:sz w:val="20"/>
          <w:szCs w:val="20"/>
        </w:rPr>
      </w:pPr>
      <w:r w:rsidRPr="00235C06">
        <w:rPr>
          <w:rFonts w:ascii="Calibri" w:hAnsi="Calibri" w:cs="Calibri"/>
          <w:sz w:val="20"/>
          <w:szCs w:val="20"/>
        </w:rPr>
        <w:t>Dédicace : merci à Sidonie pour ses notes, son soutien morale et Mario Bros, à Julie pour son exclamation ô combien discrète « oh non 68 diapos » et à tous ceux qui étaient présents et ont tenté de se battre pour avoir les diapos et bon courage pour ce cours !!!!^^</w:t>
      </w:r>
    </w:p>
    <w:sectPr w:rsidR="00147745" w:rsidRPr="00235C06" w:rsidSect="00F81178">
      <w:pgSz w:w="11906" w:h="16838"/>
      <w:pgMar w:top="851" w:right="585" w:bottom="284" w:left="5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7745" w:rsidRDefault="00147745">
      <w:r>
        <w:separator/>
      </w:r>
    </w:p>
  </w:endnote>
  <w:endnote w:type="continuationSeparator" w:id="0">
    <w:p w:rsidR="00147745" w:rsidRDefault="001477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S Mincho">
    <w:altName w:val="?l?r ??fc"/>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Eras Demi ITC">
    <w:panose1 w:val="020B0805030504020804"/>
    <w:charset w:val="00"/>
    <w:family w:val="swiss"/>
    <w:pitch w:val="variable"/>
    <w:sig w:usb0="00000003" w:usb1="00000000" w:usb2="00000000" w:usb3="00000000" w:csb0="00000001" w:csb1="00000000"/>
  </w:font>
  <w:font w:name="Capture it">
    <w:altName w:val="Arial Unicode MS"/>
    <w:panose1 w:val="00000000000000000000"/>
    <w:charset w:val="80"/>
    <w:family w:val="auto"/>
    <w:notTrueType/>
    <w:pitch w:val="variable"/>
    <w:sig w:usb0="00000001" w:usb1="08070000" w:usb2="00000010" w:usb3="00000000" w:csb0="00020000" w:csb1="00000000"/>
  </w:font>
  <w:font w:name="Arial Black">
    <w:panose1 w:val="020B0A04020102020204"/>
    <w:charset w:val="00"/>
    <w:family w:val="swiss"/>
    <w:pitch w:val="variable"/>
    <w:sig w:usb0="00000287" w:usb1="00000000" w:usb2="00000000" w:usb3="00000000" w:csb0="0000009F" w:csb1="00000000"/>
  </w:font>
  <w:font w:name="Antipasto">
    <w:altName w:val="Arial Unicode MS"/>
    <w:panose1 w:val="00000000000000000000"/>
    <w:charset w:val="80"/>
    <w:family w:val="auto"/>
    <w:notTrueType/>
    <w:pitch w:val="variable"/>
    <w:sig w:usb0="00000001" w:usb1="08070000" w:usb2="00000010" w:usb3="00000000" w:csb0="00020000" w:csb1="00000000"/>
  </w:font>
  <w:font w:name="MV Boli">
    <w:charset w:val="00"/>
    <w:family w:val="auto"/>
    <w:pitch w:val="variable"/>
    <w:sig w:usb0="00000003" w:usb1="00000000" w:usb2="00000100" w:usb3="00000000" w:csb0="00000001" w:csb1="00000000"/>
  </w:font>
  <w:font w:name="Kristen ITC">
    <w:panose1 w:val="03050502040202030202"/>
    <w:charset w:val="00"/>
    <w:family w:val="script"/>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Engravers MT">
    <w:panose1 w:val="0209070708050502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7745" w:rsidRDefault="00147745">
      <w:r>
        <w:separator/>
      </w:r>
    </w:p>
  </w:footnote>
  <w:footnote w:type="continuationSeparator" w:id="0">
    <w:p w:rsidR="00147745" w:rsidRDefault="001477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37A4A"/>
    <w:multiLevelType w:val="hybridMultilevel"/>
    <w:tmpl w:val="52060480"/>
    <w:lvl w:ilvl="0" w:tplc="787E0E20">
      <w:numFmt w:val="bullet"/>
      <w:lvlText w:val=""/>
      <w:lvlJc w:val="left"/>
      <w:pPr>
        <w:ind w:left="717" w:hanging="360"/>
      </w:pPr>
      <w:rPr>
        <w:rFonts w:ascii="Symbol" w:eastAsia="Times New Roman" w:hAnsi="Symbol" w:hint="default"/>
      </w:rPr>
    </w:lvl>
    <w:lvl w:ilvl="1" w:tplc="040C0003" w:tentative="1">
      <w:start w:val="1"/>
      <w:numFmt w:val="bullet"/>
      <w:lvlText w:val="o"/>
      <w:lvlJc w:val="left"/>
      <w:pPr>
        <w:ind w:left="1437" w:hanging="360"/>
      </w:pPr>
      <w:rPr>
        <w:rFonts w:ascii="Courier New" w:hAnsi="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1">
    <w:nsid w:val="227E68E5"/>
    <w:multiLevelType w:val="hybridMultilevel"/>
    <w:tmpl w:val="CB4CAA12"/>
    <w:lvl w:ilvl="0" w:tplc="887ECAA2">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57F6E94"/>
    <w:multiLevelType w:val="hybridMultilevel"/>
    <w:tmpl w:val="EE96A8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9865383"/>
    <w:multiLevelType w:val="hybridMultilevel"/>
    <w:tmpl w:val="26EC7408"/>
    <w:lvl w:ilvl="0" w:tplc="887ECAA2">
      <w:numFmt w:val="bullet"/>
      <w:lvlText w:val="-"/>
      <w:lvlJc w:val="left"/>
      <w:pPr>
        <w:ind w:left="1437" w:hanging="360"/>
      </w:pPr>
      <w:rPr>
        <w:rFonts w:ascii="Calibri" w:eastAsia="Times New Roman" w:hAnsi="Calibri" w:hint="default"/>
      </w:rPr>
    </w:lvl>
    <w:lvl w:ilvl="1" w:tplc="040C0003" w:tentative="1">
      <w:start w:val="1"/>
      <w:numFmt w:val="bullet"/>
      <w:lvlText w:val="o"/>
      <w:lvlJc w:val="left"/>
      <w:pPr>
        <w:ind w:left="2157" w:hanging="360"/>
      </w:pPr>
      <w:rPr>
        <w:rFonts w:ascii="Courier New" w:hAnsi="Courier New" w:hint="default"/>
      </w:rPr>
    </w:lvl>
    <w:lvl w:ilvl="2" w:tplc="040C0005" w:tentative="1">
      <w:start w:val="1"/>
      <w:numFmt w:val="bullet"/>
      <w:lvlText w:val=""/>
      <w:lvlJc w:val="left"/>
      <w:pPr>
        <w:ind w:left="2877" w:hanging="360"/>
      </w:pPr>
      <w:rPr>
        <w:rFonts w:ascii="Wingdings" w:hAnsi="Wingdings" w:hint="default"/>
      </w:rPr>
    </w:lvl>
    <w:lvl w:ilvl="3" w:tplc="040C0001" w:tentative="1">
      <w:start w:val="1"/>
      <w:numFmt w:val="bullet"/>
      <w:lvlText w:val=""/>
      <w:lvlJc w:val="left"/>
      <w:pPr>
        <w:ind w:left="3597" w:hanging="360"/>
      </w:pPr>
      <w:rPr>
        <w:rFonts w:ascii="Symbol" w:hAnsi="Symbol" w:hint="default"/>
      </w:rPr>
    </w:lvl>
    <w:lvl w:ilvl="4" w:tplc="040C0003" w:tentative="1">
      <w:start w:val="1"/>
      <w:numFmt w:val="bullet"/>
      <w:lvlText w:val="o"/>
      <w:lvlJc w:val="left"/>
      <w:pPr>
        <w:ind w:left="4317" w:hanging="360"/>
      </w:pPr>
      <w:rPr>
        <w:rFonts w:ascii="Courier New" w:hAnsi="Courier New" w:hint="default"/>
      </w:rPr>
    </w:lvl>
    <w:lvl w:ilvl="5" w:tplc="040C0005" w:tentative="1">
      <w:start w:val="1"/>
      <w:numFmt w:val="bullet"/>
      <w:lvlText w:val=""/>
      <w:lvlJc w:val="left"/>
      <w:pPr>
        <w:ind w:left="5037" w:hanging="360"/>
      </w:pPr>
      <w:rPr>
        <w:rFonts w:ascii="Wingdings" w:hAnsi="Wingdings" w:hint="default"/>
      </w:rPr>
    </w:lvl>
    <w:lvl w:ilvl="6" w:tplc="040C0001" w:tentative="1">
      <w:start w:val="1"/>
      <w:numFmt w:val="bullet"/>
      <w:lvlText w:val=""/>
      <w:lvlJc w:val="left"/>
      <w:pPr>
        <w:ind w:left="5757" w:hanging="360"/>
      </w:pPr>
      <w:rPr>
        <w:rFonts w:ascii="Symbol" w:hAnsi="Symbol" w:hint="default"/>
      </w:rPr>
    </w:lvl>
    <w:lvl w:ilvl="7" w:tplc="040C0003" w:tentative="1">
      <w:start w:val="1"/>
      <w:numFmt w:val="bullet"/>
      <w:lvlText w:val="o"/>
      <w:lvlJc w:val="left"/>
      <w:pPr>
        <w:ind w:left="6477" w:hanging="360"/>
      </w:pPr>
      <w:rPr>
        <w:rFonts w:ascii="Courier New" w:hAnsi="Courier New" w:hint="default"/>
      </w:rPr>
    </w:lvl>
    <w:lvl w:ilvl="8" w:tplc="040C0005" w:tentative="1">
      <w:start w:val="1"/>
      <w:numFmt w:val="bullet"/>
      <w:lvlText w:val=""/>
      <w:lvlJc w:val="left"/>
      <w:pPr>
        <w:ind w:left="7197" w:hanging="360"/>
      </w:pPr>
      <w:rPr>
        <w:rFonts w:ascii="Wingdings" w:hAnsi="Wingdings" w:hint="default"/>
      </w:rPr>
    </w:lvl>
  </w:abstractNum>
  <w:abstractNum w:abstractNumId="4">
    <w:nsid w:val="4FA95262"/>
    <w:multiLevelType w:val="hybridMultilevel"/>
    <w:tmpl w:val="86D04C4C"/>
    <w:lvl w:ilvl="0" w:tplc="A61893EE">
      <w:numFmt w:val="bullet"/>
      <w:lvlText w:val=""/>
      <w:lvlJc w:val="left"/>
      <w:pPr>
        <w:ind w:left="717" w:hanging="360"/>
      </w:pPr>
      <w:rPr>
        <w:rFonts w:ascii="Wingdings" w:eastAsia="Times New Roman" w:hAnsi="Wingdings" w:hint="default"/>
      </w:rPr>
    </w:lvl>
    <w:lvl w:ilvl="1" w:tplc="040C0003" w:tentative="1">
      <w:start w:val="1"/>
      <w:numFmt w:val="bullet"/>
      <w:lvlText w:val="o"/>
      <w:lvlJc w:val="left"/>
      <w:pPr>
        <w:ind w:left="1437" w:hanging="360"/>
      </w:pPr>
      <w:rPr>
        <w:rFonts w:ascii="Courier New" w:hAnsi="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5">
    <w:nsid w:val="55F57112"/>
    <w:multiLevelType w:val="hybridMultilevel"/>
    <w:tmpl w:val="0602F552"/>
    <w:lvl w:ilvl="0" w:tplc="887ECAA2">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B9B06B3"/>
    <w:multiLevelType w:val="hybridMultilevel"/>
    <w:tmpl w:val="784A10BC"/>
    <w:lvl w:ilvl="0" w:tplc="040C0001">
      <w:start w:val="1"/>
      <w:numFmt w:val="bullet"/>
      <w:lvlText w:val=""/>
      <w:lvlJc w:val="left"/>
      <w:pPr>
        <w:ind w:left="1437" w:hanging="360"/>
      </w:pPr>
      <w:rPr>
        <w:rFonts w:ascii="Symbol" w:hAnsi="Symbol" w:hint="default"/>
      </w:rPr>
    </w:lvl>
    <w:lvl w:ilvl="1" w:tplc="040C0003" w:tentative="1">
      <w:start w:val="1"/>
      <w:numFmt w:val="bullet"/>
      <w:lvlText w:val="o"/>
      <w:lvlJc w:val="left"/>
      <w:pPr>
        <w:ind w:left="2157" w:hanging="360"/>
      </w:pPr>
      <w:rPr>
        <w:rFonts w:ascii="Courier New" w:hAnsi="Courier New" w:hint="default"/>
      </w:rPr>
    </w:lvl>
    <w:lvl w:ilvl="2" w:tplc="040C0005" w:tentative="1">
      <w:start w:val="1"/>
      <w:numFmt w:val="bullet"/>
      <w:lvlText w:val=""/>
      <w:lvlJc w:val="left"/>
      <w:pPr>
        <w:ind w:left="2877" w:hanging="360"/>
      </w:pPr>
      <w:rPr>
        <w:rFonts w:ascii="Wingdings" w:hAnsi="Wingdings" w:hint="default"/>
      </w:rPr>
    </w:lvl>
    <w:lvl w:ilvl="3" w:tplc="040C0001" w:tentative="1">
      <w:start w:val="1"/>
      <w:numFmt w:val="bullet"/>
      <w:lvlText w:val=""/>
      <w:lvlJc w:val="left"/>
      <w:pPr>
        <w:ind w:left="3597" w:hanging="360"/>
      </w:pPr>
      <w:rPr>
        <w:rFonts w:ascii="Symbol" w:hAnsi="Symbol" w:hint="default"/>
      </w:rPr>
    </w:lvl>
    <w:lvl w:ilvl="4" w:tplc="040C0003" w:tentative="1">
      <w:start w:val="1"/>
      <w:numFmt w:val="bullet"/>
      <w:lvlText w:val="o"/>
      <w:lvlJc w:val="left"/>
      <w:pPr>
        <w:ind w:left="4317" w:hanging="360"/>
      </w:pPr>
      <w:rPr>
        <w:rFonts w:ascii="Courier New" w:hAnsi="Courier New" w:hint="default"/>
      </w:rPr>
    </w:lvl>
    <w:lvl w:ilvl="5" w:tplc="040C0005" w:tentative="1">
      <w:start w:val="1"/>
      <w:numFmt w:val="bullet"/>
      <w:lvlText w:val=""/>
      <w:lvlJc w:val="left"/>
      <w:pPr>
        <w:ind w:left="5037" w:hanging="360"/>
      </w:pPr>
      <w:rPr>
        <w:rFonts w:ascii="Wingdings" w:hAnsi="Wingdings" w:hint="default"/>
      </w:rPr>
    </w:lvl>
    <w:lvl w:ilvl="6" w:tplc="040C0001" w:tentative="1">
      <w:start w:val="1"/>
      <w:numFmt w:val="bullet"/>
      <w:lvlText w:val=""/>
      <w:lvlJc w:val="left"/>
      <w:pPr>
        <w:ind w:left="5757" w:hanging="360"/>
      </w:pPr>
      <w:rPr>
        <w:rFonts w:ascii="Symbol" w:hAnsi="Symbol" w:hint="default"/>
      </w:rPr>
    </w:lvl>
    <w:lvl w:ilvl="7" w:tplc="040C0003" w:tentative="1">
      <w:start w:val="1"/>
      <w:numFmt w:val="bullet"/>
      <w:lvlText w:val="o"/>
      <w:lvlJc w:val="left"/>
      <w:pPr>
        <w:ind w:left="6477" w:hanging="360"/>
      </w:pPr>
      <w:rPr>
        <w:rFonts w:ascii="Courier New" w:hAnsi="Courier New" w:hint="default"/>
      </w:rPr>
    </w:lvl>
    <w:lvl w:ilvl="8" w:tplc="040C0005" w:tentative="1">
      <w:start w:val="1"/>
      <w:numFmt w:val="bullet"/>
      <w:lvlText w:val=""/>
      <w:lvlJc w:val="left"/>
      <w:pPr>
        <w:ind w:left="7197" w:hanging="360"/>
      </w:pPr>
      <w:rPr>
        <w:rFonts w:ascii="Wingdings" w:hAnsi="Wingdings" w:hint="default"/>
      </w:rPr>
    </w:lvl>
  </w:abstractNum>
  <w:abstractNum w:abstractNumId="7">
    <w:nsid w:val="641A0830"/>
    <w:multiLevelType w:val="hybridMultilevel"/>
    <w:tmpl w:val="C078704A"/>
    <w:lvl w:ilvl="0" w:tplc="887ECAA2">
      <w:numFmt w:val="bullet"/>
      <w:lvlText w:val="-"/>
      <w:lvlJc w:val="left"/>
      <w:pPr>
        <w:ind w:left="717" w:hanging="360"/>
      </w:pPr>
      <w:rPr>
        <w:rFonts w:ascii="Calibri" w:eastAsia="Times New Roman" w:hAnsi="Calibri" w:hint="default"/>
      </w:rPr>
    </w:lvl>
    <w:lvl w:ilvl="1" w:tplc="040C0003" w:tentative="1">
      <w:start w:val="1"/>
      <w:numFmt w:val="bullet"/>
      <w:lvlText w:val="o"/>
      <w:lvlJc w:val="left"/>
      <w:pPr>
        <w:ind w:left="1437" w:hanging="360"/>
      </w:pPr>
      <w:rPr>
        <w:rFonts w:ascii="Courier New" w:hAnsi="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8">
    <w:nsid w:val="752A201B"/>
    <w:multiLevelType w:val="hybridMultilevel"/>
    <w:tmpl w:val="C5A4BB2E"/>
    <w:lvl w:ilvl="0" w:tplc="887ECAA2">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7C714430"/>
    <w:multiLevelType w:val="hybridMultilevel"/>
    <w:tmpl w:val="5C64BC4A"/>
    <w:lvl w:ilvl="0" w:tplc="887ECAA2">
      <w:numFmt w:val="bullet"/>
      <w:lvlText w:val="-"/>
      <w:lvlJc w:val="left"/>
      <w:pPr>
        <w:ind w:left="1440" w:hanging="360"/>
      </w:pPr>
      <w:rPr>
        <w:rFonts w:ascii="Calibri" w:eastAsia="Times New Roman" w:hAnsi="Calibri"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7"/>
  </w:num>
  <w:num w:numId="2">
    <w:abstractNumId w:val="0"/>
  </w:num>
  <w:num w:numId="3">
    <w:abstractNumId w:val="4"/>
  </w:num>
  <w:num w:numId="4">
    <w:abstractNumId w:val="6"/>
  </w:num>
  <w:num w:numId="5">
    <w:abstractNumId w:val="5"/>
  </w:num>
  <w:num w:numId="6">
    <w:abstractNumId w:val="1"/>
  </w:num>
  <w:num w:numId="7">
    <w:abstractNumId w:val="3"/>
  </w:num>
  <w:num w:numId="8">
    <w:abstractNumId w:val="2"/>
  </w:num>
  <w:num w:numId="9">
    <w:abstractNumId w:val="9"/>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efaultTabStop w:val="1134"/>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1F1B"/>
    <w:rsid w:val="00013339"/>
    <w:rsid w:val="00023301"/>
    <w:rsid w:val="00044A28"/>
    <w:rsid w:val="00080E67"/>
    <w:rsid w:val="000C44C2"/>
    <w:rsid w:val="000F2E51"/>
    <w:rsid w:val="001307B6"/>
    <w:rsid w:val="00147745"/>
    <w:rsid w:val="00194808"/>
    <w:rsid w:val="001A1CAD"/>
    <w:rsid w:val="001A4127"/>
    <w:rsid w:val="001F17D3"/>
    <w:rsid w:val="00215924"/>
    <w:rsid w:val="00221BBC"/>
    <w:rsid w:val="002342F1"/>
    <w:rsid w:val="00235C06"/>
    <w:rsid w:val="002B449F"/>
    <w:rsid w:val="002C6F00"/>
    <w:rsid w:val="00322BBD"/>
    <w:rsid w:val="003239A0"/>
    <w:rsid w:val="0036418D"/>
    <w:rsid w:val="00384C9E"/>
    <w:rsid w:val="00396AE2"/>
    <w:rsid w:val="003E6DCC"/>
    <w:rsid w:val="00407B4E"/>
    <w:rsid w:val="00414B96"/>
    <w:rsid w:val="004239B2"/>
    <w:rsid w:val="0044139B"/>
    <w:rsid w:val="004540E2"/>
    <w:rsid w:val="00455072"/>
    <w:rsid w:val="00461385"/>
    <w:rsid w:val="00470C1B"/>
    <w:rsid w:val="004B08D0"/>
    <w:rsid w:val="004B5553"/>
    <w:rsid w:val="005834BF"/>
    <w:rsid w:val="00595B75"/>
    <w:rsid w:val="005C25B3"/>
    <w:rsid w:val="005C30EF"/>
    <w:rsid w:val="005D0E6A"/>
    <w:rsid w:val="005D50AA"/>
    <w:rsid w:val="006511E2"/>
    <w:rsid w:val="00655C86"/>
    <w:rsid w:val="0066434C"/>
    <w:rsid w:val="00667BCF"/>
    <w:rsid w:val="0067219E"/>
    <w:rsid w:val="006760FF"/>
    <w:rsid w:val="006A79CB"/>
    <w:rsid w:val="006E2E01"/>
    <w:rsid w:val="006F65C4"/>
    <w:rsid w:val="00741EC6"/>
    <w:rsid w:val="008051B1"/>
    <w:rsid w:val="008560CD"/>
    <w:rsid w:val="008B6F2F"/>
    <w:rsid w:val="008F0B4A"/>
    <w:rsid w:val="00927BBC"/>
    <w:rsid w:val="00952827"/>
    <w:rsid w:val="009A115C"/>
    <w:rsid w:val="009D47F8"/>
    <w:rsid w:val="009F63A6"/>
    <w:rsid w:val="00A32616"/>
    <w:rsid w:val="00A94F6C"/>
    <w:rsid w:val="00AC4615"/>
    <w:rsid w:val="00AE5C42"/>
    <w:rsid w:val="00B6119F"/>
    <w:rsid w:val="00B85198"/>
    <w:rsid w:val="00BA7DB4"/>
    <w:rsid w:val="00BC5F16"/>
    <w:rsid w:val="00C3548F"/>
    <w:rsid w:val="00C564BF"/>
    <w:rsid w:val="00C7108B"/>
    <w:rsid w:val="00CB6526"/>
    <w:rsid w:val="00CD7D81"/>
    <w:rsid w:val="00D078DC"/>
    <w:rsid w:val="00D10195"/>
    <w:rsid w:val="00D11F1B"/>
    <w:rsid w:val="00DB7BA1"/>
    <w:rsid w:val="00DE31F9"/>
    <w:rsid w:val="00DF09C0"/>
    <w:rsid w:val="00E428D8"/>
    <w:rsid w:val="00E568A3"/>
    <w:rsid w:val="00E91FCD"/>
    <w:rsid w:val="00EF4708"/>
    <w:rsid w:val="00F04D55"/>
    <w:rsid w:val="00F81178"/>
    <w:rsid w:val="00F87CD6"/>
    <w:rsid w:val="00F96B94"/>
    <w:rsid w:val="00FA7BDC"/>
    <w:rsid w:val="00FE0B1D"/>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48F"/>
    <w:pPr>
      <w:widowControl w:val="0"/>
      <w:suppressAutoHyphens/>
    </w:pPr>
    <w:rPr>
      <w:rFonts w:cs="Tahoma"/>
      <w:color w:val="000000"/>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licepardfaut3">
    <w:name w:val="Police par défaut3"/>
    <w:uiPriority w:val="99"/>
    <w:rsid w:val="00C3548F"/>
  </w:style>
  <w:style w:type="character" w:customStyle="1" w:styleId="Absatz-Standardschriftart">
    <w:name w:val="Absatz-Standardschriftart"/>
    <w:uiPriority w:val="99"/>
    <w:rsid w:val="00C3548F"/>
  </w:style>
  <w:style w:type="character" w:customStyle="1" w:styleId="Policepardfaut2">
    <w:name w:val="Police par défaut2"/>
    <w:uiPriority w:val="99"/>
    <w:rsid w:val="00C3548F"/>
  </w:style>
  <w:style w:type="character" w:customStyle="1" w:styleId="WW-Absatz-Standardschriftart">
    <w:name w:val="WW-Absatz-Standardschriftart"/>
    <w:uiPriority w:val="99"/>
    <w:rsid w:val="00C3548F"/>
  </w:style>
  <w:style w:type="character" w:customStyle="1" w:styleId="WW-Absatz-Standardschriftart1">
    <w:name w:val="WW-Absatz-Standardschriftart1"/>
    <w:uiPriority w:val="99"/>
    <w:rsid w:val="00C3548F"/>
  </w:style>
  <w:style w:type="character" w:customStyle="1" w:styleId="Policepardfaut1">
    <w:name w:val="Police par défaut1"/>
    <w:uiPriority w:val="99"/>
    <w:rsid w:val="00C3548F"/>
  </w:style>
  <w:style w:type="character" w:customStyle="1" w:styleId="WW-Absatz-Standardschriftart11">
    <w:name w:val="WW-Absatz-Standardschriftart11"/>
    <w:uiPriority w:val="99"/>
    <w:rsid w:val="00C3548F"/>
  </w:style>
  <w:style w:type="character" w:styleId="Hyperlink">
    <w:name w:val="Hyperlink"/>
    <w:basedOn w:val="Policepardfaut2"/>
    <w:uiPriority w:val="99"/>
    <w:rsid w:val="00C3548F"/>
    <w:rPr>
      <w:rFonts w:cs="Times New Roman"/>
      <w:color w:val="0000FF"/>
      <w:u w:val="single"/>
    </w:rPr>
  </w:style>
  <w:style w:type="paragraph" w:customStyle="1" w:styleId="Titre3">
    <w:name w:val="Titre3"/>
    <w:basedOn w:val="Normal"/>
    <w:next w:val="BodyText"/>
    <w:uiPriority w:val="99"/>
    <w:rsid w:val="00C3548F"/>
    <w:pPr>
      <w:keepNext/>
      <w:spacing w:before="240" w:after="120"/>
    </w:pPr>
    <w:rPr>
      <w:rFonts w:ascii="Arial" w:eastAsia="SimSun" w:hAnsi="Arial" w:cs="Mangal"/>
      <w:sz w:val="28"/>
      <w:szCs w:val="28"/>
    </w:rPr>
  </w:style>
  <w:style w:type="paragraph" w:styleId="BodyText">
    <w:name w:val="Body Text"/>
    <w:basedOn w:val="Normal"/>
    <w:link w:val="BodyTextChar"/>
    <w:uiPriority w:val="99"/>
    <w:rsid w:val="00C3548F"/>
    <w:pPr>
      <w:spacing w:after="120"/>
    </w:pPr>
  </w:style>
  <w:style w:type="character" w:customStyle="1" w:styleId="BodyTextChar">
    <w:name w:val="Body Text Char"/>
    <w:basedOn w:val="DefaultParagraphFont"/>
    <w:link w:val="BodyText"/>
    <w:uiPriority w:val="99"/>
    <w:semiHidden/>
    <w:locked/>
    <w:rPr>
      <w:rFonts w:cs="Tahoma"/>
      <w:color w:val="000000"/>
      <w:sz w:val="24"/>
      <w:szCs w:val="24"/>
      <w:lang w:eastAsia="en-US"/>
    </w:rPr>
  </w:style>
  <w:style w:type="paragraph" w:styleId="List">
    <w:name w:val="List"/>
    <w:basedOn w:val="BodyText"/>
    <w:uiPriority w:val="99"/>
    <w:rsid w:val="00C3548F"/>
  </w:style>
  <w:style w:type="paragraph" w:customStyle="1" w:styleId="Lgende3">
    <w:name w:val="Légende3"/>
    <w:basedOn w:val="Normal"/>
    <w:uiPriority w:val="99"/>
    <w:rsid w:val="00C3548F"/>
    <w:pPr>
      <w:suppressLineNumbers/>
      <w:spacing w:before="120" w:after="120"/>
    </w:pPr>
    <w:rPr>
      <w:rFonts w:cs="Mangal"/>
      <w:i/>
      <w:iCs/>
    </w:rPr>
  </w:style>
  <w:style w:type="paragraph" w:customStyle="1" w:styleId="Index">
    <w:name w:val="Index"/>
    <w:basedOn w:val="Normal"/>
    <w:uiPriority w:val="99"/>
    <w:rsid w:val="00C3548F"/>
    <w:pPr>
      <w:suppressLineNumbers/>
    </w:pPr>
    <w:rPr>
      <w:rFonts w:cs="Mangal"/>
    </w:rPr>
  </w:style>
  <w:style w:type="paragraph" w:customStyle="1" w:styleId="Titre2">
    <w:name w:val="Titre2"/>
    <w:basedOn w:val="Normal"/>
    <w:next w:val="BodyText"/>
    <w:uiPriority w:val="99"/>
    <w:rsid w:val="00C3548F"/>
    <w:pPr>
      <w:keepNext/>
      <w:spacing w:before="240" w:after="120"/>
    </w:pPr>
    <w:rPr>
      <w:rFonts w:ascii="Arial" w:eastAsia="MS Mincho" w:hAnsi="Arial"/>
      <w:sz w:val="28"/>
      <w:szCs w:val="28"/>
    </w:rPr>
  </w:style>
  <w:style w:type="paragraph" w:customStyle="1" w:styleId="Lgende2">
    <w:name w:val="Légende2"/>
    <w:basedOn w:val="Normal"/>
    <w:uiPriority w:val="99"/>
    <w:rsid w:val="00C3548F"/>
    <w:pPr>
      <w:suppressLineNumbers/>
      <w:spacing w:before="120" w:after="120"/>
    </w:pPr>
    <w:rPr>
      <w:i/>
      <w:iCs/>
    </w:rPr>
  </w:style>
  <w:style w:type="paragraph" w:customStyle="1" w:styleId="Rpertoire">
    <w:name w:val="Répertoire"/>
    <w:basedOn w:val="Normal"/>
    <w:uiPriority w:val="99"/>
    <w:rsid w:val="00C3548F"/>
    <w:pPr>
      <w:suppressLineNumbers/>
    </w:pPr>
  </w:style>
  <w:style w:type="paragraph" w:customStyle="1" w:styleId="Titre1">
    <w:name w:val="Titre1"/>
    <w:basedOn w:val="Normal"/>
    <w:next w:val="BodyText"/>
    <w:uiPriority w:val="99"/>
    <w:rsid w:val="00C3548F"/>
    <w:pPr>
      <w:keepNext/>
      <w:spacing w:before="240" w:after="120"/>
    </w:pPr>
    <w:rPr>
      <w:rFonts w:ascii="Arial" w:hAnsi="Arial"/>
      <w:sz w:val="28"/>
      <w:szCs w:val="28"/>
    </w:rPr>
  </w:style>
  <w:style w:type="paragraph" w:customStyle="1" w:styleId="Lgende1">
    <w:name w:val="Légende1"/>
    <w:basedOn w:val="Normal"/>
    <w:uiPriority w:val="99"/>
    <w:rsid w:val="00C3548F"/>
    <w:pPr>
      <w:suppressLineNumbers/>
      <w:spacing w:before="120" w:after="120"/>
    </w:pPr>
    <w:rPr>
      <w:i/>
      <w:iCs/>
    </w:rPr>
  </w:style>
  <w:style w:type="paragraph" w:styleId="Title">
    <w:name w:val="Title"/>
    <w:basedOn w:val="Normal"/>
    <w:next w:val="BodyText"/>
    <w:link w:val="TitleChar"/>
    <w:uiPriority w:val="99"/>
    <w:qFormat/>
    <w:rsid w:val="00C3548F"/>
    <w:pPr>
      <w:keepNext/>
      <w:spacing w:before="240" w:after="120"/>
    </w:pPr>
    <w:rPr>
      <w:rFonts w:ascii="Arial" w:hAnsi="Arial"/>
      <w:sz w:val="28"/>
      <w:szCs w:val="28"/>
    </w:rPr>
  </w:style>
  <w:style w:type="character" w:customStyle="1" w:styleId="TitleChar">
    <w:name w:val="Title Char"/>
    <w:basedOn w:val="DefaultParagraphFont"/>
    <w:link w:val="Title"/>
    <w:uiPriority w:val="99"/>
    <w:locked/>
    <w:rPr>
      <w:rFonts w:ascii="Cambria" w:hAnsi="Cambria" w:cs="Times New Roman"/>
      <w:b/>
      <w:bCs/>
      <w:color w:val="000000"/>
      <w:kern w:val="28"/>
      <w:sz w:val="32"/>
      <w:szCs w:val="32"/>
      <w:lang w:eastAsia="en-US"/>
    </w:rPr>
  </w:style>
  <w:style w:type="paragraph" w:styleId="Subtitle">
    <w:name w:val="Subtitle"/>
    <w:basedOn w:val="Titre1"/>
    <w:next w:val="BodyText"/>
    <w:link w:val="SubtitleChar"/>
    <w:uiPriority w:val="99"/>
    <w:qFormat/>
    <w:rsid w:val="00C3548F"/>
    <w:pPr>
      <w:jc w:val="center"/>
    </w:pPr>
    <w:rPr>
      <w:i/>
      <w:iCs/>
    </w:rPr>
  </w:style>
  <w:style w:type="character" w:customStyle="1" w:styleId="SubtitleChar">
    <w:name w:val="Subtitle Char"/>
    <w:basedOn w:val="DefaultParagraphFont"/>
    <w:link w:val="Subtitle"/>
    <w:uiPriority w:val="99"/>
    <w:locked/>
    <w:rPr>
      <w:rFonts w:ascii="Cambria" w:hAnsi="Cambria" w:cs="Times New Roman"/>
      <w:color w:val="000000"/>
      <w:sz w:val="24"/>
      <w:szCs w:val="24"/>
      <w:lang w:eastAsia="en-US"/>
    </w:rPr>
  </w:style>
  <w:style w:type="paragraph" w:customStyle="1" w:styleId="Contenuducadre">
    <w:name w:val="Contenu du cadre"/>
    <w:basedOn w:val="BodyText"/>
    <w:uiPriority w:val="99"/>
    <w:rsid w:val="00C3548F"/>
  </w:style>
  <w:style w:type="character" w:customStyle="1" w:styleId="prs1">
    <w:name w:val="prs1"/>
    <w:basedOn w:val="DefaultParagraphFont"/>
    <w:uiPriority w:val="99"/>
    <w:rsid w:val="005D50AA"/>
    <w:rPr>
      <w:rFonts w:cs="Times New Roman"/>
    </w:rPr>
  </w:style>
  <w:style w:type="paragraph" w:styleId="ListParagraph">
    <w:name w:val="List Paragraph"/>
    <w:basedOn w:val="Normal"/>
    <w:uiPriority w:val="99"/>
    <w:qFormat/>
    <w:rsid w:val="00DF09C0"/>
    <w:pPr>
      <w:widowControl/>
      <w:suppressAutoHyphens w:val="0"/>
      <w:ind w:left="720" w:firstLine="357"/>
      <w:contextualSpacing/>
      <w:jc w:val="both"/>
    </w:pPr>
    <w:rPr>
      <w:rFonts w:ascii="Calibri" w:hAnsi="Calibri" w:cs="Times New Roman"/>
      <w:color w:val="auto"/>
      <w:sz w:val="22"/>
      <w:szCs w:val="22"/>
    </w:rPr>
  </w:style>
  <w:style w:type="table" w:styleId="TableGrid">
    <w:name w:val="Table Grid"/>
    <w:basedOn w:val="TableNormal"/>
    <w:uiPriority w:val="99"/>
    <w:rsid w:val="00DF09C0"/>
    <w:pPr>
      <w:ind w:firstLine="357"/>
      <w:jc w:val="both"/>
    </w:pPr>
    <w:rPr>
      <w:rFonts w:ascii="Calibri" w:hAnsi="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96B94"/>
    <w:rPr>
      <w:rFonts w:cs="Times New Roman"/>
      <w:color w:val="808080"/>
    </w:rPr>
  </w:style>
  <w:style w:type="paragraph" w:styleId="BalloonText">
    <w:name w:val="Balloon Text"/>
    <w:basedOn w:val="Normal"/>
    <w:link w:val="BalloonTextChar"/>
    <w:uiPriority w:val="99"/>
    <w:semiHidden/>
    <w:rsid w:val="00F96B94"/>
    <w:rPr>
      <w:rFonts w:ascii="Tahoma" w:hAnsi="Tahoma"/>
      <w:sz w:val="16"/>
      <w:szCs w:val="16"/>
    </w:rPr>
  </w:style>
  <w:style w:type="character" w:customStyle="1" w:styleId="BalloonTextChar">
    <w:name w:val="Balloon Text Char"/>
    <w:basedOn w:val="DefaultParagraphFont"/>
    <w:link w:val="BalloonText"/>
    <w:uiPriority w:val="99"/>
    <w:semiHidden/>
    <w:locked/>
    <w:rsid w:val="00F96B94"/>
    <w:rPr>
      <w:rFonts w:ascii="Tahoma" w:hAnsi="Tahoma" w:cs="Tahoma"/>
      <w:color w:val="000000"/>
      <w:sz w:val="16"/>
      <w:szCs w:val="16"/>
      <w:lang w:val="en-US" w:eastAsia="en-US"/>
    </w:rPr>
  </w:style>
  <w:style w:type="paragraph" w:styleId="Footer">
    <w:name w:val="footer"/>
    <w:basedOn w:val="Normal"/>
    <w:link w:val="FooterChar"/>
    <w:uiPriority w:val="99"/>
    <w:rsid w:val="005D0E6A"/>
    <w:pPr>
      <w:tabs>
        <w:tab w:val="center" w:pos="4536"/>
        <w:tab w:val="right" w:pos="9072"/>
      </w:tabs>
    </w:pPr>
  </w:style>
  <w:style w:type="character" w:customStyle="1" w:styleId="FooterChar">
    <w:name w:val="Footer Char"/>
    <w:basedOn w:val="DefaultParagraphFont"/>
    <w:link w:val="Footer"/>
    <w:uiPriority w:val="99"/>
    <w:semiHidden/>
    <w:rsid w:val="00815A0B"/>
    <w:rPr>
      <w:rFonts w:cs="Tahoma"/>
      <w:color w:val="000000"/>
      <w:sz w:val="24"/>
      <w:szCs w:val="24"/>
      <w:lang w:eastAsia="en-US"/>
    </w:rPr>
  </w:style>
  <w:style w:type="character" w:styleId="PageNumber">
    <w:name w:val="page number"/>
    <w:basedOn w:val="DefaultParagraphFont"/>
    <w:uiPriority w:val="99"/>
    <w:rsid w:val="005D0E6A"/>
    <w:rPr>
      <w:rFonts w:cs="Times New Roman"/>
    </w:rPr>
  </w:style>
</w:styles>
</file>

<file path=word/webSettings.xml><?xml version="1.0" encoding="utf-8"?>
<w:webSettings xmlns:r="http://schemas.openxmlformats.org/officeDocument/2006/relationships" xmlns:w="http://schemas.openxmlformats.org/wordprocessingml/2006/main">
  <w:divs>
    <w:div w:id="3986788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mailto:vproneo@gmail.com" TargetMode="Externa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1211</TotalTime>
  <Pages>12</Pages>
  <Words>3870</Words>
  <Characters>21290</Characters>
  <Application>Microsoft Office Outlook</Application>
  <DocSecurity>0</DocSecurity>
  <Lines>0</Lines>
  <Paragraphs>0</Paragraphs>
  <ScaleCrop>false</ScaleCrop>
  <Company>avolys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dc:creator>
  <cp:keywords/>
  <dc:description/>
  <cp:lastModifiedBy>IHAB_LIONEL</cp:lastModifiedBy>
  <cp:revision>25</cp:revision>
  <cp:lastPrinted>2112-12-31T23:00:00Z</cp:lastPrinted>
  <dcterms:created xsi:type="dcterms:W3CDTF">2012-01-06T17:48:00Z</dcterms:created>
  <dcterms:modified xsi:type="dcterms:W3CDTF">2012-01-16T23:13:00Z</dcterms:modified>
</cp:coreProperties>
</file>