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"/>
        <w:tblpPr w:leftFromText="141" w:rightFromText="141" w:vertAnchor="page" w:horzAnchor="page" w:tblpX="1526" w:tblpY="1430"/>
        <w:tblW w:w="9327" w:type="dxa"/>
        <w:tblLook w:val="00BF"/>
      </w:tblPr>
      <w:tblGrid>
        <w:gridCol w:w="2877"/>
        <w:gridCol w:w="1940"/>
        <w:gridCol w:w="2137"/>
        <w:gridCol w:w="2373"/>
      </w:tblGrid>
      <w:tr w:rsidR="004B2626">
        <w:tc>
          <w:tcPr>
            <w:tcW w:w="2877" w:type="dxa"/>
            <w:vMerge w:val="restart"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Toxicité cardiaque</w:t>
            </w: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Anthracyclines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Si chronique : risque d’evolution vers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IC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dû aux RL irréversible. Elle est dose cumulée.</w:t>
            </w:r>
          </w:p>
        </w:tc>
      </w:tr>
      <w:tr w:rsidR="004B2626">
        <w:tc>
          <w:tcPr>
            <w:tcW w:w="2877" w:type="dxa"/>
            <w:vMerge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Dextrazoxane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Effet chimioprotecteur : chelation des RL -&gt; 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sym w:font="Symbol" w:char="F0AF"/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toxicité des RL mais il 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sym w:font="Symbol" w:char="F0AF"/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aussi l’effet de l’anthracycline.</w:t>
            </w:r>
          </w:p>
        </w:tc>
      </w:tr>
      <w:tr w:rsidR="004B2626">
        <w:tc>
          <w:tcPr>
            <w:tcW w:w="2877" w:type="dxa"/>
            <w:vMerge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5fluororacile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Possibilité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d’ischémie myocardique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.</w:t>
            </w:r>
          </w:p>
        </w:tc>
      </w:tr>
      <w:tr w:rsidR="004B2626">
        <w:tc>
          <w:tcPr>
            <w:tcW w:w="2877" w:type="dxa"/>
            <w:vMerge w:val="restart"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Toxicité pulmonaire</w:t>
            </w: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Bléomycine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Rare antiK qui n’a pas de toxicité pathologique mais qui a une toxicité pulmo à type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fibrose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car mol pas métablosée ô pulmo.</w:t>
            </w:r>
          </w:p>
        </w:tc>
      </w:tr>
      <w:tr w:rsidR="004B2626">
        <w:tc>
          <w:tcPr>
            <w:tcW w:w="2877" w:type="dxa"/>
            <w:vMerge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Méthotréxate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Pneumonie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intersticielle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</w:t>
            </w:r>
          </w:p>
        </w:tc>
      </w:tr>
      <w:tr w:rsidR="004B2626">
        <w:tc>
          <w:tcPr>
            <w:tcW w:w="2877" w:type="dxa"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Toxicité hépatique</w:t>
            </w: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Méthotréxate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Fibroses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et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cirrhoses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en plus des pathologies enzymatiques car il n’est pas métabolisé.</w:t>
            </w:r>
          </w:p>
        </w:tc>
      </w:tr>
      <w:tr w:rsidR="004B2626">
        <w:tc>
          <w:tcPr>
            <w:tcW w:w="2877" w:type="dxa"/>
            <w:vMerge w:val="restart"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Toxicité rénale</w:t>
            </w: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Méthotréxate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Toxique par un de ses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métabolites qui précipite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. On peut modifier le pH des urines pour réduire la précipitation de la mol. </w:t>
            </w:r>
          </w:p>
        </w:tc>
      </w:tr>
      <w:tr w:rsidR="004B2626">
        <w:tc>
          <w:tcPr>
            <w:tcW w:w="2877" w:type="dxa"/>
            <w:vMerge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Dérivés de platine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Cristaux qui s’accumulent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++ qd demie vie d’élimination longue. Sa fixation aux prot est casi indisuluble, il faut attendre la dégradation de la prot pour qu’il soit liberé. Mais platine est un M très actif, on a mis en place des modalité d’administration </w:t>
            </w:r>
            <w:r w:rsidRPr="004B2626">
              <w:rPr>
                <w:rFonts w:asciiTheme="majorHAnsi" w:hAnsiTheme="majorHAnsi" w:cstheme="minorHAnsi"/>
                <w:noProof/>
                <w:sz w:val="22"/>
                <w:szCs w:val="22"/>
              </w:rPr>
              <w:t>avec chimioprotection par diuérèse forcée, avant le traitement on fait une perfusion en NaCl qui force la diuérèse, avec ensuite utilisation de cytoprotécteurs comme la nifostine.</w:t>
            </w:r>
          </w:p>
        </w:tc>
      </w:tr>
      <w:tr w:rsidR="004B2626">
        <w:tc>
          <w:tcPr>
            <w:tcW w:w="2877" w:type="dxa"/>
            <w:vAlign w:val="center"/>
          </w:tcPr>
          <w:p w:rsidR="004B2626" w:rsidRPr="005541B1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Néph</w:t>
            </w:r>
            <w:r w:rsidR="00C8438F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r</w:t>
            </w: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otoxicité</w:t>
            </w:r>
          </w:p>
        </w:tc>
        <w:tc>
          <w:tcPr>
            <w:tcW w:w="1940" w:type="dxa"/>
            <w:vAlign w:val="center"/>
          </w:tcPr>
          <w:p w:rsidR="004B2626" w:rsidRDefault="004B2626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Cyclophosphamide et isofamide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783B2B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Par l’intermédiaire de leur métabolite : la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proléine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-&gt;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IRC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(comme nitrosaurées). Toxicité vésicale avec des cystites hémorragiques, avec possibilités de chimioprotection </w:t>
            </w:r>
            <w:r w:rsidRPr="004B2626">
              <w:rPr>
                <w:rFonts w:asciiTheme="majorHAnsi" w:hAnsiTheme="majorHAnsi" w:cstheme="minorHAnsi"/>
                <w:noProof/>
                <w:sz w:val="22"/>
                <w:szCs w:val="22"/>
              </w:rPr>
              <w:t>par utilisation de la mesna qui se lie au métabolite toxique avant son passage  dans le système urinaire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.</w:t>
            </w:r>
          </w:p>
        </w:tc>
      </w:tr>
      <w:tr w:rsidR="004B2626">
        <w:tc>
          <w:tcPr>
            <w:tcW w:w="2877" w:type="dxa"/>
            <w:vAlign w:val="center"/>
          </w:tcPr>
          <w:p w:rsidR="004B2626" w:rsidRPr="005541B1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Toxicité auditive</w:t>
            </w:r>
          </w:p>
        </w:tc>
        <w:tc>
          <w:tcPr>
            <w:tcW w:w="1940" w:type="dxa"/>
            <w:vAlign w:val="center"/>
          </w:tcPr>
          <w:p w:rsidR="004B2626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Dérivé du platine</w:t>
            </w:r>
          </w:p>
        </w:tc>
        <w:tc>
          <w:tcPr>
            <w:tcW w:w="4510" w:type="dxa"/>
            <w:gridSpan w:val="2"/>
            <w:vAlign w:val="center"/>
          </w:tcPr>
          <w:p w:rsidR="004B2626" w:rsidRDefault="00783B2B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Acouphènes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ou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perte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auditive</w:t>
            </w:r>
          </w:p>
        </w:tc>
      </w:tr>
      <w:tr w:rsidR="00783B2B">
        <w:tc>
          <w:tcPr>
            <w:tcW w:w="2877" w:type="dxa"/>
            <w:vMerge w:val="restart"/>
            <w:vAlign w:val="center"/>
          </w:tcPr>
          <w:p w:rsidR="00783B2B" w:rsidRPr="005541B1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Neurotoxicité périphérique</w:t>
            </w:r>
          </w:p>
        </w:tc>
        <w:tc>
          <w:tcPr>
            <w:tcW w:w="1940" w:type="dxa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Dérivés du platine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783B2B" w:rsidRDefault="00783B2B" w:rsidP="003C0B0A">
            <w:pPr>
              <w:pStyle w:val="Corpsdetexte"/>
              <w:tabs>
                <w:tab w:val="left" w:pos="1180"/>
              </w:tabs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Progressive</w:t>
            </w:r>
          </w:p>
        </w:tc>
        <w:tc>
          <w:tcPr>
            <w:tcW w:w="2373" w:type="dxa"/>
            <w:vMerge w:val="restart"/>
            <w:shd w:val="clear" w:color="auto" w:fill="auto"/>
            <w:vAlign w:val="center"/>
          </w:tcPr>
          <w:p w:rsidR="00783B2B" w:rsidRPr="005541B1" w:rsidRDefault="00783B2B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 w:rsidRPr="005541B1">
              <w:rPr>
                <w:rFonts w:asciiTheme="majorHAnsi" w:hAnsiTheme="majorHAnsi" w:cstheme="minorHAnsi"/>
                <w:noProof/>
                <w:sz w:val="22"/>
                <w:szCs w:val="22"/>
              </w:rPr>
              <w:t>Apparaissent 3sem après le début du ttt</w:t>
            </w:r>
          </w:p>
        </w:tc>
      </w:tr>
      <w:tr w:rsidR="00783B2B">
        <w:tc>
          <w:tcPr>
            <w:tcW w:w="2877" w:type="dxa"/>
            <w:vMerge/>
            <w:vAlign w:val="center"/>
          </w:tcPr>
          <w:p w:rsidR="00783B2B" w:rsidRPr="005541B1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</w:p>
        </w:tc>
        <w:tc>
          <w:tcPr>
            <w:tcW w:w="1940" w:type="dxa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Alcaloïdes de la pervenche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Perte du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ROT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,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paresthésie</w:t>
            </w:r>
          </w:p>
        </w:tc>
        <w:tc>
          <w:tcPr>
            <w:tcW w:w="2373" w:type="dxa"/>
            <w:vMerge/>
            <w:shd w:val="clear" w:color="auto" w:fill="auto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</w:p>
        </w:tc>
      </w:tr>
      <w:tr w:rsidR="00783B2B">
        <w:tc>
          <w:tcPr>
            <w:tcW w:w="2877" w:type="dxa"/>
            <w:vMerge w:val="restart"/>
            <w:vAlign w:val="center"/>
          </w:tcPr>
          <w:p w:rsidR="00783B2B" w:rsidRPr="005541B1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Neurotoxicité centrale</w:t>
            </w:r>
          </w:p>
        </w:tc>
        <w:tc>
          <w:tcPr>
            <w:tcW w:w="1940" w:type="dxa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Isofamide, cytaramide</w:t>
            </w:r>
          </w:p>
        </w:tc>
        <w:tc>
          <w:tcPr>
            <w:tcW w:w="4510" w:type="dxa"/>
            <w:gridSpan w:val="2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Atteintes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cérébelleuses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,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épilepsies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,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troubles du comportement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.</w:t>
            </w:r>
          </w:p>
        </w:tc>
      </w:tr>
      <w:tr w:rsidR="00783B2B">
        <w:tc>
          <w:tcPr>
            <w:tcW w:w="2877" w:type="dxa"/>
            <w:vMerge/>
            <w:vAlign w:val="center"/>
          </w:tcPr>
          <w:p w:rsidR="00783B2B" w:rsidRPr="005541B1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</w:p>
        </w:tc>
        <w:tc>
          <w:tcPr>
            <w:tcW w:w="1940" w:type="dxa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Cyclophosphamide et alcaloïdes de la pervenche</w:t>
            </w:r>
          </w:p>
        </w:tc>
        <w:tc>
          <w:tcPr>
            <w:tcW w:w="4510" w:type="dxa"/>
            <w:gridSpan w:val="2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Hyponatrémie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dus à une stimulation de la sécrétion d’ADH</w:t>
            </w:r>
          </w:p>
        </w:tc>
      </w:tr>
      <w:tr w:rsidR="00783B2B">
        <w:tc>
          <w:tcPr>
            <w:tcW w:w="2877" w:type="dxa"/>
            <w:vAlign w:val="center"/>
          </w:tcPr>
          <w:p w:rsidR="00783B2B" w:rsidRPr="005541B1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</w:pPr>
            <w:r w:rsidRPr="005541B1">
              <w:rPr>
                <w:rFonts w:asciiTheme="majorHAnsi" w:hAnsiTheme="majorHAnsi" w:cstheme="minorHAnsi"/>
                <w:b/>
                <w:smallCaps/>
                <w:noProof/>
                <w:color w:val="000000" w:themeColor="text1"/>
                <w:sz w:val="24"/>
                <w:szCs w:val="22"/>
              </w:rPr>
              <w:t>Myelotoxicité</w:t>
            </w:r>
          </w:p>
        </w:tc>
        <w:tc>
          <w:tcPr>
            <w:tcW w:w="1940" w:type="dxa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center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>Agents alkylants</w:t>
            </w:r>
          </w:p>
        </w:tc>
        <w:tc>
          <w:tcPr>
            <w:tcW w:w="4510" w:type="dxa"/>
            <w:gridSpan w:val="2"/>
            <w:vAlign w:val="center"/>
          </w:tcPr>
          <w:p w:rsidR="00783B2B" w:rsidRDefault="00783B2B" w:rsidP="003C0B0A">
            <w:pPr>
              <w:pStyle w:val="Corpsdetexte"/>
              <w:spacing w:before="60" w:after="60"/>
              <w:jc w:val="left"/>
              <w:rPr>
                <w:rFonts w:asciiTheme="majorHAnsi" w:hAnsiTheme="majorHAnsi" w:cstheme="minorHAnsi"/>
                <w:noProof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Avec leucémie secondaire,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toxicité des veines</w:t>
            </w:r>
            <w:r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avec </w:t>
            </w:r>
            <w:r w:rsidRPr="004B2626"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extravasation ou fuite à l'administration intra-veineuse, on arrive à une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nécrose</w:t>
            </w:r>
            <w:r w:rsidRPr="004B2626"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et très rapidement  au niveau du point d'insertion on a une </w:t>
            </w:r>
            <w:r w:rsidRPr="005541B1">
              <w:rPr>
                <w:rFonts w:asciiTheme="majorHAnsi" w:hAnsiTheme="majorHAnsi" w:cstheme="minorHAnsi"/>
                <w:b/>
                <w:noProof/>
                <w:sz w:val="22"/>
                <w:szCs w:val="22"/>
              </w:rPr>
              <w:t>ulcération</w:t>
            </w:r>
            <w:r w:rsidRPr="004B2626">
              <w:rPr>
                <w:rFonts w:asciiTheme="majorHAnsi" w:hAnsiTheme="majorHAnsi" w:cstheme="minorHAnsi"/>
                <w:noProof/>
                <w:sz w:val="22"/>
                <w:szCs w:val="22"/>
              </w:rPr>
              <w:t xml:space="preserve"> (surveillance de la mise de perfusion).</w:t>
            </w:r>
          </w:p>
        </w:tc>
      </w:tr>
    </w:tbl>
    <w:p w:rsidR="003C0B0A" w:rsidRDefault="009E0AD3" w:rsidP="003C0B0A">
      <w:pPr>
        <w:numPr>
          <w:ilvl w:val="0"/>
          <w:numId w:val="4"/>
        </w:numPr>
        <w:spacing w:before="60" w:after="60"/>
        <w:jc w:val="both"/>
        <w:rPr>
          <w:rFonts w:asciiTheme="majorHAnsi" w:hAnsiTheme="majorHAnsi"/>
          <w:smallCaps/>
          <w:color w:val="008000"/>
          <w:szCs w:val="20"/>
          <w:u w:val="single"/>
        </w:rPr>
      </w:pPr>
      <w:r w:rsidRPr="009E0AD3">
        <w:rPr>
          <w:rFonts w:asciiTheme="majorHAnsi" w:hAnsiTheme="majorHAnsi"/>
          <w:smallCaps/>
          <w:color w:val="008000"/>
          <w:szCs w:val="20"/>
          <w:u w:val="single"/>
        </w:rPr>
        <w:t>Effets indésirables spécifiques</w:t>
      </w:r>
    </w:p>
    <w:p w:rsidR="004B2626" w:rsidRPr="004B2626" w:rsidRDefault="004B2626" w:rsidP="003C0B0A">
      <w:pPr>
        <w:spacing w:before="60" w:after="60"/>
        <w:rPr>
          <w:rFonts w:asciiTheme="majorHAnsi" w:hAnsiTheme="majorHAnsi"/>
        </w:rPr>
      </w:pPr>
    </w:p>
    <w:sectPr w:rsidR="004B2626" w:rsidRPr="004B2626" w:rsidSect="009E0AD3">
      <w:pgSz w:w="11900" w:h="16840"/>
      <w:pgMar w:top="709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A0A4E"/>
    <w:multiLevelType w:val="multilevel"/>
    <w:tmpl w:val="142AE17E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45F08"/>
    <w:multiLevelType w:val="hybridMultilevel"/>
    <w:tmpl w:val="142AE17E"/>
    <w:lvl w:ilvl="0" w:tplc="C86C50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34109"/>
    <w:multiLevelType w:val="hybridMultilevel"/>
    <w:tmpl w:val="76563B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AB358E"/>
    <w:multiLevelType w:val="hybridMultilevel"/>
    <w:tmpl w:val="6F988712"/>
    <w:lvl w:ilvl="0" w:tplc="CE90F3DA">
      <w:start w:val="3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B2626"/>
    <w:rsid w:val="00144E42"/>
    <w:rsid w:val="003C0B0A"/>
    <w:rsid w:val="004B2626"/>
    <w:rsid w:val="005541B1"/>
    <w:rsid w:val="00783B2B"/>
    <w:rsid w:val="009E0AD3"/>
    <w:rsid w:val="00C8438F"/>
    <w:rsid w:val="00D26FC4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C02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Standard">
    <w:name w:val="Standard"/>
    <w:rsid w:val="004B2626"/>
    <w:pPr>
      <w:widowControl w:val="0"/>
      <w:suppressAutoHyphens/>
      <w:autoSpaceDN w:val="0"/>
      <w:textAlignment w:val="baseline"/>
    </w:pPr>
    <w:rPr>
      <w:rFonts w:ascii="Times New Roman" w:eastAsia="SimSun" w:hAnsi="Times New Roman" w:cs="Lucida Sans"/>
      <w:kern w:val="3"/>
      <w:lang w:eastAsia="zh-CN" w:bidi="hi-IN"/>
    </w:rPr>
  </w:style>
  <w:style w:type="paragraph" w:styleId="Corpsdetexte">
    <w:name w:val="Body Text"/>
    <w:basedOn w:val="Normal"/>
    <w:link w:val="CorpsdetexteCar"/>
    <w:rsid w:val="004B2626"/>
    <w:pPr>
      <w:jc w:val="both"/>
    </w:pPr>
    <w:rPr>
      <w:rFonts w:ascii="Times New Roman" w:eastAsia="Times New Roman" w:hAnsi="Times New Roman" w:cs="Times New Roman"/>
      <w:sz w:val="26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4B2626"/>
    <w:rPr>
      <w:rFonts w:ascii="Times New Roman" w:eastAsia="Times New Roman" w:hAnsi="Times New Roman" w:cs="Times New Roman"/>
      <w:sz w:val="26"/>
      <w:szCs w:val="20"/>
      <w:lang w:eastAsia="fr-FR"/>
    </w:rPr>
  </w:style>
  <w:style w:type="table" w:styleId="Grille">
    <w:name w:val="Table Grid"/>
    <w:basedOn w:val="TableauNormal"/>
    <w:uiPriority w:val="59"/>
    <w:rsid w:val="004B262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332</Words>
  <Characters>1895</Characters>
  <Application>Microsoft Macintosh Word</Application>
  <DocSecurity>0</DocSecurity>
  <Lines>15</Lines>
  <Paragraphs>3</Paragraphs>
  <ScaleCrop>false</ScaleCrop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Aguadisch</dc:creator>
  <cp:keywords/>
  <cp:lastModifiedBy>Elise Aguadisch</cp:lastModifiedBy>
  <cp:revision>5</cp:revision>
  <dcterms:created xsi:type="dcterms:W3CDTF">2012-02-11T22:28:00Z</dcterms:created>
  <dcterms:modified xsi:type="dcterms:W3CDTF">2012-02-15T09:50:00Z</dcterms:modified>
</cp:coreProperties>
</file>