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A3F" w:rsidRDefault="005C725F" w:rsidP="005C725F">
      <w:pPr>
        <w:spacing w:after="0"/>
        <w:jc w:val="center"/>
        <w:rPr>
          <w:sz w:val="20"/>
        </w:rPr>
      </w:pPr>
      <w:r>
        <w:rPr>
          <w:sz w:val="20"/>
        </w:rPr>
        <w:t>PHYSIOPATHOLOGIE DU DIABETE SUCRE</w:t>
      </w:r>
    </w:p>
    <w:p w:rsidR="005C725F" w:rsidRDefault="005C725F" w:rsidP="005C725F">
      <w:pPr>
        <w:spacing w:after="0"/>
        <w:jc w:val="both"/>
        <w:rPr>
          <w:sz w:val="20"/>
        </w:rPr>
      </w:pPr>
    </w:p>
    <w:p w:rsidR="005C725F" w:rsidRDefault="005C725F" w:rsidP="005C725F">
      <w:pPr>
        <w:spacing w:after="0"/>
        <w:jc w:val="both"/>
        <w:rPr>
          <w:sz w:val="20"/>
        </w:rPr>
      </w:pPr>
      <w:r>
        <w:rPr>
          <w:sz w:val="20"/>
        </w:rPr>
        <w:t>Tombe souvent à l’examen</w:t>
      </w:r>
    </w:p>
    <w:p w:rsidR="005C725F" w:rsidRPr="005C725F" w:rsidRDefault="005C725F" w:rsidP="005C725F">
      <w:pPr>
        <w:spacing w:after="0"/>
        <w:jc w:val="both"/>
        <w:rPr>
          <w:b/>
          <w:color w:val="FF0000"/>
          <w:sz w:val="20"/>
        </w:rPr>
      </w:pPr>
    </w:p>
    <w:p w:rsidR="005C725F" w:rsidRPr="005C725F" w:rsidRDefault="005C725F" w:rsidP="005C725F">
      <w:pPr>
        <w:pStyle w:val="Paragraphedeliste"/>
        <w:numPr>
          <w:ilvl w:val="0"/>
          <w:numId w:val="1"/>
        </w:numPr>
        <w:spacing w:after="0"/>
        <w:jc w:val="both"/>
        <w:rPr>
          <w:b/>
          <w:color w:val="FF0000"/>
          <w:sz w:val="20"/>
        </w:rPr>
      </w:pPr>
      <w:r w:rsidRPr="005C725F">
        <w:rPr>
          <w:b/>
          <w:color w:val="FF0000"/>
          <w:sz w:val="20"/>
        </w:rPr>
        <w:t xml:space="preserve">Rappels physiologiques </w:t>
      </w:r>
      <w:r w:rsidRPr="005C725F">
        <w:rPr>
          <w:sz w:val="20"/>
        </w:rPr>
        <w:t>(</w:t>
      </w:r>
      <w:r w:rsidR="00930A96">
        <w:rPr>
          <w:sz w:val="20"/>
        </w:rPr>
        <w:t xml:space="preserve">ne </w:t>
      </w:r>
      <w:r w:rsidRPr="005C725F">
        <w:rPr>
          <w:sz w:val="20"/>
        </w:rPr>
        <w:t>tombe pas)</w:t>
      </w:r>
    </w:p>
    <w:p w:rsidR="005C725F" w:rsidRPr="005C725F" w:rsidRDefault="005C725F" w:rsidP="005C725F">
      <w:pPr>
        <w:spacing w:after="0"/>
        <w:jc w:val="both"/>
        <w:rPr>
          <w:b/>
          <w:color w:val="0000FF"/>
          <w:sz w:val="20"/>
        </w:rPr>
      </w:pPr>
    </w:p>
    <w:p w:rsidR="005C725F" w:rsidRPr="005C725F" w:rsidRDefault="005C725F" w:rsidP="005C725F">
      <w:pPr>
        <w:pStyle w:val="Paragraphedeliste"/>
        <w:numPr>
          <w:ilvl w:val="0"/>
          <w:numId w:val="2"/>
        </w:numPr>
        <w:spacing w:after="0"/>
        <w:jc w:val="both"/>
        <w:rPr>
          <w:b/>
          <w:color w:val="0000FF"/>
          <w:sz w:val="20"/>
        </w:rPr>
      </w:pPr>
      <w:r w:rsidRPr="005C725F">
        <w:rPr>
          <w:b/>
          <w:color w:val="0000FF"/>
          <w:sz w:val="20"/>
        </w:rPr>
        <w:t>Métabolisme du glucose</w:t>
      </w:r>
    </w:p>
    <w:p w:rsidR="005C725F" w:rsidRDefault="005C725F" w:rsidP="005C725F">
      <w:pPr>
        <w:spacing w:after="0"/>
        <w:jc w:val="both"/>
        <w:rPr>
          <w:sz w:val="20"/>
        </w:rPr>
      </w:pPr>
      <w:r>
        <w:rPr>
          <w:sz w:val="20"/>
        </w:rPr>
        <w:t>Glucose = substrat énergétique primordial, on a en besoin en permanence =&gt; régulation</w:t>
      </w:r>
    </w:p>
    <w:p w:rsidR="00C23353" w:rsidRPr="00C23353" w:rsidRDefault="00C23353" w:rsidP="005C725F">
      <w:pPr>
        <w:spacing w:after="0"/>
        <w:jc w:val="both"/>
        <w:rPr>
          <w:sz w:val="20"/>
          <w:u w:val="single"/>
        </w:rPr>
      </w:pPr>
      <w:r>
        <w:rPr>
          <w:sz w:val="20"/>
          <w:u w:val="single"/>
        </w:rPr>
        <w:t>Apport :</w:t>
      </w:r>
    </w:p>
    <w:p w:rsidR="005C725F" w:rsidRDefault="005C725F" w:rsidP="005C725F">
      <w:pPr>
        <w:spacing w:after="0"/>
        <w:jc w:val="both"/>
        <w:rPr>
          <w:sz w:val="20"/>
        </w:rPr>
      </w:pPr>
      <w:r>
        <w:rPr>
          <w:sz w:val="20"/>
        </w:rPr>
        <w:t xml:space="preserve">Consommation </w:t>
      </w:r>
      <w:r w:rsidRPr="005C725F">
        <w:rPr>
          <w:sz w:val="20"/>
        </w:rPr>
        <w:sym w:font="Wingdings" w:char="F0F3"/>
      </w:r>
      <w:r>
        <w:rPr>
          <w:sz w:val="20"/>
        </w:rPr>
        <w:t xml:space="preserve"> production (hépatique) = DHG (débit hépatique de glucose)</w:t>
      </w:r>
    </w:p>
    <w:tbl>
      <w:tblPr>
        <w:tblStyle w:val="Grilledutableau"/>
        <w:tblW w:w="0" w:type="auto"/>
        <w:tblLook w:val="04A0" w:firstRow="1" w:lastRow="0" w:firstColumn="1" w:lastColumn="0" w:noHBand="0" w:noVBand="1"/>
      </w:tblPr>
      <w:tblGrid>
        <w:gridCol w:w="4361"/>
        <w:gridCol w:w="4851"/>
      </w:tblGrid>
      <w:tr w:rsidR="005C725F" w:rsidTr="005C725F">
        <w:tc>
          <w:tcPr>
            <w:tcW w:w="4361" w:type="dxa"/>
            <w:tcBorders>
              <w:top w:val="nil"/>
              <w:left w:val="nil"/>
              <w:bottom w:val="nil"/>
              <w:right w:val="nil"/>
            </w:tcBorders>
          </w:tcPr>
          <w:p w:rsidR="005C725F" w:rsidRDefault="005C725F" w:rsidP="005C725F">
            <w:pPr>
              <w:jc w:val="both"/>
              <w:rPr>
                <w:sz w:val="20"/>
              </w:rPr>
            </w:pPr>
            <w:r>
              <w:rPr>
                <w:sz w:val="20"/>
              </w:rPr>
              <w:t xml:space="preserve">En post-prandial on stocke le surplus </w:t>
            </w:r>
          </w:p>
          <w:p w:rsidR="005C725F" w:rsidRDefault="005C725F" w:rsidP="005C725F">
            <w:pPr>
              <w:pStyle w:val="Paragraphedeliste"/>
              <w:numPr>
                <w:ilvl w:val="0"/>
                <w:numId w:val="3"/>
              </w:numPr>
              <w:jc w:val="both"/>
              <w:rPr>
                <w:sz w:val="20"/>
              </w:rPr>
            </w:pPr>
            <w:r>
              <w:rPr>
                <w:sz w:val="20"/>
              </w:rPr>
              <w:t>En glycogène hépatique</w:t>
            </w:r>
          </w:p>
          <w:p w:rsidR="005C725F" w:rsidRPr="005C725F" w:rsidRDefault="005C725F" w:rsidP="005C725F">
            <w:pPr>
              <w:pStyle w:val="Paragraphedeliste"/>
              <w:numPr>
                <w:ilvl w:val="0"/>
                <w:numId w:val="3"/>
              </w:numPr>
              <w:jc w:val="both"/>
              <w:rPr>
                <w:sz w:val="20"/>
              </w:rPr>
            </w:pPr>
            <w:r>
              <w:rPr>
                <w:sz w:val="20"/>
              </w:rPr>
              <w:t>En TG (glycérol)</w:t>
            </w:r>
          </w:p>
        </w:tc>
        <w:tc>
          <w:tcPr>
            <w:tcW w:w="4851" w:type="dxa"/>
            <w:tcBorders>
              <w:top w:val="nil"/>
              <w:left w:val="nil"/>
              <w:bottom w:val="nil"/>
              <w:right w:val="nil"/>
            </w:tcBorders>
          </w:tcPr>
          <w:p w:rsidR="005C725F" w:rsidRDefault="005C725F" w:rsidP="005C725F">
            <w:pPr>
              <w:jc w:val="both"/>
              <w:rPr>
                <w:sz w:val="20"/>
              </w:rPr>
            </w:pPr>
            <w:r>
              <w:rPr>
                <w:sz w:val="20"/>
              </w:rPr>
              <w:t>En post-absorptif : le foie produit (restitue) le glucose</w:t>
            </w:r>
          </w:p>
          <w:p w:rsidR="005C725F" w:rsidRDefault="005C725F" w:rsidP="005C725F">
            <w:pPr>
              <w:pStyle w:val="Paragraphedeliste"/>
              <w:numPr>
                <w:ilvl w:val="0"/>
                <w:numId w:val="3"/>
              </w:numPr>
              <w:jc w:val="both"/>
              <w:rPr>
                <w:sz w:val="20"/>
              </w:rPr>
            </w:pPr>
            <w:r>
              <w:rPr>
                <w:sz w:val="20"/>
              </w:rPr>
              <w:t>Glycogénolyse</w:t>
            </w:r>
          </w:p>
          <w:p w:rsidR="005C725F" w:rsidRPr="005C725F" w:rsidRDefault="005C725F" w:rsidP="005C725F">
            <w:pPr>
              <w:pStyle w:val="Paragraphedeliste"/>
              <w:numPr>
                <w:ilvl w:val="0"/>
                <w:numId w:val="3"/>
              </w:numPr>
              <w:jc w:val="both"/>
              <w:rPr>
                <w:sz w:val="20"/>
              </w:rPr>
            </w:pPr>
            <w:r>
              <w:rPr>
                <w:sz w:val="20"/>
              </w:rPr>
              <w:t>Néoglycogénèse (aa, glycérol, lactates)</w:t>
            </w:r>
          </w:p>
        </w:tc>
      </w:tr>
    </w:tbl>
    <w:p w:rsidR="005C725F" w:rsidRPr="00C23353" w:rsidRDefault="005C725F" w:rsidP="005C725F">
      <w:pPr>
        <w:spacing w:after="0"/>
        <w:jc w:val="both"/>
        <w:rPr>
          <w:sz w:val="20"/>
          <w:u w:val="single"/>
        </w:rPr>
      </w:pPr>
      <w:r w:rsidRPr="00C23353">
        <w:rPr>
          <w:sz w:val="20"/>
          <w:u w:val="single"/>
        </w:rPr>
        <w:t>Transport :</w:t>
      </w:r>
    </w:p>
    <w:p w:rsidR="005C725F" w:rsidRDefault="005C725F" w:rsidP="005C725F">
      <w:pPr>
        <w:pStyle w:val="Paragraphedeliste"/>
        <w:numPr>
          <w:ilvl w:val="0"/>
          <w:numId w:val="3"/>
        </w:numPr>
        <w:spacing w:after="0"/>
        <w:jc w:val="both"/>
        <w:rPr>
          <w:sz w:val="20"/>
        </w:rPr>
      </w:pPr>
      <w:r>
        <w:rPr>
          <w:sz w:val="20"/>
        </w:rPr>
        <w:t xml:space="preserve">Libre </w:t>
      </w:r>
      <w:r w:rsidR="00A717DD">
        <w:rPr>
          <w:sz w:val="20"/>
        </w:rPr>
        <w:t>extra-cellulaire</w:t>
      </w:r>
    </w:p>
    <w:p w:rsidR="005C725F" w:rsidRDefault="00A717DD" w:rsidP="005C725F">
      <w:pPr>
        <w:pStyle w:val="Paragraphedeliste"/>
        <w:numPr>
          <w:ilvl w:val="0"/>
          <w:numId w:val="3"/>
        </w:numPr>
        <w:spacing w:after="0"/>
        <w:jc w:val="both"/>
        <w:rPr>
          <w:sz w:val="20"/>
        </w:rPr>
      </w:pPr>
      <w:r>
        <w:rPr>
          <w:sz w:val="20"/>
        </w:rPr>
        <w:t>Transport intra-cellulaire</w:t>
      </w:r>
      <w:r w:rsidR="005C725F">
        <w:rPr>
          <w:sz w:val="20"/>
        </w:rPr>
        <w:t xml:space="preserve"> : </w:t>
      </w:r>
    </w:p>
    <w:p w:rsidR="00A717DD" w:rsidRDefault="00A717DD" w:rsidP="00A717DD">
      <w:pPr>
        <w:pStyle w:val="Paragraphedeliste"/>
        <w:numPr>
          <w:ilvl w:val="1"/>
          <w:numId w:val="3"/>
        </w:numPr>
        <w:spacing w:after="0"/>
        <w:jc w:val="both"/>
        <w:rPr>
          <w:sz w:val="20"/>
        </w:rPr>
      </w:pPr>
      <w:r>
        <w:rPr>
          <w:sz w:val="20"/>
        </w:rPr>
        <w:t>Transport passif au niv du foie ++ (selon le gradient)</w:t>
      </w:r>
    </w:p>
    <w:p w:rsidR="00A717DD" w:rsidRPr="005C725F" w:rsidRDefault="00A717DD" w:rsidP="00A717DD">
      <w:pPr>
        <w:pStyle w:val="Paragraphedeliste"/>
        <w:numPr>
          <w:ilvl w:val="1"/>
          <w:numId w:val="3"/>
        </w:numPr>
        <w:spacing w:after="0"/>
        <w:jc w:val="both"/>
        <w:rPr>
          <w:sz w:val="20"/>
        </w:rPr>
      </w:pPr>
      <w:r>
        <w:rPr>
          <w:sz w:val="20"/>
        </w:rPr>
        <w:t xml:space="preserve">Transport actif par les GLUT : plu types dont </w:t>
      </w:r>
      <w:r w:rsidRPr="00A717DD">
        <w:rPr>
          <w:b/>
          <w:sz w:val="20"/>
        </w:rPr>
        <w:t>GLUT2</w:t>
      </w:r>
      <w:r>
        <w:rPr>
          <w:sz w:val="20"/>
        </w:rPr>
        <w:t xml:space="preserve"> dans le pancréas (s’il marche mal, la cellule pancréatique reçoit mal les signaux de glycémie) et </w:t>
      </w:r>
      <w:r w:rsidRPr="00A717DD">
        <w:rPr>
          <w:b/>
          <w:sz w:val="20"/>
        </w:rPr>
        <w:t>GLUT4</w:t>
      </w:r>
      <w:r>
        <w:rPr>
          <w:sz w:val="20"/>
        </w:rPr>
        <w:t xml:space="preserve"> (cellules cibles de l’insuline, contrôlé +++ par l’insuline (translocation à la mb ap fixation de l’insuline sur la mb))</w:t>
      </w:r>
    </w:p>
    <w:p w:rsidR="00A717DD" w:rsidRPr="005019AB" w:rsidRDefault="00A717DD" w:rsidP="00A717DD">
      <w:pPr>
        <w:spacing w:after="0"/>
        <w:jc w:val="both"/>
        <w:rPr>
          <w:i/>
          <w:sz w:val="18"/>
        </w:rPr>
      </w:pPr>
      <w:r w:rsidRPr="005019AB">
        <w:rPr>
          <w:i/>
          <w:sz w:val="18"/>
        </w:rPr>
        <w:t>Rq : certains M du diabèt</w:t>
      </w:r>
      <w:r w:rsidR="00907233" w:rsidRPr="005019AB">
        <w:rPr>
          <w:i/>
          <w:sz w:val="18"/>
        </w:rPr>
        <w:t>e stimulent les GLUT-4 au niv musculaire</w:t>
      </w:r>
      <w:r w:rsidRPr="005019AB">
        <w:rPr>
          <w:i/>
          <w:sz w:val="18"/>
        </w:rPr>
        <w:t xml:space="preserve"> : glitazones (supprimés en </w:t>
      </w:r>
      <w:r w:rsidR="00907233" w:rsidRPr="005019AB">
        <w:rPr>
          <w:i/>
          <w:sz w:val="18"/>
        </w:rPr>
        <w:t>F</w:t>
      </w:r>
      <w:r w:rsidRPr="005019AB">
        <w:rPr>
          <w:i/>
          <w:sz w:val="18"/>
        </w:rPr>
        <w:t>ce en 2011) et metformine.</w:t>
      </w:r>
    </w:p>
    <w:p w:rsidR="00C23353" w:rsidRPr="00C23353" w:rsidRDefault="00C23353" w:rsidP="00A717DD">
      <w:pPr>
        <w:spacing w:after="0"/>
        <w:jc w:val="both"/>
        <w:rPr>
          <w:sz w:val="20"/>
          <w:u w:val="single"/>
        </w:rPr>
      </w:pPr>
      <w:r w:rsidRPr="00C23353">
        <w:rPr>
          <w:sz w:val="20"/>
          <w:u w:val="single"/>
        </w:rPr>
        <w:t>Métabolisme intra-cellulaire :</w:t>
      </w:r>
    </w:p>
    <w:p w:rsidR="00C23353" w:rsidRDefault="00C23353" w:rsidP="00C23353">
      <w:pPr>
        <w:pStyle w:val="Paragraphedeliste"/>
        <w:numPr>
          <w:ilvl w:val="0"/>
          <w:numId w:val="3"/>
        </w:numPr>
        <w:spacing w:after="0"/>
        <w:jc w:val="both"/>
        <w:rPr>
          <w:sz w:val="20"/>
        </w:rPr>
      </w:pPr>
      <w:r>
        <w:rPr>
          <w:sz w:val="20"/>
        </w:rPr>
        <w:t>Pénétration IC par GLUT</w:t>
      </w:r>
    </w:p>
    <w:p w:rsidR="00C23353" w:rsidRDefault="00C23353" w:rsidP="00C23353">
      <w:pPr>
        <w:pStyle w:val="Paragraphedeliste"/>
        <w:numPr>
          <w:ilvl w:val="0"/>
          <w:numId w:val="3"/>
        </w:numPr>
        <w:spacing w:after="0"/>
        <w:jc w:val="both"/>
        <w:rPr>
          <w:sz w:val="20"/>
        </w:rPr>
      </w:pPr>
      <w:r>
        <w:rPr>
          <w:sz w:val="20"/>
        </w:rPr>
        <w:t>Etape limitante : transformation en G6P par les hexokinases à partir duquel :</w:t>
      </w:r>
    </w:p>
    <w:p w:rsidR="00C23353" w:rsidRDefault="00C23353" w:rsidP="00C23353">
      <w:pPr>
        <w:pStyle w:val="Paragraphedeliste"/>
        <w:numPr>
          <w:ilvl w:val="1"/>
          <w:numId w:val="3"/>
        </w:numPr>
        <w:spacing w:after="0"/>
        <w:jc w:val="both"/>
        <w:rPr>
          <w:sz w:val="20"/>
        </w:rPr>
      </w:pPr>
      <w:r>
        <w:rPr>
          <w:sz w:val="20"/>
        </w:rPr>
        <w:t>Glycogénosynthèse</w:t>
      </w:r>
    </w:p>
    <w:p w:rsidR="00C23353" w:rsidRDefault="00C23353" w:rsidP="00C23353">
      <w:pPr>
        <w:pStyle w:val="Paragraphedeliste"/>
        <w:numPr>
          <w:ilvl w:val="1"/>
          <w:numId w:val="3"/>
        </w:numPr>
        <w:spacing w:after="0"/>
        <w:jc w:val="both"/>
        <w:rPr>
          <w:sz w:val="20"/>
        </w:rPr>
      </w:pPr>
      <w:r>
        <w:rPr>
          <w:sz w:val="20"/>
        </w:rPr>
        <w:t>Glycolyse aérobie</w:t>
      </w:r>
    </w:p>
    <w:p w:rsidR="00C23353" w:rsidRDefault="00C23353" w:rsidP="00C23353">
      <w:pPr>
        <w:pStyle w:val="Paragraphedeliste"/>
        <w:numPr>
          <w:ilvl w:val="1"/>
          <w:numId w:val="3"/>
        </w:numPr>
        <w:spacing w:after="0"/>
        <w:jc w:val="both"/>
        <w:rPr>
          <w:sz w:val="20"/>
        </w:rPr>
      </w:pPr>
      <w:r>
        <w:rPr>
          <w:sz w:val="20"/>
        </w:rPr>
        <w:t>Glycolyse anaérobie</w:t>
      </w:r>
    </w:p>
    <w:p w:rsidR="00C23353" w:rsidRPr="00C23353" w:rsidRDefault="00C23353" w:rsidP="00C23353">
      <w:pPr>
        <w:pStyle w:val="Paragraphedeliste"/>
        <w:numPr>
          <w:ilvl w:val="1"/>
          <w:numId w:val="3"/>
        </w:numPr>
        <w:spacing w:after="0"/>
        <w:jc w:val="both"/>
        <w:rPr>
          <w:sz w:val="20"/>
        </w:rPr>
      </w:pPr>
      <w:r>
        <w:rPr>
          <w:sz w:val="20"/>
        </w:rPr>
        <w:t>Voie accessoire dans certains tissus : voie des pentoses-phosphates</w:t>
      </w:r>
    </w:p>
    <w:p w:rsidR="00C23353" w:rsidRPr="00A717DD" w:rsidRDefault="00C23353" w:rsidP="00A717DD">
      <w:pPr>
        <w:spacing w:after="0"/>
        <w:jc w:val="both"/>
        <w:rPr>
          <w:sz w:val="20"/>
        </w:rPr>
      </w:pPr>
    </w:p>
    <w:p w:rsidR="00C23353" w:rsidRPr="00C23353" w:rsidRDefault="005C725F" w:rsidP="00C23353">
      <w:pPr>
        <w:pStyle w:val="Paragraphedeliste"/>
        <w:numPr>
          <w:ilvl w:val="0"/>
          <w:numId w:val="2"/>
        </w:numPr>
        <w:spacing w:after="0"/>
        <w:jc w:val="both"/>
        <w:rPr>
          <w:b/>
          <w:color w:val="0000FF"/>
          <w:sz w:val="20"/>
        </w:rPr>
      </w:pPr>
      <w:r w:rsidRPr="005C725F">
        <w:rPr>
          <w:b/>
          <w:color w:val="0000FF"/>
          <w:sz w:val="20"/>
        </w:rPr>
        <w:t>Insuline</w:t>
      </w:r>
    </w:p>
    <w:p w:rsidR="00C23353" w:rsidRPr="00156F04" w:rsidRDefault="00C23353" w:rsidP="005C725F">
      <w:pPr>
        <w:spacing w:after="0"/>
        <w:jc w:val="both"/>
        <w:rPr>
          <w:sz w:val="20"/>
          <w:u w:val="single"/>
        </w:rPr>
      </w:pPr>
      <w:r w:rsidRPr="00175C7B">
        <w:rPr>
          <w:sz w:val="20"/>
          <w:u w:val="single"/>
        </w:rPr>
        <w:t xml:space="preserve">Biosynthèse : </w:t>
      </w:r>
      <w:r w:rsidR="00156F04">
        <w:rPr>
          <w:sz w:val="20"/>
        </w:rPr>
        <w:t xml:space="preserve"> p</w:t>
      </w:r>
      <w:r>
        <w:rPr>
          <w:sz w:val="20"/>
        </w:rPr>
        <w:t>roinsuline coupée par des enzymes =&gt; insuline (2 chaînes polypep reliées par 2 ponts disulfures) + peptide C (connecteur).</w:t>
      </w:r>
      <w:r w:rsidR="00156F04">
        <w:rPr>
          <w:sz w:val="20"/>
          <w:u w:val="single"/>
        </w:rPr>
        <w:t xml:space="preserve"> </w:t>
      </w:r>
      <w:r w:rsidRPr="00175C7B">
        <w:rPr>
          <w:i/>
          <w:sz w:val="20"/>
        </w:rPr>
        <w:t>Rq : peptide C permet de doser l’insuline</w:t>
      </w:r>
      <w:r w:rsidR="00175C7B" w:rsidRPr="00175C7B">
        <w:rPr>
          <w:i/>
          <w:sz w:val="20"/>
        </w:rPr>
        <w:t xml:space="preserve"> endogène (suivi des diabétiques)</w:t>
      </w:r>
    </w:p>
    <w:p w:rsidR="00C23353" w:rsidRPr="00175C7B" w:rsidRDefault="00C23353" w:rsidP="005C725F">
      <w:pPr>
        <w:spacing w:after="0"/>
        <w:jc w:val="both"/>
        <w:rPr>
          <w:sz w:val="20"/>
          <w:u w:val="single"/>
        </w:rPr>
      </w:pPr>
      <w:r w:rsidRPr="00175C7B">
        <w:rPr>
          <w:sz w:val="20"/>
          <w:u w:val="single"/>
        </w:rPr>
        <w:t>Mécanismes de l’insulinosécrétion</w:t>
      </w:r>
      <w:r w:rsidR="00175C7B" w:rsidRPr="00175C7B">
        <w:rPr>
          <w:sz w:val="20"/>
          <w:u w:val="single"/>
        </w:rPr>
        <w:t> :</w:t>
      </w:r>
    </w:p>
    <w:p w:rsidR="00175C7B" w:rsidRDefault="00175C7B" w:rsidP="005C725F">
      <w:pPr>
        <w:spacing w:after="0"/>
        <w:jc w:val="both"/>
        <w:rPr>
          <w:sz w:val="20"/>
        </w:rPr>
      </w:pPr>
      <w:r>
        <w:rPr>
          <w:sz w:val="20"/>
        </w:rPr>
        <w:t xml:space="preserve">Cellule </w:t>
      </w:r>
      <w:r w:rsidR="00156F04">
        <w:rPr>
          <w:sz w:val="20"/>
        </w:rPr>
        <w:t>B</w:t>
      </w:r>
      <w:r>
        <w:rPr>
          <w:sz w:val="20"/>
        </w:rPr>
        <w:t xml:space="preserve"> pancréatique : GLUT2 fait entrer le glucose … ATP qui sert à la synthèse d’inuline et à l’inhibition des cnx K+ qui ouvrent les cnx Ca =&gt; exocytose des vacuoles de sécrétion contenant l’insuline.</w:t>
      </w:r>
    </w:p>
    <w:p w:rsidR="00175C7B" w:rsidRDefault="00175C7B" w:rsidP="005C725F">
      <w:pPr>
        <w:spacing w:after="0"/>
        <w:jc w:val="both"/>
        <w:rPr>
          <w:sz w:val="20"/>
        </w:rPr>
      </w:pPr>
      <w:r>
        <w:rPr>
          <w:sz w:val="20"/>
        </w:rPr>
        <w:t xml:space="preserve">Il y a d’autres mécanismes : récepteurs à des hormones issues de la famille du glucagon comme </w:t>
      </w:r>
      <w:r w:rsidRPr="00175C7B">
        <w:rPr>
          <w:b/>
          <w:sz w:val="20"/>
        </w:rPr>
        <w:t>GLP1</w:t>
      </w:r>
      <w:r>
        <w:rPr>
          <w:sz w:val="20"/>
        </w:rPr>
        <w:t xml:space="preserve"> (d’origine digestive) =&gt; stimulation via l’ATP de la sécrétion et de la synthèse de l’insuline. Elle stimule l’insuline mais slmt quand il y a du glucose (ATP) =&gt; médicaments : analogues du GLP1 (injectables) et ihibiteurs de la dégradation du GLP1 (gliptines).</w:t>
      </w:r>
    </w:p>
    <w:p w:rsidR="00175C7B" w:rsidRDefault="00175C7B" w:rsidP="005C725F">
      <w:pPr>
        <w:spacing w:after="0"/>
        <w:jc w:val="both"/>
        <w:rPr>
          <w:sz w:val="20"/>
        </w:rPr>
      </w:pPr>
      <w:r>
        <w:rPr>
          <w:sz w:val="20"/>
        </w:rPr>
        <w:t>D’autres M : sulfamides antidiabétiques et glinides stimulent la décharge d’insuline (via le sulfamide récepteur = SUR)) même sans ATP =&gt; risque d’hypoglycémie.</w:t>
      </w:r>
    </w:p>
    <w:p w:rsidR="005C725F" w:rsidRPr="00156F04" w:rsidRDefault="00175C7B" w:rsidP="005C725F">
      <w:pPr>
        <w:spacing w:after="0"/>
        <w:jc w:val="both"/>
        <w:rPr>
          <w:sz w:val="20"/>
          <w:u w:val="single"/>
        </w:rPr>
      </w:pPr>
      <w:r>
        <w:rPr>
          <w:sz w:val="20"/>
          <w:u w:val="single"/>
        </w:rPr>
        <w:t>Mode d’action :</w:t>
      </w:r>
      <w:r w:rsidR="00156F04">
        <w:rPr>
          <w:sz w:val="20"/>
        </w:rPr>
        <w:t xml:space="preserve"> a</w:t>
      </w:r>
      <w:r>
        <w:rPr>
          <w:sz w:val="20"/>
        </w:rPr>
        <w:t xml:space="preserve">ction cellulaire grâce à un récepteur transmembranaire spécifique </w:t>
      </w:r>
    </w:p>
    <w:p w:rsidR="00175C7B" w:rsidRDefault="00175C7B" w:rsidP="005C725F">
      <w:pPr>
        <w:spacing w:after="0"/>
        <w:jc w:val="both"/>
        <w:rPr>
          <w:sz w:val="20"/>
        </w:rPr>
      </w:pPr>
    </w:p>
    <w:p w:rsidR="00175C7B" w:rsidRPr="005C725F" w:rsidRDefault="00175C7B" w:rsidP="005C725F">
      <w:pPr>
        <w:spacing w:after="0"/>
        <w:jc w:val="both"/>
        <w:rPr>
          <w:sz w:val="20"/>
        </w:rPr>
      </w:pPr>
    </w:p>
    <w:p w:rsidR="005C725F" w:rsidRPr="005C725F" w:rsidRDefault="00930A96" w:rsidP="005C725F">
      <w:pPr>
        <w:pStyle w:val="Paragraphedeliste"/>
        <w:numPr>
          <w:ilvl w:val="0"/>
          <w:numId w:val="1"/>
        </w:numPr>
        <w:spacing w:after="0"/>
        <w:jc w:val="both"/>
        <w:rPr>
          <w:b/>
          <w:color w:val="FF0000"/>
          <w:sz w:val="20"/>
        </w:rPr>
      </w:pPr>
      <w:r>
        <w:rPr>
          <w:b/>
          <w:color w:val="FF0000"/>
          <w:sz w:val="20"/>
        </w:rPr>
        <w:t>D</w:t>
      </w:r>
      <w:r w:rsidR="005C725F" w:rsidRPr="005C725F">
        <w:rPr>
          <w:b/>
          <w:color w:val="FF0000"/>
          <w:sz w:val="20"/>
        </w:rPr>
        <w:t>iabète de type 1</w:t>
      </w:r>
    </w:p>
    <w:p w:rsidR="005C725F" w:rsidRDefault="005C725F" w:rsidP="005C725F">
      <w:pPr>
        <w:spacing w:after="0"/>
        <w:jc w:val="both"/>
        <w:rPr>
          <w:sz w:val="20"/>
        </w:rPr>
      </w:pPr>
    </w:p>
    <w:p w:rsidR="00930A96" w:rsidRPr="00514432" w:rsidRDefault="00930A96" w:rsidP="00930A96">
      <w:pPr>
        <w:pStyle w:val="Paragraphedeliste"/>
        <w:numPr>
          <w:ilvl w:val="0"/>
          <w:numId w:val="4"/>
        </w:numPr>
        <w:spacing w:after="0"/>
        <w:jc w:val="both"/>
        <w:rPr>
          <w:b/>
          <w:color w:val="0000FF"/>
          <w:sz w:val="20"/>
        </w:rPr>
      </w:pPr>
      <w:r w:rsidRPr="00514432">
        <w:rPr>
          <w:b/>
          <w:color w:val="0000FF"/>
          <w:sz w:val="20"/>
        </w:rPr>
        <w:t>Définition</w:t>
      </w:r>
    </w:p>
    <w:p w:rsidR="00930A96" w:rsidRDefault="00930A96" w:rsidP="00930A96">
      <w:pPr>
        <w:spacing w:after="0"/>
        <w:jc w:val="both"/>
        <w:rPr>
          <w:sz w:val="20"/>
        </w:rPr>
      </w:pPr>
      <w:r>
        <w:rPr>
          <w:sz w:val="20"/>
        </w:rPr>
        <w:t>Destruction sélective des cellules B des ilots de Langerhans pancréatiques (pas les autres cellules) par une réaction auto-immune, habituellement lente et progressive. Le diabète (signes cliniques) n’apparait que quand on a une destruction de 90% des cellules.</w:t>
      </w:r>
    </w:p>
    <w:p w:rsidR="00930A96" w:rsidRDefault="00930A96" w:rsidP="00930A96">
      <w:pPr>
        <w:spacing w:after="0"/>
        <w:jc w:val="both"/>
        <w:rPr>
          <w:sz w:val="20"/>
        </w:rPr>
      </w:pPr>
    </w:p>
    <w:p w:rsidR="00930A96" w:rsidRPr="00514432" w:rsidRDefault="00930A96" w:rsidP="00930A96">
      <w:pPr>
        <w:pStyle w:val="Paragraphedeliste"/>
        <w:numPr>
          <w:ilvl w:val="0"/>
          <w:numId w:val="4"/>
        </w:numPr>
        <w:spacing w:after="0"/>
        <w:jc w:val="both"/>
        <w:rPr>
          <w:color w:val="0000FF"/>
          <w:sz w:val="20"/>
        </w:rPr>
      </w:pPr>
      <w:r w:rsidRPr="00514432">
        <w:rPr>
          <w:b/>
          <w:color w:val="0000FF"/>
          <w:sz w:val="20"/>
        </w:rPr>
        <w:t>Arguments pour l’auto-immunité </w:t>
      </w:r>
      <w:r w:rsidRPr="00514432">
        <w:rPr>
          <w:sz w:val="20"/>
        </w:rPr>
        <w:t>+++ (question possible)</w:t>
      </w:r>
    </w:p>
    <w:p w:rsidR="00930A96" w:rsidRDefault="00930A96" w:rsidP="00930A96">
      <w:pPr>
        <w:pStyle w:val="Paragraphedeliste"/>
        <w:numPr>
          <w:ilvl w:val="0"/>
          <w:numId w:val="3"/>
        </w:numPr>
        <w:spacing w:after="0"/>
        <w:jc w:val="both"/>
        <w:rPr>
          <w:sz w:val="20"/>
        </w:rPr>
      </w:pPr>
      <w:r w:rsidRPr="005C3398">
        <w:rPr>
          <w:b/>
          <w:sz w:val="20"/>
        </w:rPr>
        <w:t>Modèles</w:t>
      </w:r>
      <w:r>
        <w:rPr>
          <w:sz w:val="20"/>
        </w:rPr>
        <w:t xml:space="preserve"> </w:t>
      </w:r>
      <w:r w:rsidRPr="005C3398">
        <w:rPr>
          <w:b/>
          <w:sz w:val="20"/>
        </w:rPr>
        <w:t>expérimentaux</w:t>
      </w:r>
      <w:r>
        <w:rPr>
          <w:sz w:val="20"/>
        </w:rPr>
        <w:t xml:space="preserve"> </w:t>
      </w:r>
      <w:r w:rsidRPr="005C3398">
        <w:rPr>
          <w:b/>
          <w:sz w:val="20"/>
        </w:rPr>
        <w:t>animaux</w:t>
      </w:r>
      <w:r w:rsidR="00514432">
        <w:rPr>
          <w:sz w:val="20"/>
        </w:rPr>
        <w:t xml:space="preserve"> (souris chez qui on produit des diabètes auto-immuns)</w:t>
      </w:r>
    </w:p>
    <w:p w:rsidR="00930A96" w:rsidRPr="005C3398" w:rsidRDefault="00930A96" w:rsidP="00930A96">
      <w:pPr>
        <w:pStyle w:val="Paragraphedeliste"/>
        <w:numPr>
          <w:ilvl w:val="0"/>
          <w:numId w:val="3"/>
        </w:numPr>
        <w:spacing w:after="0"/>
        <w:jc w:val="both"/>
        <w:rPr>
          <w:b/>
          <w:sz w:val="20"/>
        </w:rPr>
      </w:pPr>
      <w:r w:rsidRPr="005C3398">
        <w:rPr>
          <w:b/>
          <w:sz w:val="20"/>
        </w:rPr>
        <w:t>Epidémiologie : association fréquente à des MAI</w:t>
      </w:r>
    </w:p>
    <w:p w:rsidR="00930A96" w:rsidRDefault="00930A96" w:rsidP="00930A96">
      <w:pPr>
        <w:pStyle w:val="Paragraphedeliste"/>
        <w:numPr>
          <w:ilvl w:val="0"/>
          <w:numId w:val="3"/>
        </w:numPr>
        <w:spacing w:after="0"/>
        <w:jc w:val="both"/>
        <w:rPr>
          <w:sz w:val="20"/>
        </w:rPr>
      </w:pPr>
      <w:r>
        <w:rPr>
          <w:sz w:val="20"/>
        </w:rPr>
        <w:t xml:space="preserve">Aspects anapath : </w:t>
      </w:r>
      <w:r w:rsidRPr="005C3398">
        <w:rPr>
          <w:b/>
          <w:sz w:val="20"/>
        </w:rPr>
        <w:t>insuilite</w:t>
      </w:r>
      <w:r>
        <w:rPr>
          <w:sz w:val="20"/>
        </w:rPr>
        <w:t xml:space="preserve"> (infiltrats </w:t>
      </w:r>
      <w:r w:rsidR="00514432">
        <w:rPr>
          <w:sz w:val="20"/>
        </w:rPr>
        <w:t xml:space="preserve">mononucléés </w:t>
      </w:r>
      <w:r>
        <w:rPr>
          <w:sz w:val="20"/>
        </w:rPr>
        <w:t>inflammatoires)</w:t>
      </w:r>
    </w:p>
    <w:p w:rsidR="00514432" w:rsidRDefault="00930A96" w:rsidP="00930A96">
      <w:pPr>
        <w:pStyle w:val="Paragraphedeliste"/>
        <w:numPr>
          <w:ilvl w:val="0"/>
          <w:numId w:val="3"/>
        </w:numPr>
        <w:spacing w:after="0"/>
        <w:jc w:val="both"/>
        <w:rPr>
          <w:sz w:val="20"/>
        </w:rPr>
      </w:pPr>
      <w:r w:rsidRPr="005C3398">
        <w:rPr>
          <w:b/>
          <w:sz w:val="20"/>
        </w:rPr>
        <w:t>Auto</w:t>
      </w:r>
      <w:r>
        <w:rPr>
          <w:sz w:val="20"/>
        </w:rPr>
        <w:t>-</w:t>
      </w:r>
      <w:r w:rsidRPr="005C3398">
        <w:rPr>
          <w:b/>
          <w:sz w:val="20"/>
        </w:rPr>
        <w:t>AC</w:t>
      </w:r>
      <w:r w:rsidR="00514432">
        <w:rPr>
          <w:sz w:val="20"/>
        </w:rPr>
        <w:t xml:space="preserve"> dirigés contre les cellules à insuline. </w:t>
      </w:r>
    </w:p>
    <w:p w:rsidR="00930A96" w:rsidRDefault="00514432" w:rsidP="00514432">
      <w:pPr>
        <w:pStyle w:val="Paragraphedeliste"/>
        <w:numPr>
          <w:ilvl w:val="1"/>
          <w:numId w:val="3"/>
        </w:numPr>
        <w:spacing w:after="0"/>
        <w:jc w:val="both"/>
        <w:rPr>
          <w:sz w:val="20"/>
        </w:rPr>
      </w:pPr>
      <w:r>
        <w:rPr>
          <w:sz w:val="20"/>
        </w:rPr>
        <w:t>précèdent la survenue du diabète</w:t>
      </w:r>
    </w:p>
    <w:p w:rsidR="00514432" w:rsidRDefault="00514432" w:rsidP="00514432">
      <w:pPr>
        <w:pStyle w:val="Paragraphedeliste"/>
        <w:numPr>
          <w:ilvl w:val="1"/>
          <w:numId w:val="3"/>
        </w:numPr>
        <w:spacing w:after="0"/>
        <w:jc w:val="both"/>
        <w:rPr>
          <w:sz w:val="20"/>
        </w:rPr>
      </w:pPr>
      <w:r>
        <w:rPr>
          <w:sz w:val="20"/>
        </w:rPr>
        <w:t>ICA, anti-GAD (enzyme de la cellule B), anti-IA2 (phospholipase de la cellule B), anti-insuline</w:t>
      </w:r>
    </w:p>
    <w:p w:rsidR="00514432" w:rsidRDefault="00514432" w:rsidP="00514432">
      <w:pPr>
        <w:pStyle w:val="Paragraphedeliste"/>
        <w:numPr>
          <w:ilvl w:val="1"/>
          <w:numId w:val="3"/>
        </w:numPr>
        <w:spacing w:after="0"/>
        <w:jc w:val="both"/>
        <w:rPr>
          <w:sz w:val="20"/>
        </w:rPr>
      </w:pPr>
      <w:r>
        <w:rPr>
          <w:sz w:val="20"/>
        </w:rPr>
        <w:t>témoins plus que responsables : ils ne sont pas très toxiques en eux-mêmes</w:t>
      </w:r>
    </w:p>
    <w:p w:rsidR="00514432" w:rsidRDefault="00514432" w:rsidP="00514432">
      <w:pPr>
        <w:pStyle w:val="Paragraphedeliste"/>
        <w:numPr>
          <w:ilvl w:val="1"/>
          <w:numId w:val="3"/>
        </w:numPr>
        <w:spacing w:after="0"/>
        <w:jc w:val="both"/>
        <w:rPr>
          <w:sz w:val="20"/>
        </w:rPr>
      </w:pPr>
      <w:r>
        <w:rPr>
          <w:sz w:val="20"/>
        </w:rPr>
        <w:t>dosables : marqueurs de risque de diabète de type 1</w:t>
      </w:r>
    </w:p>
    <w:p w:rsidR="00514432" w:rsidRDefault="00514432" w:rsidP="00930A96">
      <w:pPr>
        <w:pStyle w:val="Paragraphedeliste"/>
        <w:numPr>
          <w:ilvl w:val="0"/>
          <w:numId w:val="3"/>
        </w:numPr>
        <w:spacing w:after="0"/>
        <w:jc w:val="both"/>
        <w:rPr>
          <w:sz w:val="20"/>
        </w:rPr>
      </w:pPr>
      <w:r w:rsidRPr="005C3398">
        <w:rPr>
          <w:b/>
          <w:sz w:val="20"/>
        </w:rPr>
        <w:t>LT</w:t>
      </w:r>
      <w:r>
        <w:rPr>
          <w:sz w:val="20"/>
        </w:rPr>
        <w:t xml:space="preserve"> activés </w:t>
      </w:r>
      <w:r w:rsidRPr="005C3398">
        <w:rPr>
          <w:b/>
          <w:sz w:val="20"/>
        </w:rPr>
        <w:t>auto</w:t>
      </w:r>
      <w:r>
        <w:rPr>
          <w:sz w:val="20"/>
        </w:rPr>
        <w:t>-</w:t>
      </w:r>
      <w:r w:rsidRPr="005C3398">
        <w:rPr>
          <w:b/>
          <w:sz w:val="20"/>
        </w:rPr>
        <w:t>réactifs</w:t>
      </w:r>
      <w:r>
        <w:rPr>
          <w:sz w:val="20"/>
        </w:rPr>
        <w:t xml:space="preserve"> cytotoxiques (isolés chez les patients) anti-cellules B</w:t>
      </w:r>
    </w:p>
    <w:p w:rsidR="00514432" w:rsidRDefault="00514432" w:rsidP="00930A96">
      <w:pPr>
        <w:pStyle w:val="Paragraphedeliste"/>
        <w:numPr>
          <w:ilvl w:val="0"/>
          <w:numId w:val="3"/>
        </w:numPr>
        <w:spacing w:after="0"/>
        <w:jc w:val="both"/>
        <w:rPr>
          <w:sz w:val="20"/>
        </w:rPr>
      </w:pPr>
      <w:r w:rsidRPr="005C3398">
        <w:rPr>
          <w:b/>
          <w:sz w:val="20"/>
        </w:rPr>
        <w:t>Terrain : éléments</w:t>
      </w:r>
      <w:r>
        <w:rPr>
          <w:sz w:val="20"/>
        </w:rPr>
        <w:t xml:space="preserve"> </w:t>
      </w:r>
      <w:r w:rsidRPr="005C3398">
        <w:rPr>
          <w:b/>
          <w:sz w:val="20"/>
        </w:rPr>
        <w:t>génétiques</w:t>
      </w:r>
      <w:r>
        <w:rPr>
          <w:sz w:val="20"/>
        </w:rPr>
        <w:t xml:space="preserve"> (gènes de l’immunocompétence)</w:t>
      </w:r>
    </w:p>
    <w:p w:rsidR="00514432" w:rsidRDefault="00514432" w:rsidP="00514432">
      <w:pPr>
        <w:pStyle w:val="Paragraphedeliste"/>
        <w:numPr>
          <w:ilvl w:val="1"/>
          <w:numId w:val="3"/>
        </w:numPr>
        <w:spacing w:after="0"/>
        <w:jc w:val="both"/>
        <w:rPr>
          <w:sz w:val="20"/>
        </w:rPr>
      </w:pPr>
      <w:r>
        <w:rPr>
          <w:sz w:val="20"/>
        </w:rPr>
        <w:t>DT1 : 10% de cas familiaux</w:t>
      </w:r>
    </w:p>
    <w:p w:rsidR="00514432" w:rsidRDefault="00514432" w:rsidP="00514432">
      <w:pPr>
        <w:pStyle w:val="Paragraphedeliste"/>
        <w:numPr>
          <w:ilvl w:val="1"/>
          <w:numId w:val="3"/>
        </w:numPr>
        <w:spacing w:after="0"/>
        <w:jc w:val="both"/>
        <w:rPr>
          <w:sz w:val="20"/>
        </w:rPr>
      </w:pPr>
      <w:r>
        <w:rPr>
          <w:sz w:val="20"/>
        </w:rPr>
        <w:t>Jumeaux monozygotes : 30% de concordance (dans les 5ans)</w:t>
      </w:r>
    </w:p>
    <w:p w:rsidR="00514432" w:rsidRDefault="00514432" w:rsidP="00514432">
      <w:pPr>
        <w:pStyle w:val="Paragraphedeliste"/>
        <w:numPr>
          <w:ilvl w:val="1"/>
          <w:numId w:val="3"/>
        </w:numPr>
        <w:spacing w:after="0"/>
        <w:jc w:val="both"/>
        <w:rPr>
          <w:sz w:val="20"/>
        </w:rPr>
      </w:pPr>
      <w:r>
        <w:rPr>
          <w:sz w:val="20"/>
        </w:rPr>
        <w:t>Gènes de susceptibilité : favorisent la réaction auo-immune</w:t>
      </w:r>
    </w:p>
    <w:p w:rsidR="00514432" w:rsidRDefault="00514432" w:rsidP="00514432">
      <w:pPr>
        <w:pStyle w:val="Paragraphedeliste"/>
        <w:numPr>
          <w:ilvl w:val="2"/>
          <w:numId w:val="3"/>
        </w:numPr>
        <w:spacing w:after="0"/>
        <w:jc w:val="both"/>
        <w:rPr>
          <w:sz w:val="20"/>
        </w:rPr>
      </w:pPr>
      <w:r>
        <w:rPr>
          <w:sz w:val="20"/>
        </w:rPr>
        <w:t>20 loci</w:t>
      </w:r>
    </w:p>
    <w:p w:rsidR="00514432" w:rsidRDefault="00514432" w:rsidP="00514432">
      <w:pPr>
        <w:pStyle w:val="Paragraphedeliste"/>
        <w:numPr>
          <w:ilvl w:val="2"/>
          <w:numId w:val="3"/>
        </w:numPr>
        <w:spacing w:after="0"/>
        <w:jc w:val="both"/>
        <w:rPr>
          <w:sz w:val="20"/>
        </w:rPr>
      </w:pPr>
      <w:r>
        <w:rPr>
          <w:sz w:val="20"/>
        </w:rPr>
        <w:t>Le + fort se situe dans la région HLA (95% des DT1 sont DR3 ou DR4)</w:t>
      </w:r>
    </w:p>
    <w:p w:rsidR="00514432" w:rsidRPr="005C3398" w:rsidRDefault="00514432" w:rsidP="00930A96">
      <w:pPr>
        <w:pStyle w:val="Paragraphedeliste"/>
        <w:numPr>
          <w:ilvl w:val="0"/>
          <w:numId w:val="3"/>
        </w:numPr>
        <w:spacing w:after="0"/>
        <w:jc w:val="both"/>
        <w:rPr>
          <w:b/>
          <w:sz w:val="20"/>
        </w:rPr>
      </w:pPr>
      <w:r w:rsidRPr="005C3398">
        <w:rPr>
          <w:b/>
          <w:sz w:val="20"/>
        </w:rPr>
        <w:t>Rôle de l’environnement : facteurs déclenchants</w:t>
      </w:r>
    </w:p>
    <w:p w:rsidR="00514432" w:rsidRDefault="00514432" w:rsidP="00514432">
      <w:pPr>
        <w:pStyle w:val="Paragraphedeliste"/>
        <w:numPr>
          <w:ilvl w:val="1"/>
          <w:numId w:val="3"/>
        </w:numPr>
        <w:spacing w:after="0"/>
        <w:jc w:val="both"/>
        <w:rPr>
          <w:sz w:val="20"/>
        </w:rPr>
      </w:pPr>
      <w:r>
        <w:rPr>
          <w:sz w:val="20"/>
        </w:rPr>
        <w:t>Histoire naturelle : conflit immunologique (phase silencieuse = pré-DT1), le diabète survient ap 90% de destruction des cellules B</w:t>
      </w:r>
    </w:p>
    <w:p w:rsidR="00514432" w:rsidRDefault="00514432" w:rsidP="00514432">
      <w:pPr>
        <w:pStyle w:val="Paragraphedeliste"/>
        <w:numPr>
          <w:ilvl w:val="1"/>
          <w:numId w:val="3"/>
        </w:numPr>
        <w:spacing w:after="0"/>
        <w:jc w:val="both"/>
        <w:rPr>
          <w:sz w:val="20"/>
        </w:rPr>
      </w:pPr>
      <w:r>
        <w:rPr>
          <w:sz w:val="20"/>
        </w:rPr>
        <w:t>Qu’est-ce qui déclenche la réaction auto-immune ?</w:t>
      </w:r>
    </w:p>
    <w:p w:rsidR="00514432" w:rsidRDefault="00514432" w:rsidP="00514432">
      <w:pPr>
        <w:pStyle w:val="Paragraphedeliste"/>
        <w:numPr>
          <w:ilvl w:val="2"/>
          <w:numId w:val="3"/>
        </w:numPr>
        <w:spacing w:after="0"/>
        <w:jc w:val="both"/>
        <w:rPr>
          <w:sz w:val="20"/>
        </w:rPr>
      </w:pPr>
      <w:r>
        <w:rPr>
          <w:sz w:val="20"/>
        </w:rPr>
        <w:t>Virus, mycobactéries, toxiques, polluants, nutrition</w:t>
      </w:r>
      <w:r w:rsidR="005C3398">
        <w:rPr>
          <w:sz w:val="20"/>
        </w:rPr>
        <w:t xml:space="preserve"> (allaitement au lait de vache), climat (gradient nord-sud en Europe pour toutes les MAI)</w:t>
      </w:r>
    </w:p>
    <w:p w:rsidR="005C3398" w:rsidRPr="005C3398" w:rsidRDefault="005C3398" w:rsidP="005C3398">
      <w:pPr>
        <w:spacing w:after="0"/>
        <w:jc w:val="both"/>
        <w:rPr>
          <w:b/>
          <w:color w:val="0000FF"/>
          <w:sz w:val="20"/>
        </w:rPr>
      </w:pPr>
    </w:p>
    <w:p w:rsidR="005C3398" w:rsidRPr="005C3398" w:rsidRDefault="005C3398" w:rsidP="005C3398">
      <w:pPr>
        <w:pStyle w:val="Paragraphedeliste"/>
        <w:numPr>
          <w:ilvl w:val="0"/>
          <w:numId w:val="4"/>
        </w:numPr>
        <w:spacing w:after="0"/>
        <w:jc w:val="both"/>
        <w:rPr>
          <w:b/>
          <w:color w:val="0000FF"/>
          <w:sz w:val="20"/>
        </w:rPr>
      </w:pPr>
      <w:r w:rsidRPr="005C3398">
        <w:rPr>
          <w:b/>
          <w:color w:val="0000FF"/>
          <w:sz w:val="20"/>
        </w:rPr>
        <w:t>Impact thérapeutique</w:t>
      </w:r>
    </w:p>
    <w:p w:rsidR="005C3398" w:rsidRPr="00DA75DE" w:rsidRDefault="005C3398" w:rsidP="00DA75DE">
      <w:pPr>
        <w:spacing w:after="0"/>
        <w:jc w:val="both"/>
        <w:rPr>
          <w:b/>
          <w:sz w:val="20"/>
        </w:rPr>
      </w:pPr>
      <w:r w:rsidRPr="005C3398">
        <w:rPr>
          <w:b/>
          <w:sz w:val="20"/>
        </w:rPr>
        <w:t>Trt immuno-modulateurs</w:t>
      </w:r>
      <w:r w:rsidR="00DA75DE">
        <w:rPr>
          <w:b/>
          <w:sz w:val="20"/>
        </w:rPr>
        <w:t xml:space="preserve"> : </w:t>
      </w:r>
      <w:r w:rsidR="00DA75DE" w:rsidRPr="00DA75DE">
        <w:rPr>
          <w:sz w:val="20"/>
        </w:rPr>
        <w:t>v</w:t>
      </w:r>
      <w:r w:rsidRPr="00DA75DE">
        <w:rPr>
          <w:sz w:val="20"/>
        </w:rPr>
        <w:t>isent à bloquer la réaction AI avant qu’elle n’atteigne son terme</w:t>
      </w:r>
      <w:r w:rsidR="00DA75DE">
        <w:rPr>
          <w:sz w:val="20"/>
        </w:rPr>
        <w:t xml:space="preserve"> MAIS</w:t>
      </w:r>
      <w:r w:rsidR="00DA75DE">
        <w:rPr>
          <w:b/>
          <w:sz w:val="20"/>
        </w:rPr>
        <w:t xml:space="preserve"> r</w:t>
      </w:r>
      <w:r w:rsidRPr="00DA75DE">
        <w:rPr>
          <w:sz w:val="20"/>
        </w:rPr>
        <w:t>equier</w:t>
      </w:r>
      <w:r w:rsidR="00DA75DE">
        <w:rPr>
          <w:sz w:val="20"/>
        </w:rPr>
        <w:t>en</w:t>
      </w:r>
      <w:r w:rsidRPr="00DA75DE">
        <w:rPr>
          <w:sz w:val="20"/>
        </w:rPr>
        <w:t>t un dépistage des préDT1</w:t>
      </w:r>
      <w:r w:rsidR="00DA75DE">
        <w:rPr>
          <w:sz w:val="20"/>
        </w:rPr>
        <w:t>.</w:t>
      </w:r>
      <w:r w:rsidR="00DA75DE">
        <w:rPr>
          <w:b/>
          <w:sz w:val="20"/>
        </w:rPr>
        <w:t xml:space="preserve"> </w:t>
      </w:r>
      <w:r w:rsidRPr="00DA75DE">
        <w:rPr>
          <w:sz w:val="20"/>
        </w:rPr>
        <w:t>Diverses tentatives, non encore fructueuses</w:t>
      </w:r>
    </w:p>
    <w:p w:rsidR="00514432" w:rsidRPr="00514432" w:rsidRDefault="00514432" w:rsidP="00514432">
      <w:pPr>
        <w:spacing w:after="0"/>
        <w:jc w:val="both"/>
        <w:rPr>
          <w:sz w:val="20"/>
        </w:rPr>
      </w:pPr>
    </w:p>
    <w:p w:rsidR="005C725F" w:rsidRPr="005C725F" w:rsidRDefault="005C725F" w:rsidP="005C725F">
      <w:pPr>
        <w:spacing w:after="0"/>
        <w:jc w:val="both"/>
        <w:rPr>
          <w:sz w:val="20"/>
        </w:rPr>
      </w:pPr>
    </w:p>
    <w:p w:rsidR="005C725F" w:rsidRPr="005C725F" w:rsidRDefault="005C3398" w:rsidP="005C725F">
      <w:pPr>
        <w:pStyle w:val="Paragraphedeliste"/>
        <w:numPr>
          <w:ilvl w:val="0"/>
          <w:numId w:val="1"/>
        </w:numPr>
        <w:spacing w:after="0"/>
        <w:jc w:val="both"/>
        <w:rPr>
          <w:b/>
          <w:color w:val="FF0000"/>
          <w:sz w:val="20"/>
        </w:rPr>
      </w:pPr>
      <w:r>
        <w:rPr>
          <w:b/>
          <w:color w:val="FF0000"/>
          <w:sz w:val="20"/>
        </w:rPr>
        <w:t>D</w:t>
      </w:r>
      <w:r w:rsidR="005C725F" w:rsidRPr="005C725F">
        <w:rPr>
          <w:b/>
          <w:color w:val="FF0000"/>
          <w:sz w:val="20"/>
        </w:rPr>
        <w:t>iabète de type 2</w:t>
      </w:r>
    </w:p>
    <w:p w:rsidR="005C725F" w:rsidRDefault="005C725F" w:rsidP="005C725F">
      <w:pPr>
        <w:spacing w:after="0"/>
        <w:jc w:val="both"/>
        <w:rPr>
          <w:sz w:val="20"/>
        </w:rPr>
      </w:pPr>
    </w:p>
    <w:p w:rsidR="005C3398" w:rsidRPr="005C3398" w:rsidRDefault="005C3398" w:rsidP="005C3398">
      <w:pPr>
        <w:pStyle w:val="Paragraphedeliste"/>
        <w:numPr>
          <w:ilvl w:val="0"/>
          <w:numId w:val="5"/>
        </w:numPr>
        <w:spacing w:after="0"/>
        <w:jc w:val="both"/>
        <w:rPr>
          <w:b/>
          <w:color w:val="0000FF"/>
          <w:sz w:val="20"/>
        </w:rPr>
      </w:pPr>
      <w:r w:rsidRPr="005C3398">
        <w:rPr>
          <w:b/>
          <w:color w:val="0000FF"/>
          <w:sz w:val="20"/>
        </w:rPr>
        <w:t>Physiopathologie</w:t>
      </w:r>
    </w:p>
    <w:p w:rsidR="005C3398" w:rsidRDefault="005C3398" w:rsidP="005C3398">
      <w:pPr>
        <w:spacing w:after="0"/>
        <w:jc w:val="both"/>
        <w:rPr>
          <w:sz w:val="20"/>
        </w:rPr>
      </w:pPr>
      <w:r w:rsidRPr="005C3398">
        <w:rPr>
          <w:b/>
          <w:sz w:val="20"/>
        </w:rPr>
        <w:t>Anomalies de l’insulinosécrétion :</w:t>
      </w:r>
      <w:r>
        <w:rPr>
          <w:b/>
          <w:sz w:val="20"/>
        </w:rPr>
        <w:t xml:space="preserve"> </w:t>
      </w:r>
    </w:p>
    <w:p w:rsidR="005C3398" w:rsidRDefault="005C3398" w:rsidP="005C3398">
      <w:pPr>
        <w:pStyle w:val="Paragraphedeliste"/>
        <w:numPr>
          <w:ilvl w:val="0"/>
          <w:numId w:val="6"/>
        </w:numPr>
        <w:spacing w:after="0"/>
        <w:jc w:val="both"/>
        <w:rPr>
          <w:sz w:val="20"/>
        </w:rPr>
      </w:pPr>
      <w:r>
        <w:rPr>
          <w:sz w:val="20"/>
        </w:rPr>
        <w:t>Rappels physio : stimuli-physiologiques = nutriments (glucose, glycérol, aa), hormones (GLP1 et GIP), neuromédiateurs (ACh)</w:t>
      </w:r>
    </w:p>
    <w:p w:rsidR="005C3398" w:rsidRDefault="005C3398" w:rsidP="005C3398">
      <w:pPr>
        <w:pStyle w:val="Paragraphedeliste"/>
        <w:numPr>
          <w:ilvl w:val="0"/>
          <w:numId w:val="7"/>
        </w:numPr>
        <w:spacing w:after="0"/>
        <w:ind w:left="1985"/>
        <w:jc w:val="both"/>
        <w:rPr>
          <w:sz w:val="20"/>
        </w:rPr>
      </w:pPr>
      <w:r>
        <w:rPr>
          <w:sz w:val="20"/>
        </w:rPr>
        <w:t>Phase précoce : petit relargage au début du repas</w:t>
      </w:r>
    </w:p>
    <w:p w:rsidR="005C3398" w:rsidRDefault="005C3398" w:rsidP="005C3398">
      <w:pPr>
        <w:pStyle w:val="Paragraphedeliste"/>
        <w:numPr>
          <w:ilvl w:val="0"/>
          <w:numId w:val="7"/>
        </w:numPr>
        <w:spacing w:after="0"/>
        <w:ind w:left="1985"/>
        <w:jc w:val="both"/>
        <w:rPr>
          <w:sz w:val="20"/>
        </w:rPr>
      </w:pPr>
      <w:r>
        <w:rPr>
          <w:sz w:val="20"/>
        </w:rPr>
        <w:t>Phase proportionnelle à la quantité de nourriture ingérée</w:t>
      </w:r>
    </w:p>
    <w:p w:rsidR="005C3398" w:rsidRDefault="005C3398" w:rsidP="005C3398">
      <w:pPr>
        <w:pStyle w:val="Paragraphedeliste"/>
        <w:numPr>
          <w:ilvl w:val="0"/>
          <w:numId w:val="6"/>
        </w:numPr>
        <w:spacing w:after="0"/>
        <w:jc w:val="both"/>
        <w:rPr>
          <w:sz w:val="20"/>
        </w:rPr>
      </w:pPr>
      <w:r>
        <w:rPr>
          <w:sz w:val="20"/>
        </w:rPr>
        <w:t>Perturbations dans le DT2</w:t>
      </w:r>
      <w:r w:rsidR="00B718DF">
        <w:rPr>
          <w:sz w:val="20"/>
        </w:rPr>
        <w:t xml:space="preserve"> (question +++)</w:t>
      </w:r>
    </w:p>
    <w:p w:rsidR="005C3398" w:rsidRDefault="005C3398" w:rsidP="005C3398">
      <w:pPr>
        <w:pStyle w:val="Paragraphedeliste"/>
        <w:numPr>
          <w:ilvl w:val="1"/>
          <w:numId w:val="6"/>
        </w:numPr>
        <w:spacing w:after="0"/>
        <w:jc w:val="both"/>
        <w:rPr>
          <w:sz w:val="20"/>
        </w:rPr>
      </w:pPr>
      <w:r>
        <w:rPr>
          <w:sz w:val="20"/>
        </w:rPr>
        <w:t>Abolition de la 1</w:t>
      </w:r>
      <w:r w:rsidRPr="005C3398">
        <w:rPr>
          <w:sz w:val="20"/>
          <w:vertAlign w:val="superscript"/>
        </w:rPr>
        <w:t>ère</w:t>
      </w:r>
      <w:r>
        <w:rPr>
          <w:sz w:val="20"/>
        </w:rPr>
        <w:t xml:space="preserve"> phase :</w:t>
      </w:r>
      <w:r w:rsidR="00B718DF">
        <w:rPr>
          <w:sz w:val="20"/>
        </w:rPr>
        <w:t xml:space="preserve"> la 2</w:t>
      </w:r>
      <w:r w:rsidR="00B718DF" w:rsidRPr="00B718DF">
        <w:rPr>
          <w:sz w:val="20"/>
          <w:vertAlign w:val="superscript"/>
        </w:rPr>
        <w:t>e</w:t>
      </w:r>
      <w:r w:rsidR="00B718DF">
        <w:rPr>
          <w:sz w:val="20"/>
        </w:rPr>
        <w:t xml:space="preserve"> phase devra être plus importante</w:t>
      </w:r>
    </w:p>
    <w:p w:rsidR="00B718DF" w:rsidRDefault="00B718DF" w:rsidP="005C3398">
      <w:pPr>
        <w:pStyle w:val="Paragraphedeliste"/>
        <w:numPr>
          <w:ilvl w:val="1"/>
          <w:numId w:val="6"/>
        </w:numPr>
        <w:spacing w:after="0"/>
        <w:jc w:val="both"/>
        <w:rPr>
          <w:sz w:val="20"/>
        </w:rPr>
      </w:pPr>
      <w:r>
        <w:rPr>
          <w:sz w:val="20"/>
        </w:rPr>
        <w:t>Abolition de la pulsatilité</w:t>
      </w:r>
    </w:p>
    <w:p w:rsidR="00B718DF" w:rsidRDefault="00B718DF" w:rsidP="005C3398">
      <w:pPr>
        <w:pStyle w:val="Paragraphedeliste"/>
        <w:numPr>
          <w:ilvl w:val="1"/>
          <w:numId w:val="6"/>
        </w:numPr>
        <w:spacing w:after="0"/>
        <w:jc w:val="both"/>
        <w:rPr>
          <w:sz w:val="20"/>
        </w:rPr>
      </w:pPr>
      <w:r>
        <w:rPr>
          <w:sz w:val="20"/>
        </w:rPr>
        <w:t>Désensibilisation spécifique au stimulus glucose (stade + avané) mais répond aux autres stimuli (on peut en injecter certains comme M)</w:t>
      </w:r>
    </w:p>
    <w:p w:rsidR="00B718DF" w:rsidRPr="005C3398" w:rsidRDefault="00B718DF" w:rsidP="005C3398">
      <w:pPr>
        <w:pStyle w:val="Paragraphedeliste"/>
        <w:numPr>
          <w:ilvl w:val="1"/>
          <w:numId w:val="6"/>
        </w:numPr>
        <w:spacing w:after="0"/>
        <w:jc w:val="both"/>
        <w:rPr>
          <w:sz w:val="20"/>
        </w:rPr>
      </w:pPr>
      <w:r>
        <w:rPr>
          <w:sz w:val="20"/>
        </w:rPr>
        <w:t>Anomalie qualitative : pourcentage élevé de précurseurs (anomalies de maturation)</w:t>
      </w:r>
    </w:p>
    <w:p w:rsidR="005C3398" w:rsidRDefault="005C3398" w:rsidP="005C3398">
      <w:pPr>
        <w:spacing w:after="0"/>
        <w:jc w:val="both"/>
        <w:rPr>
          <w:sz w:val="20"/>
        </w:rPr>
      </w:pPr>
      <w:r w:rsidRPr="00B718DF">
        <w:rPr>
          <w:b/>
          <w:sz w:val="20"/>
        </w:rPr>
        <w:t>Insulino-résistance :</w:t>
      </w:r>
    </w:p>
    <w:p w:rsidR="00B718DF" w:rsidRDefault="00B718DF" w:rsidP="00B718DF">
      <w:pPr>
        <w:pStyle w:val="Paragraphedeliste"/>
        <w:numPr>
          <w:ilvl w:val="0"/>
          <w:numId w:val="6"/>
        </w:numPr>
        <w:spacing w:after="0"/>
        <w:jc w:val="both"/>
        <w:rPr>
          <w:sz w:val="20"/>
        </w:rPr>
      </w:pPr>
      <w:r>
        <w:rPr>
          <w:sz w:val="20"/>
        </w:rPr>
        <w:t>IR = état de l’organisme pour lequel la réponse biologique pour une concentration physio d’insuline est diminuée. Cette résistance est compensée par la cellule B en augmentant la sécrétion d’insuline. Avec l’âge, la cellule B n’arrive plus à compenser =&gt; apparition du DT2</w:t>
      </w:r>
    </w:p>
    <w:p w:rsidR="00B6327F" w:rsidRDefault="00B718DF" w:rsidP="00B718DF">
      <w:pPr>
        <w:pStyle w:val="Paragraphedeliste"/>
        <w:numPr>
          <w:ilvl w:val="0"/>
          <w:numId w:val="6"/>
        </w:numPr>
        <w:spacing w:after="0"/>
        <w:jc w:val="both"/>
        <w:rPr>
          <w:sz w:val="20"/>
        </w:rPr>
      </w:pPr>
      <w:r>
        <w:rPr>
          <w:sz w:val="20"/>
        </w:rPr>
        <w:t xml:space="preserve">A l’échelon de l’organisme : </w:t>
      </w:r>
    </w:p>
    <w:p w:rsidR="00B718DF" w:rsidRDefault="00B6327F" w:rsidP="00B6327F">
      <w:pPr>
        <w:pStyle w:val="Paragraphedeliste"/>
        <w:numPr>
          <w:ilvl w:val="1"/>
          <w:numId w:val="6"/>
        </w:numPr>
        <w:spacing w:after="0"/>
        <w:jc w:val="both"/>
        <w:rPr>
          <w:sz w:val="20"/>
        </w:rPr>
      </w:pPr>
      <w:r>
        <w:rPr>
          <w:sz w:val="20"/>
        </w:rPr>
        <w:t>c’est essentiellement le muscle qui consomme moins de glucose</w:t>
      </w:r>
      <w:r w:rsidR="00156F04">
        <w:rPr>
          <w:sz w:val="20"/>
        </w:rPr>
        <w:t xml:space="preserve"> =&gt; IR musculaire</w:t>
      </w:r>
    </w:p>
    <w:p w:rsidR="00B6327F" w:rsidRDefault="00B6327F" w:rsidP="00B6327F">
      <w:pPr>
        <w:pStyle w:val="Paragraphedeliste"/>
        <w:numPr>
          <w:ilvl w:val="1"/>
          <w:numId w:val="6"/>
        </w:numPr>
        <w:spacing w:after="0"/>
        <w:jc w:val="both"/>
        <w:rPr>
          <w:sz w:val="20"/>
        </w:rPr>
      </w:pPr>
      <w:r>
        <w:rPr>
          <w:sz w:val="20"/>
        </w:rPr>
        <w:lastRenderedPageBreak/>
        <w:t>D</w:t>
      </w:r>
      <w:r w:rsidR="006061AD">
        <w:rPr>
          <w:sz w:val="20"/>
        </w:rPr>
        <w:t>GH diminue p/r à un sujet normal</w:t>
      </w:r>
      <w:r>
        <w:rPr>
          <w:sz w:val="20"/>
        </w:rPr>
        <w:t xml:space="preserve"> </w:t>
      </w:r>
      <w:r w:rsidR="00156F04">
        <w:rPr>
          <w:sz w:val="20"/>
        </w:rPr>
        <w:t>pour une même concentration plasmatique d’insuline =&gt; IR hépatique</w:t>
      </w:r>
    </w:p>
    <w:p w:rsidR="00156F04" w:rsidRDefault="00156F04" w:rsidP="00B6327F">
      <w:pPr>
        <w:pStyle w:val="Paragraphedeliste"/>
        <w:numPr>
          <w:ilvl w:val="1"/>
          <w:numId w:val="6"/>
        </w:numPr>
        <w:spacing w:after="0"/>
        <w:jc w:val="both"/>
        <w:rPr>
          <w:sz w:val="20"/>
        </w:rPr>
      </w:pPr>
      <w:r>
        <w:rPr>
          <w:sz w:val="20"/>
        </w:rPr>
        <w:t>La captation du glucose par le foie n’est pas altérée chez le DT2 (car l’insuline ne la régule pas)</w:t>
      </w:r>
    </w:p>
    <w:p w:rsidR="00156F04" w:rsidRDefault="00156F04" w:rsidP="00156F04">
      <w:pPr>
        <w:pStyle w:val="Paragraphedeliste"/>
        <w:numPr>
          <w:ilvl w:val="0"/>
          <w:numId w:val="6"/>
        </w:numPr>
        <w:spacing w:after="0"/>
        <w:jc w:val="both"/>
        <w:rPr>
          <w:sz w:val="20"/>
        </w:rPr>
      </w:pPr>
      <w:r>
        <w:rPr>
          <w:sz w:val="20"/>
        </w:rPr>
        <w:t>A l’échelon cellulaire :</w:t>
      </w:r>
    </w:p>
    <w:p w:rsidR="00156F04" w:rsidRDefault="00156F04" w:rsidP="00156F04">
      <w:pPr>
        <w:pStyle w:val="Paragraphedeliste"/>
        <w:numPr>
          <w:ilvl w:val="1"/>
          <w:numId w:val="6"/>
        </w:numPr>
        <w:spacing w:after="0"/>
        <w:jc w:val="both"/>
        <w:rPr>
          <w:sz w:val="20"/>
        </w:rPr>
      </w:pPr>
      <w:r>
        <w:rPr>
          <w:sz w:val="20"/>
        </w:rPr>
        <w:t>Récepteur de l’insuline déficient : très rare</w:t>
      </w:r>
    </w:p>
    <w:p w:rsidR="00156F04" w:rsidRDefault="00156F04" w:rsidP="00156F04">
      <w:pPr>
        <w:pStyle w:val="Paragraphedeliste"/>
        <w:numPr>
          <w:ilvl w:val="1"/>
          <w:numId w:val="6"/>
        </w:numPr>
        <w:spacing w:after="0"/>
        <w:jc w:val="both"/>
        <w:rPr>
          <w:sz w:val="20"/>
        </w:rPr>
      </w:pPr>
      <w:r>
        <w:rPr>
          <w:sz w:val="20"/>
        </w:rPr>
        <w:t>Signalisation IC : le + fqt</w:t>
      </w:r>
    </w:p>
    <w:p w:rsidR="00907233" w:rsidRPr="00AA51BA" w:rsidRDefault="00156F04" w:rsidP="005C3398">
      <w:pPr>
        <w:pStyle w:val="Paragraphedeliste"/>
        <w:numPr>
          <w:ilvl w:val="1"/>
          <w:numId w:val="6"/>
        </w:numPr>
        <w:spacing w:after="0"/>
        <w:jc w:val="both"/>
        <w:rPr>
          <w:sz w:val="20"/>
        </w:rPr>
      </w:pPr>
      <w:r>
        <w:rPr>
          <w:sz w:val="20"/>
        </w:rPr>
        <w:t xml:space="preserve">Effecteur final déficient : GLUT4, c’est </w:t>
      </w:r>
      <w:r w:rsidR="00907233">
        <w:rPr>
          <w:sz w:val="20"/>
        </w:rPr>
        <w:t>+</w:t>
      </w:r>
      <w:r>
        <w:rPr>
          <w:sz w:val="20"/>
        </w:rPr>
        <w:t xml:space="preserve"> une anomalie de la translocation que du GLUT lui-même</w:t>
      </w:r>
    </w:p>
    <w:p w:rsidR="00B718DF" w:rsidRDefault="00907233" w:rsidP="005C3398">
      <w:pPr>
        <w:spacing w:after="0"/>
        <w:jc w:val="both"/>
        <w:rPr>
          <w:sz w:val="20"/>
        </w:rPr>
      </w:pPr>
      <w:r>
        <w:rPr>
          <w:sz w:val="20"/>
        </w:rPr>
        <w:t>AMPLIFICATION :</w:t>
      </w:r>
    </w:p>
    <w:p w:rsidR="00156F04" w:rsidRDefault="00156F04" w:rsidP="005C3398">
      <w:pPr>
        <w:spacing w:after="0"/>
        <w:jc w:val="both"/>
        <w:rPr>
          <w:sz w:val="20"/>
        </w:rPr>
      </w:pPr>
      <w:r w:rsidRPr="00156F04">
        <w:rPr>
          <w:b/>
          <w:sz w:val="20"/>
        </w:rPr>
        <w:t>Glucotoxicité :</w:t>
      </w:r>
      <w:r>
        <w:rPr>
          <w:sz w:val="20"/>
        </w:rPr>
        <w:t xml:space="preserve"> </w:t>
      </w:r>
      <w:r w:rsidR="00907233">
        <w:rPr>
          <w:sz w:val="20"/>
        </w:rPr>
        <w:t>si on maintient le taux de glucose élevé =&gt; la cellule B s’épuise =&gt; effet inhibiteur</w:t>
      </w:r>
    </w:p>
    <w:p w:rsidR="00907233" w:rsidRPr="00907233" w:rsidRDefault="00907233" w:rsidP="005C3398">
      <w:pPr>
        <w:spacing w:after="0"/>
        <w:jc w:val="both"/>
        <w:rPr>
          <w:sz w:val="20"/>
        </w:rPr>
      </w:pPr>
      <w:r>
        <w:rPr>
          <w:b/>
          <w:sz w:val="20"/>
        </w:rPr>
        <w:t>Lipotoxicité :</w:t>
      </w:r>
      <w:r>
        <w:rPr>
          <w:sz w:val="20"/>
        </w:rPr>
        <w:t xml:space="preserve"> insuline marche moins bien =&gt; liposynthèse se fait moins bien, AGL dans le sang qui vont entrer en compétition avec le glucose au niv de l’utilisation en tant que substrat énergétique</w:t>
      </w:r>
    </w:p>
    <w:p w:rsidR="00156F04" w:rsidRDefault="00156F04" w:rsidP="005C3398">
      <w:pPr>
        <w:spacing w:after="0"/>
        <w:jc w:val="both"/>
        <w:rPr>
          <w:sz w:val="20"/>
        </w:rPr>
      </w:pPr>
    </w:p>
    <w:p w:rsidR="00156F04" w:rsidRPr="00B718DF" w:rsidRDefault="00156F04" w:rsidP="005C3398">
      <w:pPr>
        <w:spacing w:after="0"/>
        <w:jc w:val="both"/>
        <w:rPr>
          <w:sz w:val="20"/>
        </w:rPr>
      </w:pPr>
    </w:p>
    <w:p w:rsidR="005C3398" w:rsidRPr="005C3398" w:rsidRDefault="005C3398" w:rsidP="005C3398">
      <w:pPr>
        <w:pStyle w:val="Paragraphedeliste"/>
        <w:numPr>
          <w:ilvl w:val="0"/>
          <w:numId w:val="5"/>
        </w:numPr>
        <w:spacing w:after="0"/>
        <w:jc w:val="both"/>
        <w:rPr>
          <w:b/>
          <w:color w:val="0000FF"/>
          <w:sz w:val="20"/>
        </w:rPr>
      </w:pPr>
      <w:r w:rsidRPr="005C3398">
        <w:rPr>
          <w:b/>
          <w:color w:val="0000FF"/>
          <w:sz w:val="20"/>
        </w:rPr>
        <w:t>Etiopathogénie</w:t>
      </w:r>
    </w:p>
    <w:p w:rsidR="005C3398" w:rsidRPr="00907233" w:rsidRDefault="005C3398" w:rsidP="005C3398">
      <w:pPr>
        <w:spacing w:after="0"/>
        <w:jc w:val="both"/>
        <w:rPr>
          <w:b/>
          <w:sz w:val="20"/>
        </w:rPr>
      </w:pPr>
      <w:r w:rsidRPr="00907233">
        <w:rPr>
          <w:b/>
          <w:sz w:val="20"/>
        </w:rPr>
        <w:t>Eléments génétiques :</w:t>
      </w:r>
      <w:r w:rsidR="00907233" w:rsidRPr="00907233">
        <w:rPr>
          <w:b/>
          <w:sz w:val="20"/>
        </w:rPr>
        <w:t xml:space="preserve"> </w:t>
      </w:r>
    </w:p>
    <w:p w:rsidR="00907233" w:rsidRDefault="00907233" w:rsidP="00907233">
      <w:pPr>
        <w:pStyle w:val="Paragraphedeliste"/>
        <w:numPr>
          <w:ilvl w:val="0"/>
          <w:numId w:val="3"/>
        </w:numPr>
        <w:spacing w:after="0"/>
        <w:jc w:val="both"/>
        <w:rPr>
          <w:sz w:val="20"/>
        </w:rPr>
      </w:pPr>
      <w:r>
        <w:rPr>
          <w:sz w:val="20"/>
        </w:rPr>
        <w:t>Anomalies de structures = rarissimes</w:t>
      </w:r>
    </w:p>
    <w:p w:rsidR="00907233" w:rsidRDefault="00907233" w:rsidP="00907233">
      <w:pPr>
        <w:pStyle w:val="Paragraphedeliste"/>
        <w:numPr>
          <w:ilvl w:val="0"/>
          <w:numId w:val="3"/>
        </w:numPr>
        <w:spacing w:after="0"/>
        <w:jc w:val="both"/>
        <w:rPr>
          <w:sz w:val="20"/>
        </w:rPr>
      </w:pPr>
      <w:r>
        <w:rPr>
          <w:sz w:val="20"/>
        </w:rPr>
        <w:t>Anomalies fonctionnelles probables :</w:t>
      </w:r>
    </w:p>
    <w:p w:rsidR="00907233" w:rsidRDefault="00907233" w:rsidP="00907233">
      <w:pPr>
        <w:pStyle w:val="Paragraphedeliste"/>
        <w:numPr>
          <w:ilvl w:val="1"/>
          <w:numId w:val="3"/>
        </w:numPr>
        <w:spacing w:after="0"/>
        <w:jc w:val="both"/>
        <w:rPr>
          <w:sz w:val="20"/>
        </w:rPr>
      </w:pPr>
      <w:r>
        <w:rPr>
          <w:sz w:val="20"/>
        </w:rPr>
        <w:t>Exemple des diabètes monogéniques : MODY (transmission autosomique dominante)</w:t>
      </w:r>
    </w:p>
    <w:p w:rsidR="00907233" w:rsidRDefault="00907233" w:rsidP="00907233">
      <w:pPr>
        <w:pStyle w:val="Paragraphedeliste"/>
        <w:numPr>
          <w:ilvl w:val="1"/>
          <w:numId w:val="3"/>
        </w:numPr>
        <w:spacing w:after="0"/>
        <w:jc w:val="both"/>
        <w:rPr>
          <w:sz w:val="20"/>
        </w:rPr>
      </w:pPr>
      <w:r>
        <w:rPr>
          <w:sz w:val="20"/>
        </w:rPr>
        <w:t>Multigéniques pour la plupart du temps</w:t>
      </w:r>
    </w:p>
    <w:p w:rsidR="00907233" w:rsidRPr="00907233" w:rsidRDefault="00907233" w:rsidP="00907233">
      <w:pPr>
        <w:pStyle w:val="Paragraphedeliste"/>
        <w:numPr>
          <w:ilvl w:val="1"/>
          <w:numId w:val="3"/>
        </w:numPr>
        <w:spacing w:after="0"/>
        <w:jc w:val="both"/>
        <w:rPr>
          <w:sz w:val="20"/>
        </w:rPr>
      </w:pPr>
      <w:r>
        <w:rPr>
          <w:sz w:val="20"/>
        </w:rPr>
        <w:t>Soupçonnées mais non prouvées</w:t>
      </w:r>
    </w:p>
    <w:p w:rsidR="005C3398" w:rsidRPr="005C3398" w:rsidRDefault="005C3398" w:rsidP="005C3398">
      <w:pPr>
        <w:spacing w:after="0"/>
        <w:jc w:val="both"/>
        <w:rPr>
          <w:sz w:val="20"/>
        </w:rPr>
      </w:pPr>
      <w:r w:rsidRPr="00907233">
        <w:rPr>
          <w:b/>
          <w:sz w:val="20"/>
        </w:rPr>
        <w:t>Eléments d’environnement</w:t>
      </w:r>
      <w:r w:rsidR="00907233" w:rsidRPr="00907233">
        <w:rPr>
          <w:b/>
          <w:sz w:val="20"/>
        </w:rPr>
        <w:t> :</w:t>
      </w:r>
      <w:r w:rsidR="00907233">
        <w:rPr>
          <w:sz w:val="20"/>
        </w:rPr>
        <w:t xml:space="preserve"> </w:t>
      </w:r>
    </w:p>
    <w:p w:rsidR="005C725F" w:rsidRDefault="00907233" w:rsidP="00907233">
      <w:pPr>
        <w:pStyle w:val="Paragraphedeliste"/>
        <w:numPr>
          <w:ilvl w:val="0"/>
          <w:numId w:val="3"/>
        </w:numPr>
        <w:spacing w:after="0"/>
        <w:jc w:val="both"/>
        <w:rPr>
          <w:sz w:val="20"/>
        </w:rPr>
      </w:pPr>
      <w:r>
        <w:rPr>
          <w:sz w:val="20"/>
        </w:rPr>
        <w:t>Surpoids : surtout dans sa répartition abdominale, favorise la survenue de DT2 et d’affections CV</w:t>
      </w:r>
    </w:p>
    <w:p w:rsidR="00907233" w:rsidRPr="00907233" w:rsidRDefault="00E83A06" w:rsidP="00907233">
      <w:pPr>
        <w:pStyle w:val="Paragraphedeliste"/>
        <w:numPr>
          <w:ilvl w:val="0"/>
          <w:numId w:val="3"/>
        </w:numPr>
        <w:spacing w:after="0"/>
        <w:jc w:val="both"/>
        <w:rPr>
          <w:sz w:val="20"/>
        </w:rPr>
      </w:pPr>
      <w:r>
        <w:rPr>
          <w:sz w:val="20"/>
        </w:rPr>
        <w:t>Séden</w:t>
      </w:r>
      <w:r w:rsidR="00907233">
        <w:rPr>
          <w:sz w:val="20"/>
        </w:rPr>
        <w:t>tarité</w:t>
      </w:r>
      <w:r w:rsidR="00DA75DE">
        <w:rPr>
          <w:sz w:val="20"/>
        </w:rPr>
        <w:t xml:space="preserve"> (activité physique = protectrice)</w:t>
      </w:r>
    </w:p>
    <w:p w:rsidR="005C725F" w:rsidRPr="00DA75DE" w:rsidRDefault="00DA75DE" w:rsidP="00DA75DE">
      <w:pPr>
        <w:pStyle w:val="Paragraphedeliste"/>
        <w:numPr>
          <w:ilvl w:val="0"/>
          <w:numId w:val="8"/>
        </w:numPr>
        <w:spacing w:after="0"/>
        <w:jc w:val="both"/>
        <w:rPr>
          <w:sz w:val="20"/>
        </w:rPr>
      </w:pPr>
      <w:r>
        <w:rPr>
          <w:sz w:val="20"/>
        </w:rPr>
        <w:t>Mesures efficaces dans la prévention et dans le traitement</w:t>
      </w:r>
    </w:p>
    <w:p w:rsidR="005C725F" w:rsidRDefault="005C725F" w:rsidP="005C725F">
      <w:pPr>
        <w:spacing w:after="0"/>
        <w:jc w:val="both"/>
        <w:rPr>
          <w:sz w:val="20"/>
        </w:rPr>
      </w:pPr>
    </w:p>
    <w:p w:rsidR="00DA75DE" w:rsidRDefault="00DA75DE" w:rsidP="005C725F">
      <w:pPr>
        <w:spacing w:after="0"/>
        <w:jc w:val="both"/>
        <w:rPr>
          <w:sz w:val="20"/>
        </w:rPr>
      </w:pPr>
    </w:p>
    <w:p w:rsidR="00DA75DE" w:rsidRPr="00DA75DE" w:rsidRDefault="00DA75DE" w:rsidP="00DA75DE">
      <w:pPr>
        <w:pStyle w:val="Paragraphedeliste"/>
        <w:numPr>
          <w:ilvl w:val="0"/>
          <w:numId w:val="1"/>
        </w:numPr>
        <w:spacing w:after="0"/>
        <w:jc w:val="both"/>
        <w:rPr>
          <w:b/>
          <w:color w:val="FF0000"/>
          <w:sz w:val="20"/>
        </w:rPr>
      </w:pPr>
      <w:r w:rsidRPr="00DA75DE">
        <w:rPr>
          <w:b/>
          <w:color w:val="FF0000"/>
          <w:sz w:val="20"/>
        </w:rPr>
        <w:t>Complications (font la gravité du diabète)</w:t>
      </w:r>
    </w:p>
    <w:p w:rsidR="00DA75DE" w:rsidRDefault="00DA75DE" w:rsidP="00DA75DE">
      <w:pPr>
        <w:spacing w:after="0"/>
        <w:jc w:val="both"/>
        <w:rPr>
          <w:sz w:val="20"/>
        </w:rPr>
      </w:pPr>
    </w:p>
    <w:p w:rsidR="00DA75DE" w:rsidRPr="00DA75DE" w:rsidRDefault="00DA75DE" w:rsidP="00DA75DE">
      <w:pPr>
        <w:pStyle w:val="Paragraphedeliste"/>
        <w:numPr>
          <w:ilvl w:val="0"/>
          <w:numId w:val="9"/>
        </w:numPr>
        <w:spacing w:after="0"/>
        <w:jc w:val="both"/>
        <w:rPr>
          <w:b/>
          <w:color w:val="0000FF"/>
          <w:sz w:val="20"/>
        </w:rPr>
      </w:pPr>
      <w:r w:rsidRPr="00DA75DE">
        <w:rPr>
          <w:b/>
          <w:color w:val="0000FF"/>
          <w:sz w:val="20"/>
        </w:rPr>
        <w:t>Microangiopathie</w:t>
      </w:r>
    </w:p>
    <w:p w:rsidR="00DA75DE" w:rsidRDefault="00DA75DE" w:rsidP="00DA75DE">
      <w:pPr>
        <w:spacing w:after="0"/>
        <w:jc w:val="both"/>
        <w:rPr>
          <w:sz w:val="20"/>
        </w:rPr>
      </w:pPr>
      <w:r>
        <w:rPr>
          <w:sz w:val="20"/>
        </w:rPr>
        <w:t xml:space="preserve">Complication spécifique du diabète : atteinte des artérioles et des capillaires artériolaires. Exprimée surtout au niv de la rétine et du glomérule, car ces capillaires sont plus fragiles que les autres (ils ont physiologiquement la plus haute pression). </w:t>
      </w:r>
    </w:p>
    <w:p w:rsidR="00DA75DE" w:rsidRPr="00DA75DE" w:rsidRDefault="00DA75DE" w:rsidP="00DA75DE">
      <w:pPr>
        <w:spacing w:after="0"/>
        <w:jc w:val="both"/>
        <w:rPr>
          <w:sz w:val="20"/>
          <w:u w:val="single"/>
        </w:rPr>
      </w:pPr>
      <w:r w:rsidRPr="00DA75DE">
        <w:rPr>
          <w:sz w:val="20"/>
          <w:u w:val="single"/>
        </w:rPr>
        <w:t>Relations avec l’équilibre glycémique :</w:t>
      </w:r>
    </w:p>
    <w:p w:rsidR="00DA75DE" w:rsidRDefault="00DA75DE" w:rsidP="00DA75DE">
      <w:pPr>
        <w:pStyle w:val="Paragraphedeliste"/>
        <w:numPr>
          <w:ilvl w:val="0"/>
          <w:numId w:val="3"/>
        </w:numPr>
        <w:spacing w:after="0"/>
        <w:jc w:val="both"/>
        <w:rPr>
          <w:sz w:val="20"/>
        </w:rPr>
      </w:pPr>
      <w:r>
        <w:rPr>
          <w:sz w:val="20"/>
        </w:rPr>
        <w:t xml:space="preserve">DT1 : modèle d’hyperglycémie pure (pas d’obésité ni d’HTA…). </w:t>
      </w:r>
    </w:p>
    <w:p w:rsidR="00DA75DE" w:rsidRPr="007A4FC1" w:rsidRDefault="00DA75DE" w:rsidP="00DA75DE">
      <w:pPr>
        <w:spacing w:after="0"/>
        <w:jc w:val="both"/>
        <w:rPr>
          <w:i/>
          <w:sz w:val="18"/>
        </w:rPr>
      </w:pPr>
      <w:r w:rsidRPr="007A4FC1">
        <w:rPr>
          <w:i/>
          <w:sz w:val="18"/>
        </w:rPr>
        <w:t>Grand essai nord-américain : DCCT : 2 groupes</w:t>
      </w:r>
      <w:r w:rsidR="007A4FC1" w:rsidRPr="007A4FC1">
        <w:rPr>
          <w:i/>
          <w:sz w:val="18"/>
        </w:rPr>
        <w:t xml:space="preserve"> (1 à glycémie stable, les autres à glycémie non stable)</w:t>
      </w:r>
      <w:r w:rsidRPr="007A4FC1">
        <w:rPr>
          <w:i/>
          <w:sz w:val="18"/>
        </w:rPr>
        <w:t>, surveillés tous les 3 mois sur 10ans</w:t>
      </w:r>
    </w:p>
    <w:p w:rsidR="00DA75DE" w:rsidRPr="007A4FC1" w:rsidRDefault="00DA75DE" w:rsidP="00DA75DE">
      <w:pPr>
        <w:spacing w:after="0"/>
        <w:jc w:val="both"/>
        <w:rPr>
          <w:i/>
          <w:sz w:val="18"/>
        </w:rPr>
      </w:pPr>
      <w:r w:rsidRPr="007A4FC1">
        <w:rPr>
          <w:i/>
          <w:sz w:val="18"/>
        </w:rPr>
        <w:t>*Rétinopathie avec absence au départ : 15% au bout de 10ans si glycémie équilibrée ; 50% si non équilibré</w:t>
      </w:r>
    </w:p>
    <w:p w:rsidR="00DA75DE" w:rsidRPr="007A4FC1" w:rsidRDefault="00DA75DE" w:rsidP="00DA75DE">
      <w:pPr>
        <w:spacing w:after="0"/>
        <w:jc w:val="both"/>
        <w:rPr>
          <w:i/>
          <w:sz w:val="18"/>
        </w:rPr>
      </w:pPr>
      <w:r w:rsidRPr="007A4FC1">
        <w:rPr>
          <w:i/>
          <w:sz w:val="18"/>
        </w:rPr>
        <w:tab/>
        <w:t xml:space="preserve">         déjà existante =&gt; aggravation chez les non équilibrés</w:t>
      </w:r>
    </w:p>
    <w:p w:rsidR="00DA75DE" w:rsidRPr="007A4FC1" w:rsidRDefault="00DA75DE" w:rsidP="00DA75DE">
      <w:pPr>
        <w:spacing w:after="0"/>
        <w:jc w:val="both"/>
        <w:rPr>
          <w:i/>
          <w:sz w:val="18"/>
        </w:rPr>
      </w:pPr>
      <w:r w:rsidRPr="007A4FC1">
        <w:rPr>
          <w:i/>
          <w:sz w:val="18"/>
        </w:rPr>
        <w:t>*Atteinte rénale : la même</w:t>
      </w:r>
    </w:p>
    <w:p w:rsidR="007A4FC1" w:rsidRPr="007A4FC1" w:rsidRDefault="007A4FC1" w:rsidP="007A4FC1">
      <w:pPr>
        <w:pStyle w:val="Paragraphedeliste"/>
        <w:numPr>
          <w:ilvl w:val="0"/>
          <w:numId w:val="10"/>
        </w:numPr>
        <w:spacing w:after="0"/>
        <w:jc w:val="both"/>
        <w:rPr>
          <w:i/>
          <w:sz w:val="20"/>
        </w:rPr>
      </w:pPr>
      <w:r>
        <w:rPr>
          <w:i/>
          <w:sz w:val="20"/>
        </w:rPr>
        <w:t>L’équilibre glycémique réduit les complications</w:t>
      </w:r>
    </w:p>
    <w:p w:rsidR="00DA75DE" w:rsidRDefault="00DA75DE" w:rsidP="00DA75DE">
      <w:pPr>
        <w:pStyle w:val="Paragraphedeliste"/>
        <w:numPr>
          <w:ilvl w:val="0"/>
          <w:numId w:val="3"/>
        </w:numPr>
        <w:spacing w:after="0"/>
        <w:jc w:val="both"/>
        <w:rPr>
          <w:sz w:val="20"/>
        </w:rPr>
      </w:pPr>
      <w:r>
        <w:rPr>
          <w:sz w:val="20"/>
        </w:rPr>
        <w:t>DT2 : modèle impur car facteurs associés (HTA, obésité…)</w:t>
      </w:r>
    </w:p>
    <w:p w:rsidR="007A4FC1" w:rsidRDefault="007A4FC1" w:rsidP="007A4FC1">
      <w:pPr>
        <w:spacing w:after="0"/>
        <w:jc w:val="both"/>
        <w:rPr>
          <w:i/>
          <w:sz w:val="18"/>
        </w:rPr>
      </w:pPr>
      <w:r w:rsidRPr="007A4FC1">
        <w:rPr>
          <w:i/>
          <w:sz w:val="18"/>
        </w:rPr>
        <w:t>Etude = UKPDS </w:t>
      </w:r>
      <w:r w:rsidR="005019AB">
        <w:rPr>
          <w:i/>
          <w:sz w:val="18"/>
        </w:rPr>
        <w:t xml:space="preserve">(à la base des recommandations) </w:t>
      </w:r>
      <w:r w:rsidRPr="007A4FC1">
        <w:rPr>
          <w:i/>
          <w:sz w:val="18"/>
        </w:rPr>
        <w:t>: patients qui découvrent un DT2 vers 50ans, suivent un protocole</w:t>
      </w:r>
      <w:r>
        <w:rPr>
          <w:i/>
          <w:sz w:val="18"/>
        </w:rPr>
        <w:t>. CCL : aggravation moindre chez les groupes contrôlés ais pas de protection significative pour les atteintes CV </w:t>
      </w:r>
    </w:p>
    <w:p w:rsidR="007A4FC1" w:rsidRDefault="007A4FC1" w:rsidP="007A4FC1">
      <w:pPr>
        <w:spacing w:after="0"/>
        <w:jc w:val="both"/>
        <w:rPr>
          <w:sz w:val="20"/>
        </w:rPr>
      </w:pPr>
      <w:r>
        <w:rPr>
          <w:sz w:val="20"/>
          <w:u w:val="single"/>
        </w:rPr>
        <w:t>Bases moléculaires :</w:t>
      </w:r>
      <w:r>
        <w:rPr>
          <w:sz w:val="20"/>
        </w:rPr>
        <w:t xml:space="preserve"> </w:t>
      </w:r>
    </w:p>
    <w:p w:rsidR="007A4FC1" w:rsidRDefault="007A4FC1" w:rsidP="007A4FC1">
      <w:pPr>
        <w:spacing w:after="0"/>
        <w:jc w:val="both"/>
        <w:rPr>
          <w:sz w:val="20"/>
        </w:rPr>
      </w:pPr>
      <w:r>
        <w:rPr>
          <w:sz w:val="20"/>
        </w:rPr>
        <w:t>Glucose en excès altère à la fois la paroi et les composants du sang</w:t>
      </w:r>
    </w:p>
    <w:p w:rsidR="007A4FC1" w:rsidRDefault="007A4FC1" w:rsidP="007A4FC1">
      <w:pPr>
        <w:pStyle w:val="Paragraphedeliste"/>
        <w:numPr>
          <w:ilvl w:val="0"/>
          <w:numId w:val="3"/>
        </w:numPr>
        <w:spacing w:after="0"/>
        <w:jc w:val="both"/>
        <w:rPr>
          <w:sz w:val="20"/>
        </w:rPr>
      </w:pPr>
      <w:r>
        <w:rPr>
          <w:sz w:val="20"/>
        </w:rPr>
        <w:t>Voie des polyols qui accumule du fructose et du sorbitol et a donc perdre du myoinositol, c’est cette perte qui est responsable de la toxicité (seuls les tissus possédant de l’aldose réductase, comme les cellules nerveuses) =&gt; responsable en partie de la polynévrite</w:t>
      </w:r>
    </w:p>
    <w:p w:rsidR="007A4FC1" w:rsidRDefault="007A4FC1" w:rsidP="007A4FC1">
      <w:pPr>
        <w:pStyle w:val="Paragraphedeliste"/>
        <w:numPr>
          <w:ilvl w:val="0"/>
          <w:numId w:val="3"/>
        </w:numPr>
        <w:spacing w:after="0"/>
        <w:jc w:val="both"/>
        <w:rPr>
          <w:sz w:val="20"/>
        </w:rPr>
      </w:pPr>
      <w:r>
        <w:rPr>
          <w:sz w:val="20"/>
        </w:rPr>
        <w:lastRenderedPageBreak/>
        <w:t>Glycation non enzymatique (rq : Hb glyquée permet de mesurer le diabète)</w:t>
      </w:r>
      <w:r w:rsidR="00152CCC">
        <w:rPr>
          <w:sz w:val="20"/>
        </w:rPr>
        <w:t xml:space="preserve"> des protéines qui vont produire des substances nocives =&gt; stress cellulaire</w:t>
      </w:r>
    </w:p>
    <w:p w:rsidR="00152CCC" w:rsidRDefault="00152CCC" w:rsidP="00152CCC">
      <w:pPr>
        <w:pStyle w:val="Paragraphedeliste"/>
        <w:numPr>
          <w:ilvl w:val="0"/>
          <w:numId w:val="3"/>
        </w:numPr>
        <w:spacing w:after="0"/>
        <w:jc w:val="both"/>
        <w:rPr>
          <w:sz w:val="20"/>
        </w:rPr>
      </w:pPr>
      <w:r>
        <w:rPr>
          <w:sz w:val="20"/>
        </w:rPr>
        <w:t>Modification des :</w:t>
      </w:r>
    </w:p>
    <w:p w:rsidR="00152CCC" w:rsidRDefault="00152CCC" w:rsidP="00152CCC">
      <w:pPr>
        <w:pStyle w:val="Paragraphedeliste"/>
        <w:numPr>
          <w:ilvl w:val="1"/>
          <w:numId w:val="3"/>
        </w:numPr>
        <w:spacing w:after="0"/>
        <w:jc w:val="both"/>
        <w:rPr>
          <w:sz w:val="20"/>
        </w:rPr>
      </w:pPr>
      <w:r>
        <w:rPr>
          <w:sz w:val="20"/>
        </w:rPr>
        <w:t>GR : moins déformables : bouchent les petits capillaires</w:t>
      </w:r>
    </w:p>
    <w:p w:rsidR="00152CCC" w:rsidRDefault="00152CCC" w:rsidP="00152CCC">
      <w:pPr>
        <w:pStyle w:val="Paragraphedeliste"/>
        <w:numPr>
          <w:ilvl w:val="1"/>
          <w:numId w:val="3"/>
        </w:numPr>
        <w:spacing w:after="0"/>
        <w:jc w:val="both"/>
        <w:rPr>
          <w:sz w:val="20"/>
        </w:rPr>
      </w:pPr>
      <w:r>
        <w:rPr>
          <w:sz w:val="20"/>
        </w:rPr>
        <w:t>Plaquettes : ont tendance à s’</w:t>
      </w:r>
      <w:r w:rsidR="00551EE9">
        <w:rPr>
          <w:sz w:val="20"/>
        </w:rPr>
        <w:t>a</w:t>
      </w:r>
      <w:r>
        <w:rPr>
          <w:sz w:val="20"/>
        </w:rPr>
        <w:t>gréger : bouchent les petits capillaires</w:t>
      </w:r>
    </w:p>
    <w:p w:rsidR="00152CCC" w:rsidRDefault="00152CCC" w:rsidP="00152CCC">
      <w:pPr>
        <w:pStyle w:val="Paragraphedeliste"/>
        <w:numPr>
          <w:ilvl w:val="1"/>
          <w:numId w:val="3"/>
        </w:numPr>
        <w:spacing w:after="0"/>
        <w:jc w:val="both"/>
        <w:rPr>
          <w:sz w:val="20"/>
        </w:rPr>
      </w:pPr>
      <w:r>
        <w:rPr>
          <w:sz w:val="20"/>
        </w:rPr>
        <w:t>Leucocytes : perte d’activité =&gt; infections bactériennes et mycotiques + fréquentes</w:t>
      </w:r>
    </w:p>
    <w:p w:rsidR="00DA75DE" w:rsidRPr="00AA51BA" w:rsidRDefault="00551EE9" w:rsidP="00AA51BA">
      <w:pPr>
        <w:spacing w:after="0"/>
        <w:jc w:val="both"/>
        <w:rPr>
          <w:sz w:val="20"/>
        </w:rPr>
      </w:pPr>
      <w:r>
        <w:rPr>
          <w:sz w:val="20"/>
        </w:rPr>
        <w:t>Etapes secondaires :</w:t>
      </w:r>
      <w:r w:rsidR="00AA51BA">
        <w:rPr>
          <w:sz w:val="20"/>
        </w:rPr>
        <w:t xml:space="preserve"> d</w:t>
      </w:r>
      <w:r w:rsidRPr="00AA51BA">
        <w:rPr>
          <w:sz w:val="20"/>
        </w:rPr>
        <w:t>ysf</w:t>
      </w:r>
      <w:r w:rsidR="005019AB" w:rsidRPr="00AA51BA">
        <w:rPr>
          <w:sz w:val="20"/>
        </w:rPr>
        <w:t>on</w:t>
      </w:r>
      <w:r w:rsidRPr="00AA51BA">
        <w:rPr>
          <w:sz w:val="20"/>
        </w:rPr>
        <w:t>ct</w:t>
      </w:r>
      <w:r w:rsidR="005019AB" w:rsidRPr="00AA51BA">
        <w:rPr>
          <w:sz w:val="20"/>
        </w:rPr>
        <w:t>ion</w:t>
      </w:r>
      <w:r w:rsidRPr="00AA51BA">
        <w:rPr>
          <w:sz w:val="20"/>
        </w:rPr>
        <w:t xml:space="preserve"> endothéliale</w:t>
      </w:r>
      <w:r w:rsidR="00AA51BA">
        <w:rPr>
          <w:sz w:val="20"/>
        </w:rPr>
        <w:t>, h</w:t>
      </w:r>
      <w:r w:rsidRPr="00AA51BA">
        <w:rPr>
          <w:sz w:val="20"/>
        </w:rPr>
        <w:t>émodynamique</w:t>
      </w:r>
      <w:r w:rsidR="00AA51BA">
        <w:rPr>
          <w:sz w:val="20"/>
        </w:rPr>
        <w:t>, h</w:t>
      </w:r>
      <w:r w:rsidRPr="00AA51BA">
        <w:rPr>
          <w:sz w:val="20"/>
        </w:rPr>
        <w:t>ypoxie tissulaire</w:t>
      </w:r>
      <w:r w:rsidR="00AA51BA">
        <w:rPr>
          <w:sz w:val="20"/>
        </w:rPr>
        <w:t>, r</w:t>
      </w:r>
      <w:r w:rsidRPr="00AA51BA">
        <w:rPr>
          <w:sz w:val="20"/>
        </w:rPr>
        <w:t>éactions proliférative à l’hypoxie =&gt; destruction des tissus</w:t>
      </w:r>
      <w:r w:rsidR="00AA51BA">
        <w:rPr>
          <w:sz w:val="20"/>
        </w:rPr>
        <w:t>.</w:t>
      </w:r>
    </w:p>
    <w:p w:rsidR="00551EE9" w:rsidRPr="00551EE9" w:rsidRDefault="00551EE9" w:rsidP="00DA75DE">
      <w:pPr>
        <w:spacing w:after="0"/>
        <w:jc w:val="both"/>
        <w:rPr>
          <w:sz w:val="20"/>
          <w:u w:val="single"/>
        </w:rPr>
      </w:pPr>
      <w:r w:rsidRPr="00551EE9">
        <w:rPr>
          <w:sz w:val="20"/>
          <w:u w:val="single"/>
        </w:rPr>
        <w:t>Implications thérapeutiques :</w:t>
      </w:r>
    </w:p>
    <w:p w:rsidR="00DA75DE" w:rsidRDefault="00551EE9" w:rsidP="00551EE9">
      <w:pPr>
        <w:pStyle w:val="Paragraphedeliste"/>
        <w:numPr>
          <w:ilvl w:val="0"/>
          <w:numId w:val="3"/>
        </w:numPr>
        <w:spacing w:after="0"/>
        <w:jc w:val="both"/>
        <w:rPr>
          <w:sz w:val="20"/>
        </w:rPr>
      </w:pPr>
      <w:r>
        <w:rPr>
          <w:sz w:val="20"/>
        </w:rPr>
        <w:t>Prévention : bon équilibre glycémique au long cours</w:t>
      </w:r>
    </w:p>
    <w:p w:rsidR="00551EE9" w:rsidRDefault="00551EE9" w:rsidP="00551EE9">
      <w:pPr>
        <w:pStyle w:val="Paragraphedeliste"/>
        <w:numPr>
          <w:ilvl w:val="0"/>
          <w:numId w:val="3"/>
        </w:numPr>
        <w:spacing w:after="0"/>
        <w:jc w:val="both"/>
        <w:rPr>
          <w:sz w:val="20"/>
        </w:rPr>
      </w:pPr>
      <w:r>
        <w:rPr>
          <w:sz w:val="20"/>
        </w:rPr>
        <w:t>Traitement des facteurs aggravants (surtout DT2)</w:t>
      </w:r>
    </w:p>
    <w:p w:rsidR="00551EE9" w:rsidRPr="00551EE9" w:rsidRDefault="00551EE9" w:rsidP="00551EE9">
      <w:pPr>
        <w:pStyle w:val="Paragraphedeliste"/>
        <w:numPr>
          <w:ilvl w:val="0"/>
          <w:numId w:val="3"/>
        </w:numPr>
        <w:spacing w:after="0"/>
        <w:jc w:val="both"/>
        <w:rPr>
          <w:sz w:val="20"/>
        </w:rPr>
      </w:pPr>
      <w:r>
        <w:rPr>
          <w:sz w:val="20"/>
        </w:rPr>
        <w:t>Futur : empêcher les réactions chimiques néfastes en dépit d’hyperglycémie chronique : IAR</w:t>
      </w:r>
      <w:r w:rsidR="00F05378">
        <w:rPr>
          <w:sz w:val="20"/>
        </w:rPr>
        <w:t xml:space="preserve"> (inhibiteurs d’aldose réductase)</w:t>
      </w:r>
      <w:r w:rsidR="00AA51BA">
        <w:rPr>
          <w:sz w:val="20"/>
        </w:rPr>
        <w:t xml:space="preserve"> décevants</w:t>
      </w:r>
      <w:r>
        <w:rPr>
          <w:sz w:val="20"/>
        </w:rPr>
        <w:t>, antiglycation, anti-agrégants</w:t>
      </w:r>
    </w:p>
    <w:p w:rsidR="00551EE9" w:rsidRPr="00DA75DE" w:rsidRDefault="00551EE9" w:rsidP="00DA75DE">
      <w:pPr>
        <w:spacing w:after="0"/>
        <w:jc w:val="both"/>
        <w:rPr>
          <w:sz w:val="20"/>
        </w:rPr>
      </w:pPr>
    </w:p>
    <w:p w:rsidR="00DA75DE" w:rsidRPr="00DA75DE" w:rsidRDefault="00DA75DE" w:rsidP="00DA75DE">
      <w:pPr>
        <w:pStyle w:val="Paragraphedeliste"/>
        <w:numPr>
          <w:ilvl w:val="0"/>
          <w:numId w:val="9"/>
        </w:numPr>
        <w:spacing w:after="0"/>
        <w:jc w:val="both"/>
        <w:rPr>
          <w:b/>
          <w:color w:val="0000FF"/>
          <w:sz w:val="20"/>
        </w:rPr>
      </w:pPr>
      <w:r w:rsidRPr="00DA75DE">
        <w:rPr>
          <w:b/>
          <w:color w:val="0000FF"/>
          <w:sz w:val="20"/>
        </w:rPr>
        <w:t>Macroangiopathie</w:t>
      </w:r>
    </w:p>
    <w:p w:rsidR="00DA75DE" w:rsidRDefault="00DA75DE" w:rsidP="00DA75DE">
      <w:pPr>
        <w:spacing w:after="0"/>
        <w:jc w:val="both"/>
        <w:rPr>
          <w:sz w:val="20"/>
        </w:rPr>
      </w:pPr>
      <w:r>
        <w:rPr>
          <w:sz w:val="20"/>
        </w:rPr>
        <w:t>Complications non spécifiques du diabète : atteinte des grosses artères (athérome). Le diabète est un facteur favorisant au même titre que l’HTA, le tabac, l’hypercholestérolémie… Néanmoins, le diabète est un facteur de gravité (&gt; aux autres), notamment à cause des microangiopathies.</w:t>
      </w:r>
    </w:p>
    <w:p w:rsidR="005019AB" w:rsidRPr="00DA75DE" w:rsidRDefault="005019AB" w:rsidP="00DA75DE">
      <w:pPr>
        <w:spacing w:after="0"/>
        <w:jc w:val="both"/>
        <w:rPr>
          <w:sz w:val="20"/>
        </w:rPr>
      </w:pPr>
    </w:p>
    <w:p w:rsidR="00DA75DE" w:rsidRDefault="00DA75DE" w:rsidP="00DA75DE">
      <w:pPr>
        <w:spacing w:after="0"/>
        <w:jc w:val="both"/>
        <w:rPr>
          <w:sz w:val="20"/>
        </w:rPr>
      </w:pPr>
    </w:p>
    <w:p w:rsidR="00261399" w:rsidRPr="00261399" w:rsidRDefault="00261399" w:rsidP="00261399">
      <w:pPr>
        <w:pStyle w:val="Paragraphedeliste"/>
        <w:numPr>
          <w:ilvl w:val="0"/>
          <w:numId w:val="8"/>
        </w:numPr>
        <w:spacing w:after="0"/>
        <w:jc w:val="both"/>
        <w:rPr>
          <w:sz w:val="20"/>
        </w:rPr>
      </w:pPr>
      <w:r>
        <w:rPr>
          <w:sz w:val="20"/>
        </w:rPr>
        <w:t>Quelle est l’implication de la régulation de la glycémie sur les macro et microangiopathies ?</w:t>
      </w:r>
      <w:bookmarkStart w:id="0" w:name="_GoBack"/>
      <w:bookmarkEnd w:id="0"/>
    </w:p>
    <w:sectPr w:rsidR="00261399" w:rsidRPr="00261399">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4A67" w:rsidRDefault="000F4A67" w:rsidP="005C725F">
      <w:pPr>
        <w:spacing w:after="0" w:line="240" w:lineRule="auto"/>
      </w:pPr>
      <w:r>
        <w:separator/>
      </w:r>
    </w:p>
  </w:endnote>
  <w:endnote w:type="continuationSeparator" w:id="0">
    <w:p w:rsidR="000F4A67" w:rsidRDefault="000F4A67" w:rsidP="005C7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4727191"/>
      <w:docPartObj>
        <w:docPartGallery w:val="Page Numbers (Bottom of Page)"/>
        <w:docPartUnique/>
      </w:docPartObj>
    </w:sdtPr>
    <w:sdtContent>
      <w:p w:rsidR="00AA51BA" w:rsidRDefault="00AA51BA">
        <w:pPr>
          <w:pStyle w:val="Pieddepage"/>
          <w:jc w:val="right"/>
        </w:pPr>
        <w:r>
          <w:fldChar w:fldCharType="begin"/>
        </w:r>
        <w:r>
          <w:instrText>PAGE   \* MERGEFORMAT</w:instrText>
        </w:r>
        <w:r>
          <w:fldChar w:fldCharType="separate"/>
        </w:r>
        <w:r w:rsidR="00261399">
          <w:rPr>
            <w:noProof/>
          </w:rPr>
          <w:t>4</w:t>
        </w:r>
        <w:r>
          <w:fldChar w:fldCharType="end"/>
        </w:r>
      </w:p>
    </w:sdtContent>
  </w:sdt>
  <w:p w:rsidR="00AA51BA" w:rsidRDefault="00AA51BA">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4A67" w:rsidRDefault="000F4A67" w:rsidP="005C725F">
      <w:pPr>
        <w:spacing w:after="0" w:line="240" w:lineRule="auto"/>
      </w:pPr>
      <w:r>
        <w:separator/>
      </w:r>
    </w:p>
  </w:footnote>
  <w:footnote w:type="continuationSeparator" w:id="0">
    <w:p w:rsidR="000F4A67" w:rsidRDefault="000F4A67" w:rsidP="005C72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814B9"/>
    <w:multiLevelType w:val="hybridMultilevel"/>
    <w:tmpl w:val="B010E424"/>
    <w:lvl w:ilvl="0" w:tplc="040C000F">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
    <w:nsid w:val="250F5BC9"/>
    <w:multiLevelType w:val="hybridMultilevel"/>
    <w:tmpl w:val="DC006ACE"/>
    <w:lvl w:ilvl="0" w:tplc="925E99C0">
      <w:start w:val="1"/>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A3D224C"/>
    <w:multiLevelType w:val="hybridMultilevel"/>
    <w:tmpl w:val="3C86407E"/>
    <w:lvl w:ilvl="0" w:tplc="040C000F">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3">
    <w:nsid w:val="2F075F6F"/>
    <w:multiLevelType w:val="hybridMultilevel"/>
    <w:tmpl w:val="1C0441B6"/>
    <w:lvl w:ilvl="0" w:tplc="78EEC33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300A3A70"/>
    <w:multiLevelType w:val="hybridMultilevel"/>
    <w:tmpl w:val="0AF49C0A"/>
    <w:lvl w:ilvl="0" w:tplc="5E22C86A">
      <w:start w:val="1"/>
      <w:numFmt w:val="bullet"/>
      <w:lvlText w:val=""/>
      <w:lvlJc w:val="left"/>
      <w:pPr>
        <w:ind w:left="720" w:hanging="360"/>
      </w:pPr>
      <w:rPr>
        <w:rFonts w:ascii="Symbol" w:eastAsiaTheme="minorHAnsi" w:hAnsi="Symbol"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395F37C7"/>
    <w:multiLevelType w:val="hybridMultilevel"/>
    <w:tmpl w:val="0A88733A"/>
    <w:lvl w:ilvl="0" w:tplc="4A308994">
      <w:start w:val="1"/>
      <w:numFmt w:val="bullet"/>
      <w:lvlText w:val="-"/>
      <w:lvlJc w:val="left"/>
      <w:pPr>
        <w:ind w:left="720" w:hanging="360"/>
      </w:pPr>
      <w:rPr>
        <w:rFonts w:ascii="Calibri" w:eastAsiaTheme="minorHAnsi" w:hAnsi="Calibri" w:cs="Calibri" w:hint="default"/>
        <w:b/>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3C3A4264"/>
    <w:multiLevelType w:val="hybridMultilevel"/>
    <w:tmpl w:val="43A6AD14"/>
    <w:lvl w:ilvl="0" w:tplc="040C000F">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7">
    <w:nsid w:val="4DA32189"/>
    <w:multiLevelType w:val="hybridMultilevel"/>
    <w:tmpl w:val="E4AAE3A8"/>
    <w:lvl w:ilvl="0" w:tplc="040C000F">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8">
    <w:nsid w:val="4FCB63B5"/>
    <w:multiLevelType w:val="hybridMultilevel"/>
    <w:tmpl w:val="B726E1D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68BF340D"/>
    <w:multiLevelType w:val="hybridMultilevel"/>
    <w:tmpl w:val="BA5E4DE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
  </w:num>
  <w:num w:numId="2">
    <w:abstractNumId w:val="0"/>
  </w:num>
  <w:num w:numId="3">
    <w:abstractNumId w:val="5"/>
  </w:num>
  <w:num w:numId="4">
    <w:abstractNumId w:val="6"/>
  </w:num>
  <w:num w:numId="5">
    <w:abstractNumId w:val="2"/>
  </w:num>
  <w:num w:numId="6">
    <w:abstractNumId w:val="4"/>
  </w:num>
  <w:num w:numId="7">
    <w:abstractNumId w:val="9"/>
  </w:num>
  <w:num w:numId="8">
    <w:abstractNumId w:val="1"/>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25F"/>
    <w:rsid w:val="000F4A67"/>
    <w:rsid w:val="00152CCC"/>
    <w:rsid w:val="00156F04"/>
    <w:rsid w:val="00175C7B"/>
    <w:rsid w:val="00261399"/>
    <w:rsid w:val="005019AB"/>
    <w:rsid w:val="00514432"/>
    <w:rsid w:val="00551EE9"/>
    <w:rsid w:val="005C3398"/>
    <w:rsid w:val="005C725F"/>
    <w:rsid w:val="006061AD"/>
    <w:rsid w:val="007A4FC1"/>
    <w:rsid w:val="00907233"/>
    <w:rsid w:val="00930A96"/>
    <w:rsid w:val="00A717DD"/>
    <w:rsid w:val="00AA51BA"/>
    <w:rsid w:val="00B6327F"/>
    <w:rsid w:val="00B718DF"/>
    <w:rsid w:val="00C23353"/>
    <w:rsid w:val="00DA75DE"/>
    <w:rsid w:val="00DC4A3F"/>
    <w:rsid w:val="00E83A06"/>
    <w:rsid w:val="00F0537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5C725F"/>
    <w:pPr>
      <w:tabs>
        <w:tab w:val="center" w:pos="4536"/>
        <w:tab w:val="right" w:pos="9072"/>
      </w:tabs>
      <w:spacing w:after="0" w:line="240" w:lineRule="auto"/>
    </w:pPr>
  </w:style>
  <w:style w:type="character" w:customStyle="1" w:styleId="En-tteCar">
    <w:name w:val="En-tête Car"/>
    <w:basedOn w:val="Policepardfaut"/>
    <w:link w:val="En-tte"/>
    <w:uiPriority w:val="99"/>
    <w:rsid w:val="005C725F"/>
  </w:style>
  <w:style w:type="paragraph" w:styleId="Pieddepage">
    <w:name w:val="footer"/>
    <w:basedOn w:val="Normal"/>
    <w:link w:val="PieddepageCar"/>
    <w:uiPriority w:val="99"/>
    <w:unhideWhenUsed/>
    <w:rsid w:val="005C725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C725F"/>
  </w:style>
  <w:style w:type="paragraph" w:styleId="Paragraphedeliste">
    <w:name w:val="List Paragraph"/>
    <w:basedOn w:val="Normal"/>
    <w:uiPriority w:val="34"/>
    <w:qFormat/>
    <w:rsid w:val="005C725F"/>
    <w:pPr>
      <w:ind w:left="720"/>
      <w:contextualSpacing/>
    </w:pPr>
  </w:style>
  <w:style w:type="table" w:styleId="Grilledutableau">
    <w:name w:val="Table Grid"/>
    <w:basedOn w:val="TableauNormal"/>
    <w:uiPriority w:val="59"/>
    <w:rsid w:val="005C72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5C725F"/>
    <w:pPr>
      <w:tabs>
        <w:tab w:val="center" w:pos="4536"/>
        <w:tab w:val="right" w:pos="9072"/>
      </w:tabs>
      <w:spacing w:after="0" w:line="240" w:lineRule="auto"/>
    </w:pPr>
  </w:style>
  <w:style w:type="character" w:customStyle="1" w:styleId="En-tteCar">
    <w:name w:val="En-tête Car"/>
    <w:basedOn w:val="Policepardfaut"/>
    <w:link w:val="En-tte"/>
    <w:uiPriority w:val="99"/>
    <w:rsid w:val="005C725F"/>
  </w:style>
  <w:style w:type="paragraph" w:styleId="Pieddepage">
    <w:name w:val="footer"/>
    <w:basedOn w:val="Normal"/>
    <w:link w:val="PieddepageCar"/>
    <w:uiPriority w:val="99"/>
    <w:unhideWhenUsed/>
    <w:rsid w:val="005C725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C725F"/>
  </w:style>
  <w:style w:type="paragraph" w:styleId="Paragraphedeliste">
    <w:name w:val="List Paragraph"/>
    <w:basedOn w:val="Normal"/>
    <w:uiPriority w:val="34"/>
    <w:qFormat/>
    <w:rsid w:val="005C725F"/>
    <w:pPr>
      <w:ind w:left="720"/>
      <w:contextualSpacing/>
    </w:pPr>
  </w:style>
  <w:style w:type="table" w:styleId="Grilledutableau">
    <w:name w:val="Table Grid"/>
    <w:basedOn w:val="TableauNormal"/>
    <w:uiPriority w:val="59"/>
    <w:rsid w:val="005C72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4</Pages>
  <Words>1392</Words>
  <Characters>7660</Characters>
  <Application>Microsoft Office Word</Application>
  <DocSecurity>0</DocSecurity>
  <Lines>63</Lines>
  <Paragraphs>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c:creator>
  <cp:lastModifiedBy>ju</cp:lastModifiedBy>
  <cp:revision>11</cp:revision>
  <dcterms:created xsi:type="dcterms:W3CDTF">2012-01-26T13:04:00Z</dcterms:created>
  <dcterms:modified xsi:type="dcterms:W3CDTF">2012-01-26T14:52:00Z</dcterms:modified>
</cp:coreProperties>
</file>