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707" w:rsidRDefault="00597DB0" w:rsidP="00A31707">
      <w:pPr>
        <w:pStyle w:val="Titre1"/>
        <w:numPr>
          <w:ilvl w:val="0"/>
          <w:numId w:val="0"/>
        </w:numPr>
        <w:pBdr>
          <w:top w:val="none" w:sz="0" w:space="0" w:color="auto"/>
          <w:left w:val="none" w:sz="0" w:space="0" w:color="auto"/>
          <w:bottom w:val="none" w:sz="0" w:space="0" w:color="auto"/>
          <w:right w:val="none" w:sz="0" w:space="0" w:color="auto"/>
        </w:pBdr>
        <w:rPr>
          <w:noProof w:val="0"/>
          <w:kern w:val="0"/>
          <w:sz w:val="24"/>
          <w:szCs w:val="21"/>
        </w:rPr>
      </w:pPr>
      <w:r w:rsidRPr="00597DB0">
        <w:pict>
          <v:shapetype id="_x0000_t202" coordsize="21600,21600" o:spt="202" path="m,l,21600r21600,l21600,xe">
            <v:stroke joinstyle="miter"/>
            <v:path gradientshapeok="t" o:connecttype="rect"/>
          </v:shapetype>
          <v:shape id="_x0000_s1026" type="#_x0000_t202" style="position:absolute;left:0;text-align:left;margin-left:180pt;margin-top:-19.75pt;width:180pt;height:47.1pt;z-index:251657728">
            <v:textbox style="mso-next-textbox:#_x0000_s1026">
              <w:txbxContent>
                <w:p w:rsidR="00453048" w:rsidRPr="00E6178C" w:rsidRDefault="00A31707" w:rsidP="006325B8">
                  <w:pPr>
                    <w:jc w:val="center"/>
                    <w:rPr>
                      <w:rFonts w:cs="Arial"/>
                      <w:sz w:val="32"/>
                      <w:szCs w:val="32"/>
                    </w:rPr>
                  </w:pPr>
                  <w:r>
                    <w:rPr>
                      <w:rFonts w:cs="Arial"/>
                      <w:sz w:val="32"/>
                      <w:szCs w:val="32"/>
                    </w:rPr>
                    <w:t>Suite du cours cellules souches</w:t>
                  </w:r>
                </w:p>
              </w:txbxContent>
            </v:textbox>
          </v:shape>
        </w:pict>
      </w:r>
      <w:r w:rsidR="00453048">
        <w:br/>
      </w:r>
    </w:p>
    <w:p w:rsidR="00A31707" w:rsidRDefault="00A31707" w:rsidP="00FF287A">
      <w:pPr>
        <w:ind w:firstLine="709"/>
      </w:pPr>
      <w:r>
        <w:t xml:space="preserve">La peau est un organe : </w:t>
      </w:r>
      <w:r>
        <w:tab/>
        <w:t>- facile d’accès</w:t>
      </w:r>
    </w:p>
    <w:p w:rsidR="00A31707" w:rsidRDefault="00A31707" w:rsidP="00A31707">
      <w:r>
        <w:tab/>
      </w:r>
      <w:r>
        <w:tab/>
      </w:r>
      <w:r>
        <w:tab/>
      </w:r>
      <w:r>
        <w:tab/>
      </w:r>
      <w:r w:rsidR="00FF287A">
        <w:tab/>
      </w:r>
      <w:r>
        <w:t>- c’est un bon exemple de la balance temps/prolifération.</w:t>
      </w:r>
    </w:p>
    <w:p w:rsidR="00A31707" w:rsidRDefault="00A31707" w:rsidP="00A31707"/>
    <w:p w:rsidR="00A31707" w:rsidRPr="00A31707" w:rsidRDefault="00A31707" w:rsidP="00FF287A">
      <w:pPr>
        <w:ind w:firstLine="709"/>
      </w:pPr>
      <w:r>
        <w:t>L’épiderme provient de l’ectoderme, alors que le derme provient du mésoderme.</w:t>
      </w:r>
      <w:r w:rsidR="00FF287A">
        <w:t xml:space="preserve"> La peau est un épithélium pluristratifié dont la couche la plus proche de la jonction est proliférative. Quand les kératinocytes vont vers le haut, il y a différenciation. Le renouvellement de la peau se fait en 3 semaines.</w:t>
      </w:r>
    </w:p>
    <w:p w:rsidR="006325B8" w:rsidRDefault="006325B8" w:rsidP="00FF287A">
      <w:pPr>
        <w:ind w:firstLine="709"/>
      </w:pPr>
    </w:p>
    <w:p w:rsidR="00FF287A" w:rsidRDefault="00FF287A" w:rsidP="00FF287A">
      <w:pPr>
        <w:ind w:firstLine="709"/>
      </w:pPr>
      <w:r>
        <w:t>Grâce aux souris transgéniques, on a identifié des voies de signalisation importantes :</w:t>
      </w:r>
    </w:p>
    <w:p w:rsidR="00FF287A" w:rsidRDefault="00FF287A" w:rsidP="00FF287A">
      <w:pPr>
        <w:ind w:firstLine="709"/>
      </w:pPr>
      <w:r>
        <w:t xml:space="preserve">- BMP-4 qui va agir sur des molécules très éloignées. </w:t>
      </w:r>
    </w:p>
    <w:p w:rsidR="00FF287A" w:rsidRDefault="00FF287A" w:rsidP="00FF287A">
      <w:pPr>
        <w:ind w:firstLine="709"/>
      </w:pPr>
      <w:r>
        <w:t>- P-63 qui est un facteur de transcription.</w:t>
      </w:r>
    </w:p>
    <w:p w:rsidR="00FF287A" w:rsidRDefault="00FF287A" w:rsidP="00FF287A">
      <w:pPr>
        <w:ind w:firstLine="709"/>
      </w:pPr>
      <w:r>
        <w:t>- Wint avec les β-caténines et LEF-1</w:t>
      </w:r>
    </w:p>
    <w:p w:rsidR="00FF287A" w:rsidRDefault="00FF287A" w:rsidP="00FF287A">
      <w:pPr>
        <w:ind w:firstLine="709"/>
      </w:pPr>
      <w:r>
        <w:t>- C-myc</w:t>
      </w:r>
    </w:p>
    <w:p w:rsidR="00FF287A" w:rsidRDefault="00FF287A" w:rsidP="00FF287A">
      <w:pPr>
        <w:ind w:firstLine="709"/>
      </w:pPr>
    </w:p>
    <w:p w:rsidR="00FF287A" w:rsidRDefault="00FF287A" w:rsidP="00FF287A">
      <w:pPr>
        <w:ind w:firstLine="709"/>
      </w:pPr>
      <w:r>
        <w:t>La peau peut être soumise à de très nombreuses pathologies. (l’épidermolyse bulleuse et la dystrophie ectodermale qui sont des maladies congénitales et héréditaires, et des maladies acquises comme le pemphigus, le psoriasis, le cancer…)</w:t>
      </w:r>
    </w:p>
    <w:p w:rsidR="00FF287A" w:rsidRDefault="00FF287A" w:rsidP="00FF287A">
      <w:pPr>
        <w:ind w:firstLine="709"/>
      </w:pPr>
    </w:p>
    <w:p w:rsidR="00FF287A" w:rsidRDefault="00FF287A" w:rsidP="00FF287A">
      <w:pPr>
        <w:pStyle w:val="Titre1"/>
      </w:pPr>
      <w:r>
        <w:t>P63 et les dystrophies ectodermales.</w:t>
      </w:r>
    </w:p>
    <w:p w:rsidR="00FF287A" w:rsidRDefault="00FF287A" w:rsidP="00FF287A"/>
    <w:p w:rsidR="00FF287A" w:rsidRDefault="00FF287A" w:rsidP="00FF287A">
      <w:pPr>
        <w:ind w:firstLine="709"/>
      </w:pPr>
      <w:r>
        <w:t>On a un embryon avec ses 3 feuillets</w:t>
      </w:r>
      <w:r w:rsidR="009042FF">
        <w:t>, BMP-4 est produit dans la partie ventrale de l’embryon. Il diffuse peu vers la partie dorsale, où il agira peu car il agira en même temps qu’un antagoniste qui se fixe sur BMP-4 qui ne peut alors plus se fixer à son récepteur. En ventral, BMP-4 agit beaucoup.</w:t>
      </w:r>
    </w:p>
    <w:p w:rsidR="00F42355" w:rsidRDefault="009042FF" w:rsidP="00FF287A">
      <w:pPr>
        <w:ind w:firstLine="709"/>
      </w:pPr>
      <w:r>
        <w:t xml:space="preserve">Ce gradient est un inducteur de différenciation: il permet la différenciation de l’ectoderme </w:t>
      </w:r>
    </w:p>
    <w:p w:rsidR="009042FF" w:rsidRDefault="00F42355" w:rsidP="00FF287A">
      <w:pPr>
        <w:ind w:firstLine="709"/>
      </w:pPr>
      <w:r>
        <w:t>- D</w:t>
      </w:r>
      <w:r w:rsidR="009042FF">
        <w:t xml:space="preserve">ans la partie ventrale de l’embryon où le BMP-4 est présent en </w:t>
      </w:r>
      <w:r>
        <w:t xml:space="preserve">épiderme et annexes cutanées </w:t>
      </w:r>
      <w:r>
        <w:tab/>
        <w:t>- D</w:t>
      </w:r>
      <w:r w:rsidR="009042FF">
        <w:t xml:space="preserve">ans la partie dorsale </w:t>
      </w:r>
      <w:r>
        <w:t>de l’embryon où le BMP-4 est inactif en cellules neuronales : c’est la différenciation neuronale par défaut.</w:t>
      </w:r>
    </w:p>
    <w:p w:rsidR="00F42355" w:rsidRDefault="00F42355" w:rsidP="00FF287A">
      <w:pPr>
        <w:ind w:firstLine="709"/>
      </w:pPr>
    </w:p>
    <w:p w:rsidR="00F42355" w:rsidRDefault="00F42355" w:rsidP="00FF287A">
      <w:pPr>
        <w:ind w:firstLine="709"/>
      </w:pPr>
      <w:r>
        <w:t xml:space="preserve">Expérience 1 : </w:t>
      </w:r>
    </w:p>
    <w:p w:rsidR="00F42355" w:rsidRDefault="00F42355" w:rsidP="00FF287A">
      <w:pPr>
        <w:ind w:firstLine="709"/>
      </w:pPr>
      <w:r>
        <w:t>En prenant des cellules ES dans des conditions très difficiles (en absence de sérum par exemple, ce qui donne une absence des éléments présents dans le sérum comme les facteurs de croissance, les cytokines etc… permettant la survie cellulaire)</w:t>
      </w:r>
    </w:p>
    <w:p w:rsidR="00F42355" w:rsidRDefault="00F42355" w:rsidP="00FF287A">
      <w:pPr>
        <w:ind w:firstLine="709"/>
      </w:pPr>
      <w:r>
        <w:t>On pose les cellules ES sans sérum et bloquées dans leur cycle cellulaire sur une couche nourricière, ce qui va induire de façon très efficace des neurones (qu’on identifie grâce à leur morphologie et à des marqueurs spécifiques aux précurseurs neuronaux comme Sox-1)</w:t>
      </w:r>
    </w:p>
    <w:p w:rsidR="00F42355" w:rsidRDefault="00F42355" w:rsidP="00FF287A">
      <w:pPr>
        <w:ind w:firstLine="709"/>
      </w:pPr>
      <w:r>
        <w:t>Si au cours de cette différenciation, on ajoute BMP-4 (entre J-3 et J-6), on aboutit à l’engagement de la voie de différenciation vers des cellules ectodermales et à la fabrication de cytokératines particulières (cytokines 8 et 18). Les cellules épidermiques produisent les cytokératines 5 et 14</w:t>
      </w:r>
      <w:r w:rsidR="00F026A6">
        <w:t xml:space="preserve"> spécifiques de la couche basale, mais au moment de leur différenciation elles vont perdre la capacité de former les 5 et 14 pour produire CK1 et 10.</w:t>
      </w:r>
    </w:p>
    <w:p w:rsidR="00F026A6" w:rsidRDefault="00F026A6" w:rsidP="00FF287A">
      <w:pPr>
        <w:ind w:firstLine="709"/>
      </w:pPr>
    </w:p>
    <w:p w:rsidR="00F026A6" w:rsidRDefault="00F026A6" w:rsidP="00FF287A">
      <w:pPr>
        <w:ind w:firstLine="709"/>
      </w:pPr>
      <w:r>
        <w:t xml:space="preserve">Quand BMP-4 est présent : </w:t>
      </w:r>
    </w:p>
    <w:p w:rsidR="00F026A6" w:rsidRDefault="00F026A6" w:rsidP="00F026A6">
      <w:pPr>
        <w:pStyle w:val="Paragraphedeliste"/>
        <w:numPr>
          <w:ilvl w:val="0"/>
          <w:numId w:val="4"/>
        </w:numPr>
      </w:pPr>
      <w:r>
        <w:t>On bloque complètement l’engagement neuronal de manière active</w:t>
      </w:r>
    </w:p>
    <w:p w:rsidR="00F026A6" w:rsidRDefault="00F026A6" w:rsidP="00F026A6">
      <w:pPr>
        <w:pStyle w:val="Paragraphedeliste"/>
        <w:numPr>
          <w:ilvl w:val="0"/>
          <w:numId w:val="4"/>
        </w:numPr>
      </w:pPr>
      <w:r>
        <w:t>On induit l’engagement ectodermal</w:t>
      </w:r>
    </w:p>
    <w:p w:rsidR="00F026A6" w:rsidRDefault="00F026A6" w:rsidP="00F026A6">
      <w:pPr>
        <w:ind w:firstLine="709"/>
      </w:pPr>
    </w:p>
    <w:p w:rsidR="00F026A6" w:rsidRDefault="00F026A6" w:rsidP="00F026A6">
      <w:pPr>
        <w:ind w:firstLine="709"/>
      </w:pPr>
      <w:r>
        <w:t>Si on ajoute du sérum au 8</w:t>
      </w:r>
      <w:r w:rsidRPr="00F026A6">
        <w:rPr>
          <w:vertAlign w:val="superscript"/>
        </w:rPr>
        <w:t>e</w:t>
      </w:r>
      <w:r>
        <w:t xml:space="preserve"> jour, on induit la différenciation en kératinocytes positifs pour la CK 14.</w:t>
      </w:r>
    </w:p>
    <w:p w:rsidR="00F026A6" w:rsidRDefault="00F026A6" w:rsidP="00F026A6">
      <w:pPr>
        <w:ind w:firstLine="709"/>
      </w:pPr>
    </w:p>
    <w:p w:rsidR="00F026A6" w:rsidRDefault="00F026A6" w:rsidP="00F026A6">
      <w:pPr>
        <w:ind w:firstLine="709"/>
      </w:pPr>
      <w:r>
        <w:t>Sur la couche nourricière, les cellules ES sont compactées en îlots. Après le passage de BMP-4, une grande partie de ces cellules meurent.</w:t>
      </w:r>
    </w:p>
    <w:p w:rsidR="00F026A6" w:rsidRDefault="00F026A6" w:rsidP="00F026A6">
      <w:pPr>
        <w:ind w:firstLine="709"/>
      </w:pPr>
      <w:r>
        <w:t>L’apoptose par perméabilisation de la membrane mitochondriale donne une libération du cytochrome C, une activation de la cascade des caspases et une fragmentation de l’ADN. Grace à ces éléments on peut voir que la cellule est en cours d’apoptose.</w:t>
      </w:r>
    </w:p>
    <w:p w:rsidR="00F026A6" w:rsidRDefault="00F026A6" w:rsidP="00F026A6">
      <w:pPr>
        <w:ind w:firstLine="709"/>
      </w:pPr>
    </w:p>
    <w:p w:rsidR="00F026A6" w:rsidRDefault="00F026A6" w:rsidP="00F026A6">
      <w:pPr>
        <w:ind w:firstLine="709"/>
      </w:pPr>
    </w:p>
    <w:p w:rsidR="00F026A6" w:rsidRDefault="00F026A6" w:rsidP="00F026A6">
      <w:pPr>
        <w:ind w:firstLine="709"/>
      </w:pPr>
    </w:p>
    <w:p w:rsidR="00F026A6" w:rsidRDefault="00F026A6" w:rsidP="00F026A6">
      <w:pPr>
        <w:ind w:firstLine="709"/>
      </w:pPr>
      <w:r>
        <w:lastRenderedPageBreak/>
        <w:t xml:space="preserve">Pour la </w:t>
      </w:r>
      <w:r w:rsidRPr="00652411">
        <w:rPr>
          <w:color w:val="FF0000"/>
        </w:rPr>
        <w:t>cytométrie de fl</w:t>
      </w:r>
      <w:r w:rsidR="00652411" w:rsidRPr="00652411">
        <w:rPr>
          <w:color w:val="FF0000"/>
        </w:rPr>
        <w:t>ux</w:t>
      </w:r>
      <w:r w:rsidR="00652411">
        <w:t>, on utilise Dioc6 qui est un agent intercalant se fixant sur la membrane mitochondriale si celle ci est intacte.</w:t>
      </w:r>
    </w:p>
    <w:p w:rsidR="00652411" w:rsidRDefault="00652411" w:rsidP="00652411">
      <w:pPr>
        <w:pStyle w:val="Paragraphedeliste"/>
        <w:numPr>
          <w:ilvl w:val="0"/>
          <w:numId w:val="5"/>
        </w:numPr>
      </w:pPr>
      <w:r>
        <w:t>Si la cellule n’est pas en apoptose, la membrane va garder le Dioc 6 sur elle et le marquage sera fort à l’examen</w:t>
      </w:r>
    </w:p>
    <w:p w:rsidR="00652411" w:rsidRDefault="00652411" w:rsidP="00652411">
      <w:pPr>
        <w:pStyle w:val="Paragraphedeliste"/>
        <w:numPr>
          <w:ilvl w:val="0"/>
          <w:numId w:val="5"/>
        </w:numPr>
      </w:pPr>
      <w:r>
        <w:t>Si la cellule est en apoptose, la membrane étant perméable, le Dioc 6 ne sera pas retenu, le marquage cellulaire sera donc faible.</w:t>
      </w:r>
    </w:p>
    <w:p w:rsidR="00652411" w:rsidRDefault="00652411" w:rsidP="00652411">
      <w:pPr>
        <w:ind w:firstLine="709"/>
      </w:pPr>
    </w:p>
    <w:p w:rsidR="00652411" w:rsidRDefault="00652411" w:rsidP="00652411">
      <w:pPr>
        <w:ind w:firstLine="709"/>
      </w:pPr>
      <w:r>
        <w:t>Il y a 12% d’apoptose spontanée en culture (car sans sérum et couche nourricière, les cellules ES sont très sujettes à l’apoptose)</w:t>
      </w:r>
    </w:p>
    <w:p w:rsidR="00652411" w:rsidRDefault="00652411" w:rsidP="00652411">
      <w:pPr>
        <w:ind w:firstLine="709"/>
      </w:pPr>
      <w:r>
        <w:t>Lorsqu’on ajoute BMP-4, le taux d’apoptose passe à 58% : le nombre de cellules vivantes diminue de manière importante et les cellules qui restent évoluent vers des cellules épidermiques.</w:t>
      </w:r>
    </w:p>
    <w:p w:rsidR="00652411" w:rsidRDefault="00652411" w:rsidP="00652411">
      <w:pPr>
        <w:ind w:firstLine="709"/>
      </w:pPr>
    </w:p>
    <w:p w:rsidR="00652411" w:rsidRDefault="00652411" w:rsidP="00652411">
      <w:pPr>
        <w:ind w:firstLine="709"/>
      </w:pPr>
      <w:r>
        <w:t xml:space="preserve">Pour le </w:t>
      </w:r>
      <w:r w:rsidRPr="00652411">
        <w:rPr>
          <w:color w:val="FF0000"/>
        </w:rPr>
        <w:t>Western Blot</w:t>
      </w:r>
      <w:r>
        <w:t>, on utilise l’Ac anti procaspase 3. La caspase 3 n’est clivée qu’en cas d’apoptose (par BMP-4 par exemple). Avec BMP-4, on augmente très fortement la quantité de caspase effectrice.</w:t>
      </w:r>
    </w:p>
    <w:p w:rsidR="00CF05AF" w:rsidRDefault="00CF05AF" w:rsidP="00652411">
      <w:pPr>
        <w:ind w:firstLine="709"/>
      </w:pPr>
      <w:r w:rsidRPr="00CF05AF">
        <w:drawing>
          <wp:anchor distT="0" distB="0" distL="114300" distR="114300" simplePos="0" relativeHeight="251658752" behindDoc="0" locked="0" layoutInCell="1" allowOverlap="1">
            <wp:simplePos x="0" y="0"/>
            <wp:positionH relativeFrom="column">
              <wp:posOffset>4436669</wp:posOffset>
            </wp:positionH>
            <wp:positionV relativeFrom="paragraph">
              <wp:posOffset>33274</wp:posOffset>
            </wp:positionV>
            <wp:extent cx="2136038" cy="3716122"/>
            <wp:effectExtent l="0" t="0" r="0" b="0"/>
            <wp:wrapSquare wrapText="bothSides"/>
            <wp:docPr id="2" name="Obje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133601" cy="3713163"/>
                      <a:chOff x="3367088" y="744538"/>
                      <a:chExt cx="2133601" cy="3713163"/>
                    </a:xfrm>
                  </a:grpSpPr>
                  <a:sp>
                    <a:nvSpPr>
                      <a:cNvPr id="16389" name="Rectangle 90"/>
                      <a:cNvSpPr>
                        <a:spLocks noChangeArrowheads="1"/>
                      </a:cNvSpPr>
                    </a:nvSpPr>
                    <a:spPr bwMode="auto">
                      <a:xfrm>
                        <a:off x="4059238" y="744538"/>
                        <a:ext cx="968375" cy="708025"/>
                      </a:xfrm>
                      <a:prstGeom prst="rect">
                        <a:avLst/>
                      </a:prstGeom>
                      <a:noFill/>
                      <a:ln w="9525">
                        <a:noFill/>
                        <a:miter lim="800000"/>
                        <a:headEnd/>
                        <a:tailEnd/>
                      </a:ln>
                    </a:spPr>
                    <a:txSp>
                      <a:txBody>
                        <a:bodyPr>
                          <a:spAutoFit/>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r>
                            <a:rPr lang="fr-FR" sz="2000" b="1" dirty="0"/>
                            <a:t>BMP-4</a:t>
                          </a:r>
                        </a:p>
                      </a:txBody>
                      <a:useSpRect/>
                    </a:txSp>
                  </a:sp>
                  <a:sp>
                    <a:nvSpPr>
                      <a:cNvPr id="16390" name="Rectangle 91"/>
                      <a:cNvSpPr>
                        <a:spLocks noChangeArrowheads="1"/>
                      </a:cNvSpPr>
                    </a:nvSpPr>
                    <a:spPr bwMode="auto">
                      <a:xfrm>
                        <a:off x="4024313" y="1497013"/>
                        <a:ext cx="1184275" cy="338138"/>
                      </a:xfrm>
                      <a:prstGeom prst="rect">
                        <a:avLst/>
                      </a:prstGeom>
                      <a:noFill/>
                      <a:ln w="9525">
                        <a:noFill/>
                        <a:miter lim="800000"/>
                        <a:headEnd/>
                        <a:tailEnd/>
                      </a:ln>
                    </a:spPr>
                    <a:txSp>
                      <a:txBody>
                        <a:bodyPr>
                          <a:spAutoFit/>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r>
                            <a:rPr lang="fr-FR" sz="1600" b="1" dirty="0"/>
                            <a:t>BMP-4 R</a:t>
                          </a:r>
                        </a:p>
                      </a:txBody>
                      <a:useSpRect/>
                    </a:txSp>
                  </a:sp>
                  <a:sp>
                    <a:nvSpPr>
                      <a:cNvPr id="16391" name="Rectangle 92"/>
                      <a:cNvSpPr>
                        <a:spLocks noChangeArrowheads="1"/>
                      </a:cNvSpPr>
                    </a:nvSpPr>
                    <a:spPr bwMode="auto">
                      <a:xfrm>
                        <a:off x="4530726" y="2233613"/>
                        <a:ext cx="969963" cy="646113"/>
                      </a:xfrm>
                      <a:prstGeom prst="rect">
                        <a:avLst/>
                      </a:prstGeom>
                      <a:noFill/>
                      <a:ln w="9525">
                        <a:solidFill>
                          <a:schemeClr val="tx1"/>
                        </a:solidFill>
                        <a:miter lim="800000"/>
                        <a:headEnd/>
                        <a:tailEnd/>
                      </a:ln>
                    </a:spPr>
                    <a:txSp>
                      <a:txBody>
                        <a:bodyPr>
                          <a:spAutoFit/>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r>
                            <a:rPr lang="fr-FR" sz="1800" b="1"/>
                            <a:t>Smad 1</a:t>
                          </a:r>
                        </a:p>
                      </a:txBody>
                      <a:useSpRect/>
                    </a:txSp>
                  </a:sp>
                  <a:sp>
                    <a:nvSpPr>
                      <a:cNvPr id="16392" name="Rectangle 93"/>
                      <a:cNvSpPr>
                        <a:spLocks noChangeArrowheads="1"/>
                      </a:cNvSpPr>
                    </a:nvSpPr>
                    <a:spPr bwMode="auto">
                      <a:xfrm>
                        <a:off x="3367088" y="2300288"/>
                        <a:ext cx="1296988" cy="523875"/>
                      </a:xfrm>
                      <a:prstGeom prst="rect">
                        <a:avLst/>
                      </a:prstGeom>
                      <a:noFill/>
                      <a:ln w="9525">
                        <a:noFill/>
                        <a:miter lim="800000"/>
                        <a:headEnd/>
                        <a:tailEnd/>
                      </a:ln>
                    </a:spPr>
                    <a:txSp>
                      <a:txBody>
                        <a:bodyPr>
                          <a:spAutoFit/>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pPr algn="ctr"/>
                          <a:r>
                            <a:rPr lang="fr-FR" sz="1400" b="1" i="1" dirty="0"/>
                            <a:t>TAK 1 (MAPKKK)</a:t>
                          </a:r>
                        </a:p>
                      </a:txBody>
                      <a:useSpRect/>
                    </a:txSp>
                  </a:sp>
                  <a:sp>
                    <a:nvSpPr>
                      <a:cNvPr id="16393" name="Rectangle 94"/>
                      <a:cNvSpPr>
                        <a:spLocks noChangeArrowheads="1"/>
                      </a:cNvSpPr>
                    </a:nvSpPr>
                    <a:spPr bwMode="auto">
                      <a:xfrm>
                        <a:off x="3567113" y="3260725"/>
                        <a:ext cx="1187450" cy="376238"/>
                      </a:xfrm>
                      <a:prstGeom prst="rect">
                        <a:avLst/>
                      </a:prstGeom>
                      <a:noFill/>
                      <a:ln w="9525">
                        <a:solidFill>
                          <a:schemeClr val="tx1"/>
                        </a:solidFill>
                        <a:miter lim="800000"/>
                        <a:headEnd/>
                        <a:tailEnd/>
                      </a:ln>
                    </a:spPr>
                    <a:txSp>
                      <a:txBody>
                        <a:bodyPr>
                          <a:spAutoFit/>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r>
                            <a:rPr lang="fr-FR" sz="1800" b="1"/>
                            <a:t>p38 MK</a:t>
                          </a:r>
                        </a:p>
                      </a:txBody>
                      <a:useSpRect/>
                    </a:txSp>
                  </a:sp>
                  <a:sp>
                    <a:nvSpPr>
                      <a:cNvPr id="16394" name="Line 95"/>
                      <a:cNvSpPr>
                        <a:spLocks noChangeShapeType="1"/>
                      </a:cNvSpPr>
                    </a:nvSpPr>
                    <a:spPr bwMode="auto">
                      <a:xfrm>
                        <a:off x="4508501" y="1150938"/>
                        <a:ext cx="0" cy="374650"/>
                      </a:xfrm>
                      <a:prstGeom prst="line">
                        <a:avLst/>
                      </a:prstGeom>
                      <a:noFill/>
                      <a:ln w="38100">
                        <a:solidFill>
                          <a:schemeClr val="tx1"/>
                        </a:solidFill>
                        <a:round/>
                        <a:headEnd/>
                        <a:tailEnd type="triangle" w="med" len="med"/>
                      </a:ln>
                    </a:spPr>
                    <a:txSp>
                      <a:txBody>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endParaRPr lang="fr-FR"/>
                        </a:p>
                      </a:txBody>
                      <a:useSpRect/>
                    </a:txSp>
                  </a:sp>
                  <a:sp>
                    <a:nvSpPr>
                      <a:cNvPr id="16395" name="Line 96"/>
                      <a:cNvSpPr>
                        <a:spLocks noChangeShapeType="1"/>
                      </a:cNvSpPr>
                    </a:nvSpPr>
                    <a:spPr bwMode="auto">
                      <a:xfrm flipH="1">
                        <a:off x="4184651" y="1955800"/>
                        <a:ext cx="179388" cy="365125"/>
                      </a:xfrm>
                      <a:prstGeom prst="line">
                        <a:avLst/>
                      </a:prstGeom>
                      <a:noFill/>
                      <a:ln w="38100">
                        <a:solidFill>
                          <a:schemeClr val="tx1"/>
                        </a:solidFill>
                        <a:round/>
                        <a:headEnd/>
                        <a:tailEnd type="triangle" w="med" len="med"/>
                      </a:ln>
                    </a:spPr>
                    <a:txSp>
                      <a:txBody>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endParaRPr lang="fr-FR"/>
                        </a:p>
                      </a:txBody>
                      <a:useSpRect/>
                    </a:txSp>
                  </a:sp>
                  <a:sp>
                    <a:nvSpPr>
                      <a:cNvPr id="16396" name="Line 97"/>
                      <a:cNvSpPr>
                        <a:spLocks noChangeShapeType="1"/>
                      </a:cNvSpPr>
                    </a:nvSpPr>
                    <a:spPr bwMode="auto">
                      <a:xfrm>
                        <a:off x="4621213" y="1955800"/>
                        <a:ext cx="158750" cy="284163"/>
                      </a:xfrm>
                      <a:prstGeom prst="line">
                        <a:avLst/>
                      </a:prstGeom>
                      <a:noFill/>
                      <a:ln w="38100">
                        <a:solidFill>
                          <a:schemeClr val="tx1"/>
                        </a:solidFill>
                        <a:round/>
                        <a:headEnd/>
                        <a:tailEnd type="triangle" w="med" len="med"/>
                      </a:ln>
                    </a:spPr>
                    <a:txSp>
                      <a:txBody>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endParaRPr lang="fr-FR"/>
                        </a:p>
                      </a:txBody>
                      <a:useSpRect/>
                    </a:txSp>
                  </a:sp>
                  <a:sp>
                    <a:nvSpPr>
                      <a:cNvPr id="16397" name="Line 98"/>
                      <a:cNvSpPr>
                        <a:spLocks noChangeShapeType="1"/>
                      </a:cNvSpPr>
                    </a:nvSpPr>
                    <a:spPr bwMode="auto">
                      <a:xfrm>
                        <a:off x="4095751" y="2895600"/>
                        <a:ext cx="0" cy="393700"/>
                      </a:xfrm>
                      <a:prstGeom prst="line">
                        <a:avLst/>
                      </a:prstGeom>
                      <a:noFill/>
                      <a:ln w="38100">
                        <a:solidFill>
                          <a:schemeClr val="tx1"/>
                        </a:solidFill>
                        <a:round/>
                        <a:headEnd/>
                        <a:tailEnd type="triangle" w="med" len="med"/>
                      </a:ln>
                    </a:spPr>
                    <a:txSp>
                      <a:txBody>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endParaRPr lang="fr-FR"/>
                        </a:p>
                      </a:txBody>
                      <a:useSpRect/>
                    </a:txSp>
                  </a:sp>
                  <a:sp>
                    <a:nvSpPr>
                      <a:cNvPr id="16398" name="Rectangle 99"/>
                      <a:cNvSpPr>
                        <a:spLocks noChangeArrowheads="1"/>
                      </a:cNvSpPr>
                    </a:nvSpPr>
                    <a:spPr bwMode="auto">
                      <a:xfrm>
                        <a:off x="3725863" y="4059238"/>
                        <a:ext cx="1635125" cy="398463"/>
                      </a:xfrm>
                      <a:prstGeom prst="rect">
                        <a:avLst/>
                      </a:prstGeom>
                      <a:noFill/>
                      <a:ln w="9525">
                        <a:noFill/>
                        <a:miter lim="800000"/>
                        <a:headEnd/>
                        <a:tailEnd/>
                      </a:ln>
                    </a:spPr>
                    <a:txSp>
                      <a:txBody>
                        <a:bodyPr>
                          <a:spAutoFit/>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r>
                            <a:rPr lang="fr-FR" sz="2000" b="1" dirty="0" err="1">
                              <a:latin typeface="Helvetica" pitchFamily="34" charset="0"/>
                              <a:ea typeface="Rod Transparent"/>
                              <a:cs typeface="Rod Transparent"/>
                            </a:rPr>
                            <a:t>Apoptosis</a:t>
                          </a:r>
                          <a:endParaRPr lang="fr-FR" sz="2000" b="1" dirty="0">
                            <a:latin typeface="Helvetica" pitchFamily="34" charset="0"/>
                            <a:ea typeface="Rod Transparent"/>
                            <a:cs typeface="Rod Transparent"/>
                          </a:endParaRPr>
                        </a:p>
                      </a:txBody>
                      <a:useSpRect/>
                    </a:txSp>
                  </a:sp>
                  <a:sp>
                    <a:nvSpPr>
                      <a:cNvPr id="16399" name="Line 100"/>
                      <a:cNvSpPr>
                        <a:spLocks noChangeShapeType="1"/>
                      </a:cNvSpPr>
                    </a:nvSpPr>
                    <a:spPr bwMode="auto">
                      <a:xfrm>
                        <a:off x="4159251" y="3749675"/>
                        <a:ext cx="217488" cy="438150"/>
                      </a:xfrm>
                      <a:prstGeom prst="line">
                        <a:avLst/>
                      </a:prstGeom>
                      <a:noFill/>
                      <a:ln w="57150">
                        <a:solidFill>
                          <a:schemeClr val="tx1"/>
                        </a:solidFill>
                        <a:prstDash val="sysDot"/>
                        <a:round/>
                        <a:headEnd/>
                        <a:tailEnd type="triangle" w="med" len="med"/>
                      </a:ln>
                    </a:spPr>
                    <a:txSp>
                      <a:txBody>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endParaRPr lang="fr-FR"/>
                        </a:p>
                      </a:txBody>
                      <a:useSpRect/>
                    </a:txSp>
                  </a:sp>
                  <a:sp>
                    <a:nvSpPr>
                      <a:cNvPr id="16400" name="Line 101"/>
                      <a:cNvSpPr>
                        <a:spLocks noChangeShapeType="1"/>
                      </a:cNvSpPr>
                    </a:nvSpPr>
                    <a:spPr bwMode="auto">
                      <a:xfrm flipH="1">
                        <a:off x="4810126" y="2790825"/>
                        <a:ext cx="246063" cy="1316038"/>
                      </a:xfrm>
                      <a:prstGeom prst="line">
                        <a:avLst/>
                      </a:prstGeom>
                      <a:noFill/>
                      <a:ln w="57150">
                        <a:solidFill>
                          <a:schemeClr val="tx1"/>
                        </a:solidFill>
                        <a:prstDash val="sysDot"/>
                        <a:round/>
                        <a:headEnd/>
                        <a:tailEnd type="triangle" w="med" len="med"/>
                      </a:ln>
                    </a:spPr>
                    <a:txSp>
                      <a:txBody>
                        <a:bodyPr/>
                        <a:lstStyle>
                          <a:defPPr>
                            <a:defRPr lang="fr-FR"/>
                          </a:defPPr>
                          <a:lvl1pPr algn="l" rtl="0" fontAlgn="base">
                            <a:spcBef>
                              <a:spcPct val="0"/>
                            </a:spcBef>
                            <a:spcAft>
                              <a:spcPct val="0"/>
                            </a:spcAft>
                            <a:defRPr sz="2800" kern="1200">
                              <a:solidFill>
                                <a:schemeClr val="tx1"/>
                              </a:solidFill>
                              <a:latin typeface="Times" pitchFamily="18" charset="0"/>
                              <a:ea typeface="+mn-ea"/>
                              <a:cs typeface="Arial" pitchFamily="34" charset="0"/>
                            </a:defRPr>
                          </a:lvl1pPr>
                          <a:lvl2pPr marL="457200" algn="l" rtl="0" fontAlgn="base">
                            <a:spcBef>
                              <a:spcPct val="0"/>
                            </a:spcBef>
                            <a:spcAft>
                              <a:spcPct val="0"/>
                            </a:spcAft>
                            <a:defRPr sz="2800" kern="1200">
                              <a:solidFill>
                                <a:schemeClr val="tx1"/>
                              </a:solidFill>
                              <a:latin typeface="Times" pitchFamily="18" charset="0"/>
                              <a:ea typeface="+mn-ea"/>
                              <a:cs typeface="Arial" pitchFamily="34" charset="0"/>
                            </a:defRPr>
                          </a:lvl2pPr>
                          <a:lvl3pPr marL="914400" algn="l" rtl="0" fontAlgn="base">
                            <a:spcBef>
                              <a:spcPct val="0"/>
                            </a:spcBef>
                            <a:spcAft>
                              <a:spcPct val="0"/>
                            </a:spcAft>
                            <a:defRPr sz="2800" kern="1200">
                              <a:solidFill>
                                <a:schemeClr val="tx1"/>
                              </a:solidFill>
                              <a:latin typeface="Times" pitchFamily="18" charset="0"/>
                              <a:ea typeface="+mn-ea"/>
                              <a:cs typeface="Arial" pitchFamily="34" charset="0"/>
                            </a:defRPr>
                          </a:lvl3pPr>
                          <a:lvl4pPr marL="1371600" algn="l" rtl="0" fontAlgn="base">
                            <a:spcBef>
                              <a:spcPct val="0"/>
                            </a:spcBef>
                            <a:spcAft>
                              <a:spcPct val="0"/>
                            </a:spcAft>
                            <a:defRPr sz="2800" kern="1200">
                              <a:solidFill>
                                <a:schemeClr val="tx1"/>
                              </a:solidFill>
                              <a:latin typeface="Times" pitchFamily="18" charset="0"/>
                              <a:ea typeface="+mn-ea"/>
                              <a:cs typeface="Arial" pitchFamily="34" charset="0"/>
                            </a:defRPr>
                          </a:lvl4pPr>
                          <a:lvl5pPr marL="1828800" algn="l" rtl="0" fontAlgn="base">
                            <a:spcBef>
                              <a:spcPct val="0"/>
                            </a:spcBef>
                            <a:spcAft>
                              <a:spcPct val="0"/>
                            </a:spcAft>
                            <a:defRPr sz="2800" kern="1200">
                              <a:solidFill>
                                <a:schemeClr val="tx1"/>
                              </a:solidFill>
                              <a:latin typeface="Times" pitchFamily="18" charset="0"/>
                              <a:ea typeface="+mn-ea"/>
                              <a:cs typeface="Arial" pitchFamily="34" charset="0"/>
                            </a:defRPr>
                          </a:lvl5pPr>
                          <a:lvl6pPr marL="2286000" algn="l" defTabSz="914400" rtl="0" eaLnBrk="1" latinLnBrk="0" hangingPunct="1">
                            <a:defRPr sz="2800" kern="1200">
                              <a:solidFill>
                                <a:schemeClr val="tx1"/>
                              </a:solidFill>
                              <a:latin typeface="Times" pitchFamily="18" charset="0"/>
                              <a:ea typeface="+mn-ea"/>
                              <a:cs typeface="Arial" pitchFamily="34" charset="0"/>
                            </a:defRPr>
                          </a:lvl6pPr>
                          <a:lvl7pPr marL="2743200" algn="l" defTabSz="914400" rtl="0" eaLnBrk="1" latinLnBrk="0" hangingPunct="1">
                            <a:defRPr sz="2800" kern="1200">
                              <a:solidFill>
                                <a:schemeClr val="tx1"/>
                              </a:solidFill>
                              <a:latin typeface="Times" pitchFamily="18" charset="0"/>
                              <a:ea typeface="+mn-ea"/>
                              <a:cs typeface="Arial" pitchFamily="34" charset="0"/>
                            </a:defRPr>
                          </a:lvl7pPr>
                          <a:lvl8pPr marL="3200400" algn="l" defTabSz="914400" rtl="0" eaLnBrk="1" latinLnBrk="0" hangingPunct="1">
                            <a:defRPr sz="2800" kern="1200">
                              <a:solidFill>
                                <a:schemeClr val="tx1"/>
                              </a:solidFill>
                              <a:latin typeface="Times" pitchFamily="18" charset="0"/>
                              <a:ea typeface="+mn-ea"/>
                              <a:cs typeface="Arial" pitchFamily="34" charset="0"/>
                            </a:defRPr>
                          </a:lvl8pPr>
                          <a:lvl9pPr marL="3657600" algn="l" defTabSz="914400" rtl="0" eaLnBrk="1" latinLnBrk="0" hangingPunct="1">
                            <a:defRPr sz="2800" kern="1200">
                              <a:solidFill>
                                <a:schemeClr val="tx1"/>
                              </a:solidFill>
                              <a:latin typeface="Times" pitchFamily="18" charset="0"/>
                              <a:ea typeface="+mn-ea"/>
                              <a:cs typeface="Arial" pitchFamily="34" charset="0"/>
                            </a:defRPr>
                          </a:lvl9pPr>
                        </a:lstStyle>
                        <a:p>
                          <a:endParaRPr lang="fr-FR"/>
                        </a:p>
                      </a:txBody>
                      <a:useSpRect/>
                    </a:txSp>
                  </a:sp>
                </lc:lockedCanvas>
              </a:graphicData>
            </a:graphic>
          </wp:anchor>
        </w:drawing>
      </w:r>
      <w:r>
        <w:t>On peut utiliser des bloqueurs de voie pour identifier les voie de l’apoptose : mais si on met des inhibiteurs de la voie des MAP kinases (comme PD193316) , on ne change rien.</w:t>
      </w:r>
    </w:p>
    <w:p w:rsidR="00CF05AF" w:rsidRDefault="00CF05AF" w:rsidP="00652411">
      <w:pPr>
        <w:ind w:firstLine="709"/>
      </w:pPr>
      <w:r>
        <w:t>On en déduit donc que BMP-4 peut passer par la voie des Smad1.</w:t>
      </w:r>
    </w:p>
    <w:p w:rsidR="00CF05AF" w:rsidRDefault="00CF05AF" w:rsidP="00652411">
      <w:pPr>
        <w:ind w:firstLine="709"/>
      </w:pPr>
      <w:r>
        <w:t>BMP-4 se fixe sur un récepteur transmembranaire, ce qui active la phosphorylation du récepteur dimérique</w:t>
      </w:r>
      <w:r>
        <w:sym w:font="Wingdings" w:char="F0E8"/>
      </w:r>
      <w:r>
        <w:t xml:space="preserve"> le récepteur actif active les molécules de Smad dans le cytoplasme.</w:t>
      </w:r>
    </w:p>
    <w:p w:rsidR="00CF05AF" w:rsidRDefault="00CF05AF" w:rsidP="00652411">
      <w:pPr>
        <w:ind w:firstLine="709"/>
      </w:pPr>
      <w:r>
        <w:t>Smad1/5/8 agissent avec smad4 en se dimérisant, ce qui donne une signal de translocation vers le noyau. Le dimère se fixe sur des promoteurs provoquant l’activation ou l’inhibition de certains gènes.</w:t>
      </w:r>
    </w:p>
    <w:p w:rsidR="00CF05AF" w:rsidRDefault="00CF05AF" w:rsidP="00652411">
      <w:pPr>
        <w:ind w:firstLine="709"/>
      </w:pPr>
    </w:p>
    <w:p w:rsidR="00CF05AF" w:rsidRDefault="00CF05AF" w:rsidP="00652411">
      <w:pPr>
        <w:ind w:firstLine="709"/>
      </w:pPr>
      <w:r>
        <w:t>Dans la cellule il existe des répresseurs naturels de la voie des smad : smad6 entre en compétition avec smad4 et bloque la migration des dimères vers le noyau</w:t>
      </w:r>
    </w:p>
    <w:p w:rsidR="00CF05AF" w:rsidRDefault="00CF05AF" w:rsidP="00652411">
      <w:pPr>
        <w:ind w:firstLine="709"/>
      </w:pPr>
    </w:p>
    <w:p w:rsidR="00CF05AF" w:rsidRDefault="00CF05AF" w:rsidP="00652411">
      <w:pPr>
        <w:ind w:firstLine="709"/>
      </w:pPr>
      <w:r>
        <w:t>On a produit un adénovirus qui produit smad6 et un drapeau pour le reconnaître. Si on met smad6, il n’y a plus d’apoptose, avec un adénovirus contrôle (sans smad6), on retrouve une augmentation de l’apoptose par BMP-4</w:t>
      </w:r>
    </w:p>
    <w:p w:rsidR="00CF05AF" w:rsidRDefault="00CF05AF" w:rsidP="00652411">
      <w:pPr>
        <w:ind w:firstLine="709"/>
      </w:pPr>
    </w:p>
    <w:p w:rsidR="002258B8" w:rsidRDefault="002258B8" w:rsidP="00652411">
      <w:pPr>
        <w:ind w:firstLine="709"/>
      </w:pPr>
    </w:p>
    <w:p w:rsidR="002258B8" w:rsidRDefault="002258B8" w:rsidP="00652411">
      <w:pPr>
        <w:ind w:firstLine="709"/>
      </w:pPr>
    </w:p>
    <w:p w:rsidR="002258B8" w:rsidRDefault="002258B8" w:rsidP="00652411">
      <w:pPr>
        <w:ind w:firstLine="709"/>
      </w:pPr>
      <w:r>
        <w:t xml:space="preserve">CONCLUSION : </w:t>
      </w:r>
    </w:p>
    <w:p w:rsidR="002258B8" w:rsidRDefault="002258B8" w:rsidP="00652411">
      <w:pPr>
        <w:ind w:firstLine="709"/>
      </w:pPr>
      <w:r>
        <w:t>BMP-4 active l’apoptose cellulaire en cours de diférenciation via la voie des smad</w:t>
      </w:r>
    </w:p>
    <w:p w:rsidR="00CF05AF" w:rsidRPr="00CF05AF" w:rsidRDefault="00CF05AF" w:rsidP="00CF05AF"/>
    <w:p w:rsidR="00CF05AF" w:rsidRPr="00CF05AF" w:rsidRDefault="00CF05AF" w:rsidP="00CF05AF"/>
    <w:p w:rsidR="00CF05AF" w:rsidRPr="00CF05AF" w:rsidRDefault="00CF05AF" w:rsidP="00CF05AF"/>
    <w:p w:rsidR="00CF05AF" w:rsidRPr="00CF05AF" w:rsidRDefault="00CF05AF" w:rsidP="00CF05AF"/>
    <w:p w:rsidR="00CF05AF" w:rsidRPr="00CF05AF" w:rsidRDefault="00CF05AF" w:rsidP="00CF05AF"/>
    <w:p w:rsidR="00CF05AF" w:rsidRPr="00CF05AF" w:rsidRDefault="00CF05AF" w:rsidP="00CF05AF"/>
    <w:p w:rsidR="00CF05AF" w:rsidRPr="00CF05AF" w:rsidRDefault="00CF05AF" w:rsidP="00CF05AF"/>
    <w:p w:rsidR="00CF05AF" w:rsidRPr="00CF05AF" w:rsidRDefault="00CF05AF" w:rsidP="00CF05AF"/>
    <w:p w:rsidR="00CF05AF" w:rsidRDefault="00CF05AF" w:rsidP="00652411">
      <w:pPr>
        <w:ind w:firstLine="709"/>
      </w:pPr>
    </w:p>
    <w:p w:rsidR="00CF05AF" w:rsidRDefault="00CF05AF" w:rsidP="00652411">
      <w:pPr>
        <w:ind w:firstLine="709"/>
      </w:pPr>
    </w:p>
    <w:p w:rsidR="00CF05AF" w:rsidRPr="00FF287A" w:rsidRDefault="00CF05AF" w:rsidP="00CF05AF">
      <w:pPr>
        <w:tabs>
          <w:tab w:val="left" w:pos="2269"/>
        </w:tabs>
        <w:ind w:firstLine="709"/>
      </w:pPr>
      <w:r>
        <w:tab/>
      </w:r>
      <w:r>
        <w:br w:type="textWrapping" w:clear="all"/>
      </w:r>
    </w:p>
    <w:sectPr w:rsidR="00CF05AF" w:rsidRPr="00FF287A" w:rsidSect="00E6178C">
      <w:headerReference w:type="even" r:id="rId8"/>
      <w:headerReference w:type="default" r:id="rId9"/>
      <w:footerReference w:type="even" r:id="rId10"/>
      <w:footerReference w:type="default" r:id="rId11"/>
      <w:pgSz w:w="11906" w:h="16838" w:code="9"/>
      <w:pgMar w:top="567" w:right="748" w:bottom="851" w:left="720" w:header="709" w:footer="59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3252" w:rsidRDefault="005A3252">
      <w:r>
        <w:separator/>
      </w:r>
    </w:p>
  </w:endnote>
  <w:endnote w:type="continuationSeparator" w:id="1">
    <w:p w:rsidR="005A3252" w:rsidRDefault="005A3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Default="00597DB0" w:rsidP="00446DB1">
    <w:pPr>
      <w:pStyle w:val="Pieddepage"/>
      <w:framePr w:wrap="around" w:vAnchor="text" w:hAnchor="margin" w:xAlign="right" w:y="1"/>
      <w:rPr>
        <w:rStyle w:val="Numrodepage"/>
      </w:rPr>
    </w:pPr>
    <w:r>
      <w:rPr>
        <w:rStyle w:val="Numrodepage"/>
      </w:rPr>
      <w:fldChar w:fldCharType="begin"/>
    </w:r>
    <w:r w:rsidR="00453048">
      <w:rPr>
        <w:rStyle w:val="Numrodepage"/>
      </w:rPr>
      <w:instrText xml:space="preserve">PAGE  </w:instrText>
    </w:r>
    <w:r>
      <w:rPr>
        <w:rStyle w:val="Numrodepage"/>
      </w:rPr>
      <w:fldChar w:fldCharType="end"/>
    </w:r>
  </w:p>
  <w:p w:rsidR="00453048" w:rsidRDefault="00453048" w:rsidP="00446DB1">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Pr="00370110" w:rsidRDefault="00597DB0" w:rsidP="00446DB1">
    <w:pPr>
      <w:pStyle w:val="Pieddepage"/>
      <w:framePr w:wrap="around" w:vAnchor="text" w:hAnchor="margin" w:xAlign="right" w:y="1"/>
      <w:rPr>
        <w:rStyle w:val="Numrodepage"/>
      </w:rPr>
    </w:pPr>
    <w:r w:rsidRPr="00370110">
      <w:rPr>
        <w:rStyle w:val="Numrodepage"/>
      </w:rPr>
      <w:fldChar w:fldCharType="begin"/>
    </w:r>
    <w:r w:rsidR="00453048" w:rsidRPr="00370110">
      <w:rPr>
        <w:rStyle w:val="Numrodepage"/>
      </w:rPr>
      <w:instrText xml:space="preserve">PAGE  </w:instrText>
    </w:r>
    <w:r w:rsidRPr="00370110">
      <w:rPr>
        <w:rStyle w:val="Numrodepage"/>
      </w:rPr>
      <w:fldChar w:fldCharType="separate"/>
    </w:r>
    <w:r w:rsidR="002258B8">
      <w:rPr>
        <w:rStyle w:val="Numrodepage"/>
        <w:noProof/>
      </w:rPr>
      <w:t>2</w:t>
    </w:r>
    <w:r w:rsidRPr="00370110">
      <w:rPr>
        <w:rStyle w:val="Numrodepage"/>
      </w:rPr>
      <w:fldChar w:fldCharType="end"/>
    </w:r>
  </w:p>
  <w:p w:rsidR="00453048" w:rsidRPr="00370110" w:rsidRDefault="00453048" w:rsidP="00446DB1">
    <w:pPr>
      <w:pStyle w:val="Pieddepage"/>
      <w:ind w:right="360"/>
      <w:rPr>
        <w:rStyle w:val="Numrodepage"/>
      </w:rPr>
    </w:pPr>
    <w:r w:rsidRPr="00370110">
      <w:rPr>
        <w:rStyle w:val="Numrodepage"/>
      </w:rPr>
      <w:t>Matière du xx/xx/07</w:t>
    </w:r>
    <w:r>
      <w:rPr>
        <w:rStyle w:val="Numrodepage"/>
      </w:rP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3252" w:rsidRDefault="005A3252">
      <w:r>
        <w:separator/>
      </w:r>
    </w:p>
  </w:footnote>
  <w:footnote w:type="continuationSeparator" w:id="1">
    <w:p w:rsidR="005A3252" w:rsidRDefault="005A3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Default="00597DB0" w:rsidP="00446DB1">
    <w:pPr>
      <w:framePr w:wrap="around" w:vAnchor="text" w:hAnchor="margin" w:xAlign="right" w:y="1"/>
    </w:pPr>
    <w:r>
      <w:fldChar w:fldCharType="begin"/>
    </w:r>
    <w:r w:rsidR="00453048">
      <w:instrText xml:space="preserve">PAGE  </w:instrText>
    </w:r>
    <w:r>
      <w:fldChar w:fldCharType="end"/>
    </w:r>
  </w:p>
  <w:p w:rsidR="00453048" w:rsidRDefault="00453048" w:rsidP="00446DB1">
    <w:pPr>
      <w:ind w:right="360"/>
    </w:pPr>
  </w:p>
  <w:p w:rsidR="00453048" w:rsidRDefault="00453048"/>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Default="00453048" w:rsidP="00446DB1">
    <w:pPr>
      <w:pStyle w:val="En-tte"/>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7399C"/>
    <w:multiLevelType w:val="hybridMultilevel"/>
    <w:tmpl w:val="A0BCFBEE"/>
    <w:lvl w:ilvl="0" w:tplc="040C0001">
      <w:start w:val="1"/>
      <w:numFmt w:val="bullet"/>
      <w:lvlText w:val=""/>
      <w:lvlJc w:val="left"/>
      <w:pPr>
        <w:ind w:left="2137" w:hanging="360"/>
      </w:pPr>
      <w:rPr>
        <w:rFonts w:ascii="Symbol" w:hAnsi="Symbol" w:hint="default"/>
      </w:rPr>
    </w:lvl>
    <w:lvl w:ilvl="1" w:tplc="040C0003" w:tentative="1">
      <w:start w:val="1"/>
      <w:numFmt w:val="bullet"/>
      <w:lvlText w:val="o"/>
      <w:lvlJc w:val="left"/>
      <w:pPr>
        <w:ind w:left="2857" w:hanging="360"/>
      </w:pPr>
      <w:rPr>
        <w:rFonts w:ascii="Courier New" w:hAnsi="Courier New" w:cs="Courier New" w:hint="default"/>
      </w:rPr>
    </w:lvl>
    <w:lvl w:ilvl="2" w:tplc="040C0005" w:tentative="1">
      <w:start w:val="1"/>
      <w:numFmt w:val="bullet"/>
      <w:lvlText w:val=""/>
      <w:lvlJc w:val="left"/>
      <w:pPr>
        <w:ind w:left="3577" w:hanging="360"/>
      </w:pPr>
      <w:rPr>
        <w:rFonts w:ascii="Wingdings" w:hAnsi="Wingdings" w:hint="default"/>
      </w:rPr>
    </w:lvl>
    <w:lvl w:ilvl="3" w:tplc="040C0001" w:tentative="1">
      <w:start w:val="1"/>
      <w:numFmt w:val="bullet"/>
      <w:lvlText w:val=""/>
      <w:lvlJc w:val="left"/>
      <w:pPr>
        <w:ind w:left="4297" w:hanging="360"/>
      </w:pPr>
      <w:rPr>
        <w:rFonts w:ascii="Symbol" w:hAnsi="Symbol" w:hint="default"/>
      </w:rPr>
    </w:lvl>
    <w:lvl w:ilvl="4" w:tplc="040C0003" w:tentative="1">
      <w:start w:val="1"/>
      <w:numFmt w:val="bullet"/>
      <w:lvlText w:val="o"/>
      <w:lvlJc w:val="left"/>
      <w:pPr>
        <w:ind w:left="5017" w:hanging="360"/>
      </w:pPr>
      <w:rPr>
        <w:rFonts w:ascii="Courier New" w:hAnsi="Courier New" w:cs="Courier New" w:hint="default"/>
      </w:rPr>
    </w:lvl>
    <w:lvl w:ilvl="5" w:tplc="040C0005" w:tentative="1">
      <w:start w:val="1"/>
      <w:numFmt w:val="bullet"/>
      <w:lvlText w:val=""/>
      <w:lvlJc w:val="left"/>
      <w:pPr>
        <w:ind w:left="5737" w:hanging="360"/>
      </w:pPr>
      <w:rPr>
        <w:rFonts w:ascii="Wingdings" w:hAnsi="Wingdings" w:hint="default"/>
      </w:rPr>
    </w:lvl>
    <w:lvl w:ilvl="6" w:tplc="040C0001" w:tentative="1">
      <w:start w:val="1"/>
      <w:numFmt w:val="bullet"/>
      <w:lvlText w:val=""/>
      <w:lvlJc w:val="left"/>
      <w:pPr>
        <w:ind w:left="6457" w:hanging="360"/>
      </w:pPr>
      <w:rPr>
        <w:rFonts w:ascii="Symbol" w:hAnsi="Symbol" w:hint="default"/>
      </w:rPr>
    </w:lvl>
    <w:lvl w:ilvl="7" w:tplc="040C0003" w:tentative="1">
      <w:start w:val="1"/>
      <w:numFmt w:val="bullet"/>
      <w:lvlText w:val="o"/>
      <w:lvlJc w:val="left"/>
      <w:pPr>
        <w:ind w:left="7177" w:hanging="360"/>
      </w:pPr>
      <w:rPr>
        <w:rFonts w:ascii="Courier New" w:hAnsi="Courier New" w:cs="Courier New" w:hint="default"/>
      </w:rPr>
    </w:lvl>
    <w:lvl w:ilvl="8" w:tplc="040C0005" w:tentative="1">
      <w:start w:val="1"/>
      <w:numFmt w:val="bullet"/>
      <w:lvlText w:val=""/>
      <w:lvlJc w:val="left"/>
      <w:pPr>
        <w:ind w:left="7897" w:hanging="360"/>
      </w:pPr>
      <w:rPr>
        <w:rFonts w:ascii="Wingdings" w:hAnsi="Wingdings" w:hint="default"/>
      </w:rPr>
    </w:lvl>
  </w:abstractNum>
  <w:abstractNum w:abstractNumId="1">
    <w:nsid w:val="24CD127B"/>
    <w:multiLevelType w:val="hybridMultilevel"/>
    <w:tmpl w:val="4FA82E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D437F40"/>
    <w:multiLevelType w:val="multilevel"/>
    <w:tmpl w:val="B718C51E"/>
    <w:lvl w:ilvl="0">
      <w:start w:val="1"/>
      <w:numFmt w:val="upperRoman"/>
      <w:pStyle w:val="Titre1"/>
      <w:lvlText w:val="%1/"/>
      <w:lvlJc w:val="left"/>
      <w:pPr>
        <w:tabs>
          <w:tab w:val="num" w:pos="900"/>
        </w:tabs>
        <w:ind w:left="540" w:firstLine="0"/>
      </w:pPr>
      <w:rPr>
        <w:rFonts w:hint="default"/>
      </w:rPr>
    </w:lvl>
    <w:lvl w:ilvl="1">
      <w:start w:val="1"/>
      <w:numFmt w:val="decimal"/>
      <w:pStyle w:val="Titre2"/>
      <w:lvlText w:val="%2°)"/>
      <w:lvlJc w:val="left"/>
      <w:pPr>
        <w:tabs>
          <w:tab w:val="num" w:pos="1620"/>
        </w:tabs>
        <w:ind w:left="1260" w:firstLine="0"/>
      </w:pPr>
      <w:rPr>
        <w:rFonts w:hint="default"/>
      </w:rPr>
    </w:lvl>
    <w:lvl w:ilvl="2">
      <w:start w:val="1"/>
      <w:numFmt w:val="lowerLetter"/>
      <w:pStyle w:val="Titre3"/>
      <w:lvlText w:val="%3)"/>
      <w:lvlJc w:val="left"/>
      <w:pPr>
        <w:tabs>
          <w:tab w:val="num" w:pos="2340"/>
        </w:tabs>
        <w:ind w:left="1980" w:firstLine="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lowerLetter"/>
      <w:pStyle w:val="Titre4"/>
      <w:lvlText w:val="%4)"/>
      <w:lvlJc w:val="left"/>
      <w:pPr>
        <w:tabs>
          <w:tab w:val="num" w:pos="3060"/>
        </w:tabs>
        <w:ind w:left="2700" w:firstLine="0"/>
      </w:pPr>
      <w:rPr>
        <w:rFonts w:hint="default"/>
      </w:rPr>
    </w:lvl>
    <w:lvl w:ilvl="4">
      <w:start w:val="1"/>
      <w:numFmt w:val="decimal"/>
      <w:pStyle w:val="Titre5"/>
      <w:lvlText w:val="(%5)"/>
      <w:lvlJc w:val="left"/>
      <w:pPr>
        <w:tabs>
          <w:tab w:val="num" w:pos="3780"/>
        </w:tabs>
        <w:ind w:left="3420" w:firstLine="0"/>
      </w:pPr>
      <w:rPr>
        <w:rFonts w:hint="default"/>
      </w:rPr>
    </w:lvl>
    <w:lvl w:ilvl="5">
      <w:start w:val="1"/>
      <w:numFmt w:val="lowerLetter"/>
      <w:pStyle w:val="Titre6"/>
      <w:lvlText w:val="(%6)"/>
      <w:lvlJc w:val="left"/>
      <w:pPr>
        <w:tabs>
          <w:tab w:val="num" w:pos="4500"/>
        </w:tabs>
        <w:ind w:left="4140" w:firstLine="0"/>
      </w:pPr>
      <w:rPr>
        <w:rFonts w:hint="default"/>
      </w:rPr>
    </w:lvl>
    <w:lvl w:ilvl="6">
      <w:start w:val="1"/>
      <w:numFmt w:val="lowerRoman"/>
      <w:pStyle w:val="Titre7"/>
      <w:lvlText w:val="(%7)"/>
      <w:lvlJc w:val="left"/>
      <w:pPr>
        <w:tabs>
          <w:tab w:val="num" w:pos="5220"/>
        </w:tabs>
        <w:ind w:left="4860" w:firstLine="0"/>
      </w:pPr>
      <w:rPr>
        <w:rFonts w:hint="default"/>
      </w:rPr>
    </w:lvl>
    <w:lvl w:ilvl="7">
      <w:start w:val="1"/>
      <w:numFmt w:val="lowerLetter"/>
      <w:pStyle w:val="Titre8"/>
      <w:lvlText w:val="(%8)"/>
      <w:lvlJc w:val="left"/>
      <w:pPr>
        <w:tabs>
          <w:tab w:val="num" w:pos="5940"/>
        </w:tabs>
        <w:ind w:left="5580" w:firstLine="0"/>
      </w:pPr>
      <w:rPr>
        <w:rFonts w:hint="default"/>
      </w:rPr>
    </w:lvl>
    <w:lvl w:ilvl="8">
      <w:start w:val="1"/>
      <w:numFmt w:val="lowerRoman"/>
      <w:pStyle w:val="Titre9"/>
      <w:lvlText w:val="(%9)"/>
      <w:lvlJc w:val="left"/>
      <w:pPr>
        <w:tabs>
          <w:tab w:val="num" w:pos="6660"/>
        </w:tabs>
        <w:ind w:left="6300" w:firstLine="0"/>
      </w:pPr>
      <w:rPr>
        <w:rFonts w:hint="default"/>
      </w:rPr>
    </w:lvl>
  </w:abstractNum>
  <w:abstractNum w:abstractNumId="3">
    <w:nsid w:val="440B1235"/>
    <w:multiLevelType w:val="hybridMultilevel"/>
    <w:tmpl w:val="6D26A5CC"/>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5DF42ECD"/>
    <w:multiLevelType w:val="hybridMultilevel"/>
    <w:tmpl w:val="6B46C050"/>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F01"/>
  <w:defaultTabStop w:val="708"/>
  <w:hyphenationZone w:val="425"/>
  <w:characterSpacingControl w:val="doNotCompress"/>
  <w:footnotePr>
    <w:footnote w:id="0"/>
    <w:footnote w:id="1"/>
  </w:footnotePr>
  <w:endnotePr>
    <w:endnote w:id="0"/>
    <w:endnote w:id="1"/>
  </w:endnotePr>
  <w:compat/>
  <w:rsids>
    <w:rsidRoot w:val="00FF287A"/>
    <w:rsid w:val="002258B8"/>
    <w:rsid w:val="003E01AD"/>
    <w:rsid w:val="00446DB1"/>
    <w:rsid w:val="00453048"/>
    <w:rsid w:val="00597DB0"/>
    <w:rsid w:val="005A3252"/>
    <w:rsid w:val="006325B8"/>
    <w:rsid w:val="00652411"/>
    <w:rsid w:val="00885535"/>
    <w:rsid w:val="008F461F"/>
    <w:rsid w:val="009042FF"/>
    <w:rsid w:val="00A31707"/>
    <w:rsid w:val="00CF05AF"/>
    <w:rsid w:val="00D77FDE"/>
    <w:rsid w:val="00E6178C"/>
    <w:rsid w:val="00F026A6"/>
    <w:rsid w:val="00F42355"/>
    <w:rsid w:val="00FF287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325B8"/>
    <w:pPr>
      <w:jc w:val="both"/>
    </w:pPr>
    <w:rPr>
      <w:rFonts w:ascii="Arial" w:hAnsi="Arial"/>
      <w:sz w:val="22"/>
      <w:szCs w:val="24"/>
    </w:rPr>
  </w:style>
  <w:style w:type="paragraph" w:styleId="Titre1">
    <w:name w:val="heading 1"/>
    <w:basedOn w:val="Normal"/>
    <w:next w:val="Normal"/>
    <w:link w:val="Titre1Car"/>
    <w:qFormat/>
    <w:rsid w:val="006325B8"/>
    <w:pPr>
      <w:keepNext/>
      <w:numPr>
        <w:numId w:val="1"/>
      </w:numPr>
      <w:pBdr>
        <w:top w:val="single" w:sz="4" w:space="1" w:color="auto"/>
        <w:left w:val="single" w:sz="4" w:space="19" w:color="auto"/>
        <w:bottom w:val="single" w:sz="4" w:space="1" w:color="auto"/>
        <w:right w:val="single" w:sz="4" w:space="4" w:color="auto"/>
      </w:pBdr>
      <w:spacing w:before="240" w:after="60"/>
      <w:ind w:left="454"/>
      <w:outlineLvl w:val="0"/>
    </w:pPr>
    <w:rPr>
      <w:rFonts w:cs="Arial"/>
      <w:b/>
      <w:bCs/>
      <w:noProof/>
      <w:kern w:val="32"/>
      <w:sz w:val="28"/>
      <w:u w:val="single"/>
    </w:rPr>
  </w:style>
  <w:style w:type="paragraph" w:styleId="Titre2">
    <w:name w:val="heading 2"/>
    <w:basedOn w:val="Titre1"/>
    <w:next w:val="Normal"/>
    <w:link w:val="Titre2Car"/>
    <w:qFormat/>
    <w:rsid w:val="006325B8"/>
    <w:pPr>
      <w:numPr>
        <w:ilvl w:val="1"/>
      </w:numPr>
      <w:pBdr>
        <w:top w:val="none" w:sz="0" w:space="0" w:color="auto"/>
        <w:left w:val="none" w:sz="0" w:space="0" w:color="auto"/>
        <w:bottom w:val="none" w:sz="0" w:space="0" w:color="auto"/>
        <w:right w:val="none" w:sz="0" w:space="0" w:color="auto"/>
      </w:pBdr>
      <w:tabs>
        <w:tab w:val="clear" w:pos="1620"/>
        <w:tab w:val="num" w:pos="360"/>
        <w:tab w:val="num" w:pos="1080"/>
      </w:tabs>
      <w:spacing w:before="120"/>
      <w:ind w:left="680"/>
      <w:outlineLvl w:val="1"/>
    </w:pPr>
    <w:rPr>
      <w:sz w:val="26"/>
      <w:szCs w:val="22"/>
    </w:rPr>
  </w:style>
  <w:style w:type="paragraph" w:styleId="Titre3">
    <w:name w:val="heading 3"/>
    <w:basedOn w:val="Normal"/>
    <w:next w:val="Normal"/>
    <w:link w:val="Titre3Car"/>
    <w:qFormat/>
    <w:rsid w:val="006325B8"/>
    <w:pPr>
      <w:keepNext/>
      <w:numPr>
        <w:ilvl w:val="2"/>
        <w:numId w:val="1"/>
      </w:numPr>
      <w:tabs>
        <w:tab w:val="clear" w:pos="2340"/>
        <w:tab w:val="num" w:pos="1260"/>
      </w:tabs>
      <w:spacing w:before="120" w:after="60"/>
      <w:ind w:left="907"/>
      <w:outlineLvl w:val="2"/>
    </w:pPr>
    <w:rPr>
      <w:rFonts w:cs="Arial"/>
      <w:b/>
      <w:bCs/>
      <w:sz w:val="24"/>
      <w:szCs w:val="21"/>
      <w:u w:val="single"/>
    </w:rPr>
  </w:style>
  <w:style w:type="paragraph" w:styleId="Titre4">
    <w:name w:val="heading 4"/>
    <w:basedOn w:val="Normal"/>
    <w:next w:val="Normal"/>
    <w:rsid w:val="006325B8"/>
    <w:pPr>
      <w:keepNext/>
      <w:numPr>
        <w:ilvl w:val="3"/>
        <w:numId w:val="1"/>
      </w:numPr>
      <w:spacing w:before="240" w:after="60"/>
      <w:outlineLvl w:val="3"/>
    </w:pPr>
    <w:rPr>
      <w:rFonts w:ascii="Times New Roman" w:hAnsi="Times New Roman"/>
      <w:b/>
      <w:bCs/>
      <w:sz w:val="28"/>
      <w:szCs w:val="28"/>
    </w:rPr>
  </w:style>
  <w:style w:type="paragraph" w:styleId="Titre5">
    <w:name w:val="heading 5"/>
    <w:basedOn w:val="Normal"/>
    <w:next w:val="Normal"/>
    <w:rsid w:val="006325B8"/>
    <w:pPr>
      <w:numPr>
        <w:ilvl w:val="4"/>
        <w:numId w:val="1"/>
      </w:numPr>
      <w:spacing w:before="240" w:after="60"/>
      <w:outlineLvl w:val="4"/>
    </w:pPr>
    <w:rPr>
      <w:b/>
      <w:bCs/>
      <w:i/>
      <w:iCs/>
      <w:sz w:val="26"/>
      <w:szCs w:val="26"/>
    </w:rPr>
  </w:style>
  <w:style w:type="paragraph" w:styleId="Titre6">
    <w:name w:val="heading 6"/>
    <w:basedOn w:val="Normal"/>
    <w:next w:val="Normal"/>
    <w:rsid w:val="006325B8"/>
    <w:pPr>
      <w:numPr>
        <w:ilvl w:val="5"/>
        <w:numId w:val="1"/>
      </w:numPr>
      <w:spacing w:before="240" w:after="60"/>
      <w:outlineLvl w:val="5"/>
    </w:pPr>
    <w:rPr>
      <w:rFonts w:ascii="Times New Roman" w:hAnsi="Times New Roman"/>
      <w:b/>
      <w:bCs/>
      <w:szCs w:val="22"/>
    </w:rPr>
  </w:style>
  <w:style w:type="paragraph" w:styleId="Titre7">
    <w:name w:val="heading 7"/>
    <w:basedOn w:val="Normal"/>
    <w:next w:val="Normal"/>
    <w:rsid w:val="006325B8"/>
    <w:pPr>
      <w:numPr>
        <w:ilvl w:val="6"/>
        <w:numId w:val="1"/>
      </w:numPr>
      <w:spacing w:before="240" w:after="60"/>
      <w:outlineLvl w:val="6"/>
    </w:pPr>
    <w:rPr>
      <w:rFonts w:ascii="Times New Roman" w:hAnsi="Times New Roman"/>
      <w:sz w:val="24"/>
    </w:rPr>
  </w:style>
  <w:style w:type="paragraph" w:styleId="Titre8">
    <w:name w:val="heading 8"/>
    <w:basedOn w:val="Normal"/>
    <w:next w:val="Normal"/>
    <w:rsid w:val="006325B8"/>
    <w:pPr>
      <w:numPr>
        <w:ilvl w:val="7"/>
        <w:numId w:val="1"/>
      </w:numPr>
      <w:spacing w:before="240" w:after="60"/>
      <w:outlineLvl w:val="7"/>
    </w:pPr>
    <w:rPr>
      <w:rFonts w:ascii="Times New Roman" w:hAnsi="Times New Roman"/>
      <w:i/>
      <w:iCs/>
      <w:sz w:val="24"/>
    </w:rPr>
  </w:style>
  <w:style w:type="paragraph" w:styleId="Titre9">
    <w:name w:val="heading 9"/>
    <w:basedOn w:val="Normal"/>
    <w:next w:val="Normal"/>
    <w:rsid w:val="006325B8"/>
    <w:pPr>
      <w:numPr>
        <w:ilvl w:val="8"/>
        <w:numId w:val="1"/>
      </w:numPr>
      <w:spacing w:before="240" w:after="60"/>
      <w:outlineLvl w:val="8"/>
    </w:pPr>
    <w:rPr>
      <w:rFonts w:cs="Arial"/>
      <w:szCs w:val="22"/>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6325B8"/>
    <w:rPr>
      <w:rFonts w:ascii="Arial" w:hAnsi="Arial" w:cs="Arial"/>
      <w:b/>
      <w:bCs/>
      <w:noProof/>
      <w:kern w:val="32"/>
      <w:sz w:val="28"/>
      <w:szCs w:val="24"/>
      <w:u w:val="single"/>
      <w:lang w:val="fr-FR" w:eastAsia="fr-FR" w:bidi="ar-SA"/>
    </w:rPr>
  </w:style>
  <w:style w:type="character" w:customStyle="1" w:styleId="Titre2Car">
    <w:name w:val="Titre 2 Car"/>
    <w:basedOn w:val="Titre1Car"/>
    <w:link w:val="Titre2"/>
    <w:rsid w:val="006325B8"/>
    <w:rPr>
      <w:sz w:val="26"/>
      <w:szCs w:val="22"/>
    </w:rPr>
  </w:style>
  <w:style w:type="character" w:customStyle="1" w:styleId="Titre3Car">
    <w:name w:val="Titre 3 Car"/>
    <w:basedOn w:val="Policepardfaut"/>
    <w:link w:val="Titre3"/>
    <w:rsid w:val="006325B8"/>
    <w:rPr>
      <w:rFonts w:ascii="Arial" w:hAnsi="Arial" w:cs="Arial"/>
      <w:b/>
      <w:bCs/>
      <w:sz w:val="24"/>
      <w:szCs w:val="21"/>
      <w:u w:val="single"/>
      <w:lang w:val="fr-FR" w:eastAsia="fr-FR" w:bidi="ar-SA"/>
    </w:rPr>
  </w:style>
  <w:style w:type="paragraph" w:customStyle="1" w:styleId="Schmadiaponx">
    <w:name w:val="Schéma / diapo n°x"/>
    <w:basedOn w:val="Normal"/>
    <w:link w:val="SchmadiaponxCar"/>
    <w:rsid w:val="006325B8"/>
    <w:rPr>
      <w:rFonts w:cs="Arial"/>
      <w:szCs w:val="22"/>
      <w:bdr w:val="single" w:sz="4" w:space="0" w:color="auto"/>
    </w:rPr>
  </w:style>
  <w:style w:type="paragraph" w:styleId="Pieddepage">
    <w:name w:val="footer"/>
    <w:basedOn w:val="Normal"/>
    <w:rsid w:val="006325B8"/>
    <w:pPr>
      <w:tabs>
        <w:tab w:val="center" w:pos="4536"/>
        <w:tab w:val="right" w:pos="9072"/>
      </w:tabs>
    </w:pPr>
  </w:style>
  <w:style w:type="paragraph" w:styleId="En-tte">
    <w:name w:val="header"/>
    <w:basedOn w:val="Normal"/>
    <w:rsid w:val="006325B8"/>
    <w:pPr>
      <w:tabs>
        <w:tab w:val="center" w:pos="4536"/>
        <w:tab w:val="right" w:pos="9072"/>
      </w:tabs>
    </w:pPr>
  </w:style>
  <w:style w:type="character" w:styleId="Numrodepage">
    <w:name w:val="page number"/>
    <w:basedOn w:val="Policepardfaut"/>
    <w:rsid w:val="006325B8"/>
    <w:rPr>
      <w:sz w:val="20"/>
      <w:szCs w:val="20"/>
    </w:rPr>
  </w:style>
  <w:style w:type="paragraph" w:customStyle="1" w:styleId="Refschema">
    <w:name w:val="Ref schema"/>
    <w:basedOn w:val="Schmadiaponx"/>
    <w:link w:val="RefschemaCar"/>
    <w:rsid w:val="00E6178C"/>
  </w:style>
  <w:style w:type="character" w:customStyle="1" w:styleId="SchmadiaponxCar">
    <w:name w:val="Schéma / diapo n°x Car"/>
    <w:basedOn w:val="Policepardfaut"/>
    <w:link w:val="Schmadiaponx"/>
    <w:rsid w:val="00E6178C"/>
    <w:rPr>
      <w:rFonts w:ascii="Arial" w:hAnsi="Arial" w:cs="Arial"/>
      <w:sz w:val="22"/>
      <w:szCs w:val="22"/>
      <w:bdr w:val="single" w:sz="4" w:space="0" w:color="auto"/>
    </w:rPr>
  </w:style>
  <w:style w:type="character" w:customStyle="1" w:styleId="RefschemaCar">
    <w:name w:val="Ref schema Car"/>
    <w:basedOn w:val="SchmadiaponxCar"/>
    <w:link w:val="Refschema"/>
    <w:rsid w:val="00E6178C"/>
  </w:style>
  <w:style w:type="paragraph" w:styleId="Paragraphedeliste">
    <w:name w:val="List Paragraph"/>
    <w:basedOn w:val="Normal"/>
    <w:uiPriority w:val="34"/>
    <w:rsid w:val="00F026A6"/>
    <w:pPr>
      <w:ind w:left="720"/>
      <w:contextualSpacing/>
    </w:pPr>
  </w:style>
  <w:style w:type="paragraph" w:styleId="Textedebulles">
    <w:name w:val="Balloon Text"/>
    <w:basedOn w:val="Normal"/>
    <w:link w:val="TextedebullesCar"/>
    <w:rsid w:val="00CF05AF"/>
    <w:rPr>
      <w:rFonts w:ascii="Tahoma" w:hAnsi="Tahoma" w:cs="Tahoma"/>
      <w:sz w:val="16"/>
      <w:szCs w:val="16"/>
    </w:rPr>
  </w:style>
  <w:style w:type="character" w:customStyle="1" w:styleId="TextedebullesCar">
    <w:name w:val="Texte de bulles Car"/>
    <w:basedOn w:val="Policepardfaut"/>
    <w:link w:val="Textedebulles"/>
    <w:rsid w:val="00CF05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modele_corpo%202.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F0600-2081-4813-A350-34D100DBF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modele_corpo 2</Template>
  <TotalTime>73</TotalTime>
  <Pages>2</Pages>
  <Words>792</Words>
  <Characters>4360</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dc:creator>
  <cp:lastModifiedBy>Hugo</cp:lastModifiedBy>
  <cp:revision>3</cp:revision>
  <dcterms:created xsi:type="dcterms:W3CDTF">2008-04-22T14:05:00Z</dcterms:created>
  <dcterms:modified xsi:type="dcterms:W3CDTF">2008-04-23T10:24:00Z</dcterms:modified>
</cp:coreProperties>
</file>