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25B8" w:rsidRDefault="006325B8" w:rsidP="006325B8">
      <w:pPr>
        <w:pStyle w:val="Titre1"/>
        <w:numPr>
          <w:ilvl w:val="0"/>
          <w:numId w:val="0"/>
        </w:numPr>
        <w:pBdr>
          <w:top w:val="none" w:sz="0" w:space="0" w:color="auto"/>
          <w:left w:val="none" w:sz="0" w:space="0" w:color="auto"/>
          <w:bottom w:val="none" w:sz="0" w:space="0" w:color="auto"/>
          <w:right w:val="none" w:sz="0" w:space="0" w:color="auto"/>
        </w:pBdr>
      </w:pPr>
      <w:r w:rsidRPr="001E340F">
        <w:pict>
          <v:shapetype id="_x0000_t202" coordsize="21600,21600" o:spt="202" path="m,l,21600r21600,l21600,xe">
            <v:stroke joinstyle="miter"/>
            <v:path gradientshapeok="t" o:connecttype="rect"/>
          </v:shapetype>
          <v:shape id="_x0000_s1026" type="#_x0000_t202" style="position:absolute;left:0;text-align:left;margin-left:180pt;margin-top:-19.75pt;width:180pt;height:48.85pt;z-index:251657728">
            <v:textbox style="mso-next-textbox:#_x0000_s1026">
              <w:txbxContent>
                <w:p w:rsidR="00453048" w:rsidRPr="00E6178C" w:rsidRDefault="00681D5C" w:rsidP="006325B8">
                  <w:pPr>
                    <w:jc w:val="center"/>
                    <w:rPr>
                      <w:rFonts w:cs="Arial"/>
                      <w:sz w:val="32"/>
                      <w:szCs w:val="32"/>
                    </w:rPr>
                  </w:pPr>
                  <w:r>
                    <w:rPr>
                      <w:rFonts w:cs="Arial"/>
                      <w:sz w:val="32"/>
                      <w:szCs w:val="32"/>
                    </w:rPr>
                    <w:t>Les cellules tumorales circulantes</w:t>
                  </w:r>
                </w:p>
              </w:txbxContent>
            </v:textbox>
          </v:shape>
        </w:pict>
      </w:r>
      <w:r w:rsidR="00453048">
        <w:br/>
      </w:r>
    </w:p>
    <w:p w:rsidR="00681D5C" w:rsidRDefault="00681D5C">
      <w:r>
        <w:t xml:space="preserve">C’est une problématique qui existe depuis plus de 100 ans. </w:t>
      </w:r>
    </w:p>
    <w:p w:rsidR="00681D5C" w:rsidRDefault="00681D5C">
      <w:r>
        <w:t>Quand on est opéré d’un cancer (ex : poumon stade T1), on ne fait plus de chimiothérapie car on ne le fait que si il y a une cible tumorale. Parfois on traite quand même les tumeurs car il y a un risque de métastases.</w:t>
      </w:r>
    </w:p>
    <w:p w:rsidR="00681D5C" w:rsidRDefault="00681D5C">
      <w:r>
        <w:t xml:space="preserve">Certains </w:t>
      </w:r>
      <w:r w:rsidR="0098171B">
        <w:t>cancers</w:t>
      </w:r>
      <w:r>
        <w:t xml:space="preserve"> sont lymphophiles (ex : cancer su sein) et d’autres sont hématophiles (métastases cérébrales, rénales…). Chez les patients qui ont des tumeurs circulantes alors que la tumeur a été réséquée, on doit donner un traitement car ils ne sont pas guéris. Ca n’est pas automatique car on ne sait pas si les cellules circulantes va donner des méta, de plus le problème des faux positifs et des faux négatifs existent.</w:t>
      </w:r>
    </w:p>
    <w:p w:rsidR="0098171B" w:rsidRDefault="0098171B"/>
    <w:p w:rsidR="0098171B" w:rsidRDefault="0098171B">
      <w:r>
        <w:t xml:space="preserve">Si on fait un pubmed (recueil de citations médicales) : USA environ 9000 articles, Allemagne environ 1000 articles pour 58 en France. </w:t>
      </w:r>
    </w:p>
    <w:p w:rsidR="0098171B" w:rsidRDefault="0098171B" w:rsidP="0098171B">
      <w:pPr>
        <w:pStyle w:val="Titre1"/>
      </w:pPr>
      <w:r>
        <w:t>Définitions</w:t>
      </w:r>
    </w:p>
    <w:p w:rsidR="0098171B" w:rsidRDefault="0098171B" w:rsidP="0098171B"/>
    <w:p w:rsidR="00467E2E" w:rsidRDefault="00467E2E" w:rsidP="0098171B">
      <w:r>
        <w:t>Diapo 2</w:t>
      </w:r>
    </w:p>
    <w:p w:rsidR="0098171B" w:rsidRDefault="0098171B" w:rsidP="0098171B">
      <w:pPr>
        <w:ind w:firstLine="709"/>
      </w:pPr>
      <w:r>
        <w:t>Au début, on s’est domandé comment se créaient les métastases</w:t>
      </w:r>
    </w:p>
    <w:p w:rsidR="0098171B" w:rsidRDefault="0098171B" w:rsidP="0098171B">
      <w:pPr>
        <w:ind w:firstLine="709"/>
      </w:pPr>
      <w:r>
        <w:rPr>
          <w:color w:val="FF0000"/>
        </w:rPr>
        <w:t>Cellule tumorale circulante</w:t>
      </w:r>
      <w:r>
        <w:t xml:space="preserve"> et non cellules métastatiques circulantes, car la métastase n’est pas encore constituée. Le prof préfère le terme de cellule épithéliales circulantes. </w:t>
      </w:r>
    </w:p>
    <w:p w:rsidR="0098171B" w:rsidRDefault="0098171B" w:rsidP="0098171B">
      <w:pPr>
        <w:ind w:firstLine="709"/>
      </w:pPr>
      <w:r>
        <w:t xml:space="preserve">Les CTC sont protégées contre l’anoïkis (apoptose des cellules se détachant d’une tumeur) car elle a une fonction qui la rend plus agressive. </w:t>
      </w:r>
    </w:p>
    <w:p w:rsidR="0098171B" w:rsidRDefault="0098171B" w:rsidP="0098171B">
      <w:pPr>
        <w:ind w:firstLine="709"/>
      </w:pPr>
      <w:r>
        <w:t xml:space="preserve">Il y a également le mécanisme de transition epithélio-mésenchymateuses (perte des filaments de cytokératine(marqueurs de cellule epithéliale) qui faisaient d’elle une cellule épithéliale et acquisition de caractères de cellules mésenchymateuses). Quand la cellule remonte dans un organe pour métastaser, elle va ré acquérir ses caractéristiques de cellule épithéliales et re perdre les caractères mésenchymateux. </w:t>
      </w:r>
    </w:p>
    <w:p w:rsidR="00467E2E" w:rsidRDefault="00467E2E" w:rsidP="0098171B">
      <w:pPr>
        <w:ind w:firstLine="709"/>
      </w:pPr>
      <w:r>
        <w:t>Les cellules tumorales dormantes vont dans un organe et ne développent pas de tumeur, et parfois se réveillent 5 à 6 ans plus tard et commencent à proliférer.</w:t>
      </w:r>
    </w:p>
    <w:p w:rsidR="00467E2E" w:rsidRDefault="00467E2E" w:rsidP="0098171B">
      <w:pPr>
        <w:ind w:firstLine="709"/>
      </w:pPr>
    </w:p>
    <w:p w:rsidR="00467E2E" w:rsidRDefault="00467E2E" w:rsidP="00467E2E">
      <w:r>
        <w:t>Diapo 3</w:t>
      </w:r>
    </w:p>
    <w:p w:rsidR="00467E2E" w:rsidRDefault="00467E2E" w:rsidP="0098171B">
      <w:pPr>
        <w:ind w:firstLine="709"/>
      </w:pPr>
      <w:r>
        <w:t xml:space="preserve">Les vaisseaux amènent de l’oxygène qui permet à la tumeur de grossir, et à un moment ou un autre il y a métastase par intravasation. Un certain nombre de cellules meurt et un autre ne meurt pas et est résistant à l’apoptose, c’est ce groupe qui va donner des métastases. </w:t>
      </w:r>
    </w:p>
    <w:p w:rsidR="00467E2E" w:rsidRDefault="00467E2E" w:rsidP="0098171B">
      <w:pPr>
        <w:ind w:firstLine="709"/>
      </w:pPr>
      <w:r>
        <w:t>Le pronostic d’un cancer est non seulement la méta mais aussi la reprise locale. Une nouvelle hypothèse a été formulée : les cellules tumorales circulantes reviendraient dans le tissu d’origine car les facteurs nutritifs seraient très bons pour le développement des tumeurs.</w:t>
      </w:r>
    </w:p>
    <w:p w:rsidR="00467E2E" w:rsidRDefault="00241716" w:rsidP="00241716">
      <w:pPr>
        <w:pStyle w:val="Titre1"/>
      </w:pPr>
      <w:r>
        <w:t>Méthodes actuelles permettant la détection des CTC</w:t>
      </w:r>
    </w:p>
    <w:p w:rsidR="00467E2E" w:rsidRDefault="00467E2E" w:rsidP="0098171B">
      <w:pPr>
        <w:ind w:firstLine="709"/>
      </w:pPr>
      <w:r>
        <w:t>Diapo 4</w:t>
      </w:r>
    </w:p>
    <w:p w:rsidR="00467E2E" w:rsidRDefault="00467E2E" w:rsidP="0098171B">
      <w:pPr>
        <w:ind w:firstLine="709"/>
      </w:pPr>
    </w:p>
    <w:p w:rsidR="00467E2E" w:rsidRDefault="00467E2E" w:rsidP="0098171B">
      <w:pPr>
        <w:ind w:firstLine="709"/>
      </w:pPr>
      <w:r>
        <w:t xml:space="preserve">Les méthodes sont évaluées par 3 critères : coût, spécificité, sensibilité. Le coût est très important à prendre en compte pour éviter la médecine à 2 vitesses. </w:t>
      </w:r>
    </w:p>
    <w:p w:rsidR="00467E2E" w:rsidRDefault="00467E2E" w:rsidP="00467E2E">
      <w:pPr>
        <w:pStyle w:val="Titre2"/>
      </w:pPr>
      <w:r>
        <w:t>Méthodes indirectes</w:t>
      </w:r>
    </w:p>
    <w:p w:rsidR="00241716" w:rsidRDefault="00241716" w:rsidP="00241716">
      <w:pPr>
        <w:pStyle w:val="Titre3"/>
      </w:pPr>
      <w:r>
        <w:t>Immuno-détection</w:t>
      </w:r>
    </w:p>
    <w:p w:rsidR="00241716" w:rsidRDefault="00241716" w:rsidP="00241716">
      <w:r>
        <w:t>Cela se fait avec des Ac, ferrofluides coatés…</w:t>
      </w:r>
    </w:p>
    <w:p w:rsidR="00241716" w:rsidRDefault="00241716" w:rsidP="00241716">
      <w:r>
        <w:tab/>
      </w:r>
      <w:r>
        <w:tab/>
        <w:t>Ex : la technique cellSearch (diapo 5) on l’utilise bcp aux USA pour traiter les patients après avoir détecté les CTC. Ponction de 10mL et on passe le sang dans la machine, et un autre produit (Ac) qui se fixe sur epp-CAM (marqueur spé des cellules épithéliales circulantes) et elle envoie un cocktail d’Ac Anti-cytokératine + anti CD45 pour les lymphocytes.</w:t>
      </w:r>
    </w:p>
    <w:p w:rsidR="007F7CDB" w:rsidRDefault="007F7CDB" w:rsidP="00241716">
      <w:r>
        <w:t>Avantage de CellSearch (diapo 7) la technique est quantitative et sensible et deja développée en europe</w:t>
      </w:r>
    </w:p>
    <w:p w:rsidR="007F7CDB" w:rsidRDefault="007F7CDB" w:rsidP="00241716">
      <w:r>
        <w:t xml:space="preserve">Inconvénient : cout élevé (1000€ pour 16 patients) difficulté des méthodes de recueil pour les analyses moléculaires, la technique n’est pas forcément très spécifique. </w:t>
      </w:r>
    </w:p>
    <w:p w:rsidR="007F7CDB" w:rsidRDefault="007F7CDB" w:rsidP="00241716">
      <w:r>
        <w:lastRenderedPageBreak/>
        <w:t xml:space="preserve">Image virtuelle de résultat de CellSearch (diapo 8). Le résultat est significatif si on a plus de 5 cellules isolées. </w:t>
      </w:r>
    </w:p>
    <w:p w:rsidR="007F7CDB" w:rsidRDefault="007F7CDB" w:rsidP="00241716">
      <w:r>
        <w:t>Image de cellules captées dans le sang d’un patient diapo 9</w:t>
      </w:r>
    </w:p>
    <w:p w:rsidR="007F7CDB" w:rsidRDefault="007F7CDB" w:rsidP="00241716"/>
    <w:p w:rsidR="007F7CDB" w:rsidRDefault="007F7CDB" w:rsidP="00241716">
      <w:r>
        <w:t>Limites de la méthode CellSearch</w:t>
      </w:r>
    </w:p>
    <w:p w:rsidR="007F7CDB" w:rsidRDefault="007F7CDB" w:rsidP="00241716"/>
    <w:p w:rsidR="007F7CDB" w:rsidRDefault="007F7CDB" w:rsidP="00241716">
      <w:r>
        <w:t>Diapo 10</w:t>
      </w:r>
    </w:p>
    <w:p w:rsidR="007F7CDB" w:rsidRDefault="007F7CDB" w:rsidP="00241716">
      <w:r>
        <w:t xml:space="preserve">Certaines CEC n’expriment pas les cytokératines </w:t>
      </w:r>
    </w:p>
    <w:p w:rsidR="007F7CDB" w:rsidRDefault="007F7CDB" w:rsidP="00241716">
      <w:r>
        <w:t>Certaines cellules circulantes d’origine hématopoïétique (macrophages)peuvent exprimer certaines cytokératines</w:t>
      </w:r>
    </w:p>
    <w:p w:rsidR="007F7CDB" w:rsidRDefault="007F7CDB" w:rsidP="00241716">
      <w:r>
        <w:t>Les cellules épithéliales circulantes non néoplasiques sont détectées par cette méthode</w:t>
      </w:r>
    </w:p>
    <w:p w:rsidR="007F7CDB" w:rsidRDefault="007F7CDB" w:rsidP="00241716">
      <w:r>
        <w:t>Il s’agit d’une quantification automatique des éléments positifs.</w:t>
      </w:r>
    </w:p>
    <w:p w:rsidR="00241716" w:rsidRDefault="00241716" w:rsidP="00241716">
      <w:pPr>
        <w:pStyle w:val="Titre3"/>
      </w:pPr>
      <w:r>
        <w:t>Méthodes de biologie moléculaire</w:t>
      </w:r>
    </w:p>
    <w:p w:rsidR="00241716" w:rsidRDefault="00241716" w:rsidP="00241716">
      <w:pPr>
        <w:pStyle w:val="Titre2"/>
      </w:pPr>
    </w:p>
    <w:p w:rsidR="00241716" w:rsidRDefault="00241716" w:rsidP="00241716">
      <w:pPr>
        <w:pStyle w:val="Titre3"/>
      </w:pPr>
    </w:p>
    <w:p w:rsidR="00241716" w:rsidRDefault="00241716" w:rsidP="00241716">
      <w:pPr>
        <w:pStyle w:val="Titre3"/>
      </w:pPr>
    </w:p>
    <w:p w:rsidR="007F7CDB" w:rsidRDefault="007F7CDB" w:rsidP="007F7CDB">
      <w:r>
        <w:t>La technique ISET (diapo 11) est peu utilisée. Cette machine a échappé à l’INSERM</w:t>
      </w:r>
      <w:r w:rsidR="00C05943">
        <w:t>. On filtre et on récupère tout ce qui n’est pas hématopoïétique (plus grand que 8µm-Diapo 12)</w:t>
      </w:r>
    </w:p>
    <w:p w:rsidR="00C05943" w:rsidRDefault="00C05943" w:rsidP="007F7CDB">
      <w:r>
        <w:t xml:space="preserve">Diapo 13 : </w:t>
      </w:r>
    </w:p>
    <w:p w:rsidR="00C05943" w:rsidRDefault="00C05943" w:rsidP="007F7CDB">
      <w:r>
        <w:t>Avantages : Spécificité : ce que l’on voit ce sont des cellules épithéliales. Pour dire si elles sont tumorales, il faut qu’il y ait les signes de …. Cout faible, Rapidité, Analyse moléculaire potentielle.</w:t>
      </w:r>
    </w:p>
    <w:p w:rsidR="00C05943" w:rsidRDefault="00C05943" w:rsidP="007F7CDB">
      <w:r>
        <w:t>Inconvénients : sensibilité ? quantification difficile, il faut analyser le sang dans les 2h.</w:t>
      </w:r>
    </w:p>
    <w:p w:rsidR="00C05943" w:rsidRDefault="00C05943" w:rsidP="007F7CDB">
      <w:r>
        <w:t>On peut faire un test de sensibilité (diapo 14)</w:t>
      </w:r>
    </w:p>
    <w:p w:rsidR="00C05943" w:rsidRDefault="00C05943" w:rsidP="007F7CDB"/>
    <w:p w:rsidR="00C05943" w:rsidRDefault="00C05943" w:rsidP="00C05943">
      <w:pPr>
        <w:pStyle w:val="Titre1"/>
      </w:pPr>
      <w:r>
        <w:t>Classification des CTC (méthode ISET)</w:t>
      </w:r>
    </w:p>
    <w:p w:rsidR="00C05943" w:rsidRDefault="00C05943" w:rsidP="00C05943">
      <w:r>
        <w:t>Diapo 15</w:t>
      </w:r>
    </w:p>
    <w:p w:rsidR="00C05943" w:rsidRDefault="00C05943" w:rsidP="00C05943">
      <w:r>
        <w:t>Les cellules sans critères de malignité</w:t>
      </w:r>
    </w:p>
    <w:p w:rsidR="00C05943" w:rsidRDefault="00C05943" w:rsidP="00C05943">
      <w:r>
        <w:t>Les cellules avec critères cytologiques de malignité</w:t>
      </w:r>
    </w:p>
    <w:p w:rsidR="00C05943" w:rsidRDefault="00C05943" w:rsidP="00C05943">
      <w:r>
        <w:t>Les cellules cytologiquement inclassables</w:t>
      </w:r>
    </w:p>
    <w:p w:rsidR="00C05943" w:rsidRDefault="00C05943" w:rsidP="00C05943"/>
    <w:p w:rsidR="00C05943" w:rsidRDefault="00C05943" w:rsidP="00C05943">
      <w:r>
        <w:t xml:space="preserve">Il faut adapter ce que l’on connaît à ce que l’on voit. </w:t>
      </w:r>
    </w:p>
    <w:p w:rsidR="00C05943" w:rsidRDefault="00C05943" w:rsidP="00C05943"/>
    <w:p w:rsidR="00C05943" w:rsidRDefault="00C05943" w:rsidP="00C05943">
      <w:r>
        <w:t>Diapo 16</w:t>
      </w:r>
    </w:p>
    <w:p w:rsidR="00C05943" w:rsidRDefault="00C05943" w:rsidP="00C05943">
      <w:pPr>
        <w:pStyle w:val="Titre3"/>
        <w:numPr>
          <w:ilvl w:val="0"/>
          <w:numId w:val="4"/>
        </w:numPr>
      </w:pPr>
      <w:r>
        <w:t>Noyau à contour irrégulier</w:t>
      </w:r>
    </w:p>
    <w:p w:rsidR="00C05943" w:rsidRDefault="00C05943" w:rsidP="00C05943">
      <w:pPr>
        <w:numPr>
          <w:ilvl w:val="0"/>
          <w:numId w:val="4"/>
        </w:numPr>
      </w:pPr>
      <w:r>
        <w:t>Anisonucléose</w:t>
      </w:r>
    </w:p>
    <w:p w:rsidR="00C05943" w:rsidRDefault="00C05943" w:rsidP="00C05943">
      <w:pPr>
        <w:numPr>
          <w:ilvl w:val="0"/>
          <w:numId w:val="4"/>
        </w:numPr>
      </w:pPr>
      <w:r>
        <w:t>Nucléole(s) volumineux</w:t>
      </w:r>
    </w:p>
    <w:p w:rsidR="00C05943" w:rsidRDefault="00C05943" w:rsidP="00C05943">
      <w:pPr>
        <w:numPr>
          <w:ilvl w:val="0"/>
          <w:numId w:val="4"/>
        </w:numPr>
      </w:pPr>
      <w:r>
        <w:t>Rapport nucléo-cytoplasmique élevé</w:t>
      </w:r>
      <w:r w:rsidRPr="00C05943">
        <w:t xml:space="preserve"> </w:t>
      </w:r>
      <w:r>
        <w:t>(Nécessité de pouvoir analyser le cytoplasme)</w:t>
      </w:r>
    </w:p>
    <w:p w:rsidR="00C05943" w:rsidRDefault="00C05943" w:rsidP="00C05943">
      <w:pPr>
        <w:numPr>
          <w:ilvl w:val="0"/>
          <w:numId w:val="4"/>
        </w:numPr>
      </w:pPr>
      <w:r>
        <w:t>Amas avec chevauchement nucléaire</w:t>
      </w:r>
    </w:p>
    <w:p w:rsidR="00C05943" w:rsidRDefault="00C05943" w:rsidP="00C05943">
      <w:pPr>
        <w:ind w:left="720"/>
      </w:pPr>
    </w:p>
    <w:p w:rsidR="00C05943" w:rsidRDefault="00C05943" w:rsidP="00C05943">
      <w:pPr>
        <w:ind w:left="720"/>
      </w:pPr>
      <w:r>
        <w:t>Pour retenir ce diagnostic, au moins 3 de ces 5 critères sont requis</w:t>
      </w:r>
    </w:p>
    <w:p w:rsidR="00B968B8" w:rsidRDefault="00B968B8" w:rsidP="00B968B8">
      <w:r>
        <w:t>Exemple : Diapo 17-18-19-20-21(inclassable)</w:t>
      </w:r>
    </w:p>
    <w:p w:rsidR="00B968B8" w:rsidRDefault="00B968B8" w:rsidP="00B968B8"/>
    <w:p w:rsidR="00B968B8" w:rsidRDefault="00B968B8" w:rsidP="00B968B8"/>
    <w:p w:rsidR="00B968B8" w:rsidRDefault="00B968B8" w:rsidP="00B968B8">
      <w:r>
        <w:t>Diapo 23</w:t>
      </w:r>
    </w:p>
    <w:p w:rsidR="00B968B8" w:rsidRDefault="00B968B8" w:rsidP="00B968B8">
      <w:r>
        <w:t>Immunocytochimie</w:t>
      </w:r>
    </w:p>
    <w:p w:rsidR="00B968B8" w:rsidRDefault="00B968B8" w:rsidP="00B968B8">
      <w:r>
        <w:t>On ne sait pas si la technique est réellement efficace, car les cellules circulantes n’ont pas forcément les Ags correspondant aux Acs</w:t>
      </w:r>
    </w:p>
    <w:p w:rsidR="00B968B8" w:rsidRDefault="00B968B8" w:rsidP="00B968B8"/>
    <w:p w:rsidR="00B968B8" w:rsidRDefault="00B968B8" w:rsidP="00B968B8">
      <w:r>
        <w:t>Diapo ??</w:t>
      </w:r>
    </w:p>
    <w:p w:rsidR="00B968B8" w:rsidRDefault="00B968B8" w:rsidP="00B968B8">
      <w:r>
        <w:t>On fait de la biologie moléculaire pour apporter des informations complémentaires.</w:t>
      </w:r>
    </w:p>
    <w:p w:rsidR="00B968B8" w:rsidRDefault="00B968B8" w:rsidP="00B968B8">
      <w:r>
        <w:t>Quand on a des cellules sur une lame, on peut amplifier leur ADN pour faire la CGH arrays.</w:t>
      </w:r>
    </w:p>
    <w:p w:rsidR="00B968B8" w:rsidRDefault="00B968B8" w:rsidP="00B968B8"/>
    <w:p w:rsidR="00B968B8" w:rsidRDefault="00B968B8" w:rsidP="00B968B8"/>
    <w:p w:rsidR="00954202" w:rsidRDefault="00954202" w:rsidP="00B968B8"/>
    <w:p w:rsidR="00954202" w:rsidRDefault="00954202" w:rsidP="00B968B8">
      <w:r>
        <w:lastRenderedPageBreak/>
        <w:t>Conclusion</w:t>
      </w:r>
    </w:p>
    <w:p w:rsidR="00954202" w:rsidRDefault="00954202" w:rsidP="00B968B8">
      <w:r>
        <w:t xml:space="preserve">Le test ISET a du mal à se développer car CellSearch a un monopole mondial. </w:t>
      </w:r>
    </w:p>
    <w:p w:rsidR="00954202" w:rsidRDefault="00954202" w:rsidP="00B968B8">
      <w:r>
        <w:t>Cette technique nous permet de redéfinir morphologiquement les CTCs. Il faut le faire à l’échelle nationale.</w:t>
      </w:r>
    </w:p>
    <w:p w:rsidR="00954202" w:rsidRDefault="00954202" w:rsidP="00B968B8"/>
    <w:p w:rsidR="00954202" w:rsidRDefault="00954202" w:rsidP="00B968B8">
      <w:r>
        <w:t xml:space="preserve">Les enjeux sont majeurs : </w:t>
      </w:r>
    </w:p>
    <w:p w:rsidR="00954202" w:rsidRDefault="00954202" w:rsidP="00B968B8"/>
    <w:sectPr w:rsidR="00954202" w:rsidSect="00E6178C">
      <w:headerReference w:type="even" r:id="rId7"/>
      <w:headerReference w:type="default" r:id="rId8"/>
      <w:footerReference w:type="even" r:id="rId9"/>
      <w:footerReference w:type="default" r:id="rId10"/>
      <w:pgSz w:w="11906" w:h="16838" w:code="9"/>
      <w:pgMar w:top="567" w:right="748" w:bottom="851" w:left="720" w:header="709" w:footer="59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A2705" w:rsidRDefault="004A2705">
      <w:r>
        <w:separator/>
      </w:r>
    </w:p>
  </w:endnote>
  <w:endnote w:type="continuationSeparator" w:id="1">
    <w:p w:rsidR="004A2705" w:rsidRDefault="004A270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3048" w:rsidRDefault="00453048" w:rsidP="00446DB1">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rsidR="00453048" w:rsidRDefault="00453048" w:rsidP="00446DB1">
    <w:pPr>
      <w:pStyle w:val="Pieddepag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3048" w:rsidRPr="00370110" w:rsidRDefault="00453048" w:rsidP="00446DB1">
    <w:pPr>
      <w:pStyle w:val="Pieddepage"/>
      <w:framePr w:wrap="around" w:vAnchor="text" w:hAnchor="margin" w:xAlign="right" w:y="1"/>
      <w:rPr>
        <w:rStyle w:val="Numrodepage"/>
      </w:rPr>
    </w:pPr>
    <w:r w:rsidRPr="00370110">
      <w:rPr>
        <w:rStyle w:val="Numrodepage"/>
      </w:rPr>
      <w:fldChar w:fldCharType="begin"/>
    </w:r>
    <w:r w:rsidRPr="00370110">
      <w:rPr>
        <w:rStyle w:val="Numrodepage"/>
      </w:rPr>
      <w:instrText xml:space="preserve">PAGE  </w:instrText>
    </w:r>
    <w:r w:rsidRPr="00370110">
      <w:rPr>
        <w:rStyle w:val="Numrodepage"/>
      </w:rPr>
      <w:fldChar w:fldCharType="separate"/>
    </w:r>
    <w:r w:rsidR="00E31AA2">
      <w:rPr>
        <w:rStyle w:val="Numrodepage"/>
        <w:noProof/>
      </w:rPr>
      <w:t>3</w:t>
    </w:r>
    <w:r w:rsidRPr="00370110">
      <w:rPr>
        <w:rStyle w:val="Numrodepage"/>
      </w:rPr>
      <w:fldChar w:fldCharType="end"/>
    </w:r>
  </w:p>
  <w:p w:rsidR="00453048" w:rsidRPr="00370110" w:rsidRDefault="00453048" w:rsidP="00446DB1">
    <w:pPr>
      <w:pStyle w:val="Pieddepage"/>
      <w:ind w:right="360"/>
      <w:rPr>
        <w:rStyle w:val="Numrodepage"/>
      </w:rPr>
    </w:pPr>
    <w:r w:rsidRPr="00370110">
      <w:rPr>
        <w:rStyle w:val="Numrodepage"/>
      </w:rPr>
      <w:t>Matière du xx/xx/07</w:t>
    </w:r>
    <w:r>
      <w:rPr>
        <w:rStyle w:val="Numrodepage"/>
      </w:rPr>
      <w:tab/>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A2705" w:rsidRDefault="004A2705">
      <w:r>
        <w:separator/>
      </w:r>
    </w:p>
  </w:footnote>
  <w:footnote w:type="continuationSeparator" w:id="1">
    <w:p w:rsidR="004A2705" w:rsidRDefault="004A270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3048" w:rsidRDefault="00453048" w:rsidP="00446DB1">
    <w:pPr>
      <w:framePr w:wrap="around" w:vAnchor="text" w:hAnchor="margin" w:xAlign="right" w:y="1"/>
    </w:pPr>
    <w:r>
      <w:fldChar w:fldCharType="begin"/>
    </w:r>
    <w:r>
      <w:instrText xml:space="preserve">PAGE  </w:instrText>
    </w:r>
    <w:r>
      <w:fldChar w:fldCharType="end"/>
    </w:r>
  </w:p>
  <w:p w:rsidR="00453048" w:rsidRDefault="00453048" w:rsidP="00446DB1">
    <w:pPr>
      <w:ind w:right="360"/>
    </w:pPr>
  </w:p>
  <w:p w:rsidR="00453048" w:rsidRDefault="00453048"/>
  <w:p w:rsidR="00453048" w:rsidRDefault="00453048" w:rsidP="00446DB1"/>
  <w:p w:rsidR="00453048" w:rsidRDefault="00453048" w:rsidP="00446DB1"/>
  <w:p w:rsidR="00453048" w:rsidRDefault="00453048" w:rsidP="00446DB1"/>
  <w:p w:rsidR="00453048" w:rsidRDefault="00453048" w:rsidP="00446DB1"/>
  <w:p w:rsidR="00453048" w:rsidRDefault="00453048" w:rsidP="00446DB1"/>
  <w:p w:rsidR="00453048" w:rsidRDefault="00453048" w:rsidP="00446DB1"/>
  <w:p w:rsidR="00453048" w:rsidRDefault="00453048" w:rsidP="00446DB1"/>
  <w:p w:rsidR="00453048" w:rsidRDefault="00453048" w:rsidP="00446DB1"/>
  <w:p w:rsidR="00453048" w:rsidRDefault="00453048" w:rsidP="00446DB1"/>
  <w:p w:rsidR="00453048" w:rsidRDefault="00453048" w:rsidP="00446DB1"/>
  <w:p w:rsidR="00453048" w:rsidRDefault="00453048" w:rsidP="00446DB1"/>
  <w:p w:rsidR="00453048" w:rsidRDefault="00453048" w:rsidP="00446DB1"/>
  <w:p w:rsidR="00453048" w:rsidRDefault="00453048" w:rsidP="00446DB1"/>
  <w:p w:rsidR="00453048" w:rsidRDefault="00453048" w:rsidP="00446DB1"/>
  <w:p w:rsidR="00453048" w:rsidRDefault="00453048" w:rsidP="00446DB1"/>
  <w:p w:rsidR="00453048" w:rsidRDefault="00453048" w:rsidP="00446DB1"/>
  <w:p w:rsidR="00453048" w:rsidRDefault="00453048" w:rsidP="00446DB1"/>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3048" w:rsidRDefault="00453048" w:rsidP="00446DB1">
    <w:pPr>
      <w:pStyle w:val="En-tte"/>
      <w:ind w:right="360"/>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CD127B"/>
    <w:multiLevelType w:val="hybridMultilevel"/>
    <w:tmpl w:val="4FA82E2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3D437F40"/>
    <w:multiLevelType w:val="multilevel"/>
    <w:tmpl w:val="B718C51E"/>
    <w:lvl w:ilvl="0">
      <w:start w:val="1"/>
      <w:numFmt w:val="upperRoman"/>
      <w:pStyle w:val="Titre1"/>
      <w:lvlText w:val="%1/"/>
      <w:lvlJc w:val="left"/>
      <w:pPr>
        <w:tabs>
          <w:tab w:val="num" w:pos="900"/>
        </w:tabs>
        <w:ind w:left="540" w:firstLine="0"/>
      </w:pPr>
      <w:rPr>
        <w:rFonts w:hint="default"/>
      </w:rPr>
    </w:lvl>
    <w:lvl w:ilvl="1">
      <w:start w:val="1"/>
      <w:numFmt w:val="decimal"/>
      <w:pStyle w:val="Titre2"/>
      <w:lvlText w:val="%2°)"/>
      <w:lvlJc w:val="left"/>
      <w:pPr>
        <w:tabs>
          <w:tab w:val="num" w:pos="1620"/>
        </w:tabs>
        <w:ind w:left="1260" w:firstLine="0"/>
      </w:pPr>
      <w:rPr>
        <w:rFonts w:hint="default"/>
      </w:rPr>
    </w:lvl>
    <w:lvl w:ilvl="2">
      <w:start w:val="1"/>
      <w:numFmt w:val="lowerLetter"/>
      <w:pStyle w:val="Titre3"/>
      <w:lvlText w:val="%3)"/>
      <w:lvlJc w:val="left"/>
      <w:pPr>
        <w:tabs>
          <w:tab w:val="num" w:pos="2340"/>
        </w:tabs>
        <w:ind w:left="1980" w:firstLine="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lang/>
      </w:rPr>
    </w:lvl>
    <w:lvl w:ilvl="3">
      <w:start w:val="1"/>
      <w:numFmt w:val="lowerLetter"/>
      <w:pStyle w:val="Titre4"/>
      <w:lvlText w:val="%4)"/>
      <w:lvlJc w:val="left"/>
      <w:pPr>
        <w:tabs>
          <w:tab w:val="num" w:pos="3060"/>
        </w:tabs>
        <w:ind w:left="2700" w:firstLine="0"/>
      </w:pPr>
      <w:rPr>
        <w:rFonts w:hint="default"/>
      </w:rPr>
    </w:lvl>
    <w:lvl w:ilvl="4">
      <w:start w:val="1"/>
      <w:numFmt w:val="decimal"/>
      <w:pStyle w:val="Titre5"/>
      <w:lvlText w:val="(%5)"/>
      <w:lvlJc w:val="left"/>
      <w:pPr>
        <w:tabs>
          <w:tab w:val="num" w:pos="3780"/>
        </w:tabs>
        <w:ind w:left="3420" w:firstLine="0"/>
      </w:pPr>
      <w:rPr>
        <w:rFonts w:hint="default"/>
      </w:rPr>
    </w:lvl>
    <w:lvl w:ilvl="5">
      <w:start w:val="1"/>
      <w:numFmt w:val="lowerLetter"/>
      <w:pStyle w:val="Titre6"/>
      <w:lvlText w:val="(%6)"/>
      <w:lvlJc w:val="left"/>
      <w:pPr>
        <w:tabs>
          <w:tab w:val="num" w:pos="4500"/>
        </w:tabs>
        <w:ind w:left="4140" w:firstLine="0"/>
      </w:pPr>
      <w:rPr>
        <w:rFonts w:hint="default"/>
      </w:rPr>
    </w:lvl>
    <w:lvl w:ilvl="6">
      <w:start w:val="1"/>
      <w:numFmt w:val="lowerRoman"/>
      <w:pStyle w:val="Titre7"/>
      <w:lvlText w:val="(%7)"/>
      <w:lvlJc w:val="left"/>
      <w:pPr>
        <w:tabs>
          <w:tab w:val="num" w:pos="5220"/>
        </w:tabs>
        <w:ind w:left="4860" w:firstLine="0"/>
      </w:pPr>
      <w:rPr>
        <w:rFonts w:hint="default"/>
      </w:rPr>
    </w:lvl>
    <w:lvl w:ilvl="7">
      <w:start w:val="1"/>
      <w:numFmt w:val="lowerLetter"/>
      <w:pStyle w:val="Titre8"/>
      <w:lvlText w:val="(%8)"/>
      <w:lvlJc w:val="left"/>
      <w:pPr>
        <w:tabs>
          <w:tab w:val="num" w:pos="5940"/>
        </w:tabs>
        <w:ind w:left="5580" w:firstLine="0"/>
      </w:pPr>
      <w:rPr>
        <w:rFonts w:hint="default"/>
      </w:rPr>
    </w:lvl>
    <w:lvl w:ilvl="8">
      <w:start w:val="1"/>
      <w:numFmt w:val="lowerRoman"/>
      <w:pStyle w:val="Titre9"/>
      <w:lvlText w:val="(%9)"/>
      <w:lvlJc w:val="left"/>
      <w:pPr>
        <w:tabs>
          <w:tab w:val="num" w:pos="6660"/>
        </w:tabs>
        <w:ind w:left="6300" w:firstLine="0"/>
      </w:pPr>
      <w:rPr>
        <w:rFonts w:hint="default"/>
      </w:rPr>
    </w:lvl>
  </w:abstractNum>
  <w:abstractNum w:abstractNumId="2">
    <w:nsid w:val="440B1235"/>
    <w:multiLevelType w:val="hybridMultilevel"/>
    <w:tmpl w:val="6D26A5CC"/>
    <w:lvl w:ilvl="0" w:tplc="040C000D">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5BE9391D"/>
    <w:multiLevelType w:val="hybridMultilevel"/>
    <w:tmpl w:val="B3E84B0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ttachedTemplate r:id="rId1"/>
  <w:stylePaneFormatFilter w:val="3F01"/>
  <w:defaultTabStop w:val="708"/>
  <w:hyphenationZone w:val="425"/>
  <w:characterSpacingControl w:val="doNotCompress"/>
  <w:footnotePr>
    <w:footnote w:id="0"/>
    <w:footnote w:id="1"/>
  </w:footnotePr>
  <w:endnotePr>
    <w:endnote w:id="0"/>
    <w:endnote w:id="1"/>
  </w:endnotePr>
  <w:compat/>
  <w:rsids>
    <w:rsidRoot w:val="0098171B"/>
    <w:rsid w:val="00241716"/>
    <w:rsid w:val="003E01AD"/>
    <w:rsid w:val="00446DB1"/>
    <w:rsid w:val="00453048"/>
    <w:rsid w:val="00467E2E"/>
    <w:rsid w:val="004A2705"/>
    <w:rsid w:val="006325B8"/>
    <w:rsid w:val="00681D5C"/>
    <w:rsid w:val="007F7CDB"/>
    <w:rsid w:val="00885535"/>
    <w:rsid w:val="00954202"/>
    <w:rsid w:val="0098171B"/>
    <w:rsid w:val="00B968B8"/>
    <w:rsid w:val="00C05943"/>
    <w:rsid w:val="00D77FDE"/>
    <w:rsid w:val="00E31AA2"/>
    <w:rsid w:val="00E6178C"/>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caption" w:semiHidden="1" w:unhideWhenUsed="1"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325B8"/>
    <w:pPr>
      <w:jc w:val="both"/>
    </w:pPr>
    <w:rPr>
      <w:rFonts w:ascii="Arial" w:hAnsi="Arial"/>
      <w:sz w:val="22"/>
      <w:szCs w:val="24"/>
    </w:rPr>
  </w:style>
  <w:style w:type="paragraph" w:styleId="Titre1">
    <w:name w:val="heading 1"/>
    <w:basedOn w:val="Normal"/>
    <w:next w:val="Normal"/>
    <w:link w:val="Titre1Car"/>
    <w:qFormat/>
    <w:rsid w:val="006325B8"/>
    <w:pPr>
      <w:keepNext/>
      <w:numPr>
        <w:numId w:val="1"/>
      </w:numPr>
      <w:pBdr>
        <w:top w:val="single" w:sz="4" w:space="1" w:color="auto"/>
        <w:left w:val="single" w:sz="4" w:space="19" w:color="auto"/>
        <w:bottom w:val="single" w:sz="4" w:space="1" w:color="auto"/>
        <w:right w:val="single" w:sz="4" w:space="4" w:color="auto"/>
      </w:pBdr>
      <w:spacing w:before="240" w:after="60"/>
      <w:ind w:left="454"/>
      <w:outlineLvl w:val="0"/>
    </w:pPr>
    <w:rPr>
      <w:rFonts w:cs="Arial"/>
      <w:b/>
      <w:bCs/>
      <w:noProof/>
      <w:kern w:val="32"/>
      <w:sz w:val="28"/>
      <w:u w:val="single"/>
    </w:rPr>
  </w:style>
  <w:style w:type="paragraph" w:styleId="Titre2">
    <w:name w:val="heading 2"/>
    <w:basedOn w:val="Titre1"/>
    <w:next w:val="Normal"/>
    <w:link w:val="Titre2Car"/>
    <w:qFormat/>
    <w:rsid w:val="006325B8"/>
    <w:pPr>
      <w:numPr>
        <w:ilvl w:val="1"/>
      </w:numPr>
      <w:pBdr>
        <w:top w:val="none" w:sz="0" w:space="0" w:color="auto"/>
        <w:left w:val="none" w:sz="0" w:space="0" w:color="auto"/>
        <w:bottom w:val="none" w:sz="0" w:space="0" w:color="auto"/>
        <w:right w:val="none" w:sz="0" w:space="0" w:color="auto"/>
      </w:pBdr>
      <w:tabs>
        <w:tab w:val="clear" w:pos="1620"/>
        <w:tab w:val="num" w:pos="360"/>
        <w:tab w:val="num" w:pos="1080"/>
      </w:tabs>
      <w:spacing w:before="120"/>
      <w:ind w:left="680"/>
      <w:outlineLvl w:val="1"/>
    </w:pPr>
    <w:rPr>
      <w:sz w:val="26"/>
      <w:szCs w:val="22"/>
    </w:rPr>
  </w:style>
  <w:style w:type="paragraph" w:styleId="Titre3">
    <w:name w:val="heading 3"/>
    <w:basedOn w:val="Normal"/>
    <w:next w:val="Normal"/>
    <w:link w:val="Titre3Car"/>
    <w:qFormat/>
    <w:rsid w:val="006325B8"/>
    <w:pPr>
      <w:keepNext/>
      <w:numPr>
        <w:ilvl w:val="2"/>
        <w:numId w:val="1"/>
      </w:numPr>
      <w:tabs>
        <w:tab w:val="clear" w:pos="2340"/>
        <w:tab w:val="num" w:pos="1260"/>
      </w:tabs>
      <w:spacing w:before="120" w:after="60"/>
      <w:ind w:left="907"/>
      <w:outlineLvl w:val="2"/>
    </w:pPr>
    <w:rPr>
      <w:rFonts w:cs="Arial"/>
      <w:b/>
      <w:bCs/>
      <w:sz w:val="24"/>
      <w:szCs w:val="21"/>
      <w:u w:val="single"/>
    </w:rPr>
  </w:style>
  <w:style w:type="paragraph" w:styleId="Titre4">
    <w:name w:val="heading 4"/>
    <w:basedOn w:val="Normal"/>
    <w:next w:val="Normal"/>
    <w:rsid w:val="006325B8"/>
    <w:pPr>
      <w:keepNext/>
      <w:numPr>
        <w:ilvl w:val="3"/>
        <w:numId w:val="1"/>
      </w:numPr>
      <w:spacing w:before="240" w:after="60"/>
      <w:outlineLvl w:val="3"/>
    </w:pPr>
    <w:rPr>
      <w:rFonts w:ascii="Times New Roman" w:hAnsi="Times New Roman"/>
      <w:b/>
      <w:bCs/>
      <w:sz w:val="28"/>
      <w:szCs w:val="28"/>
    </w:rPr>
  </w:style>
  <w:style w:type="paragraph" w:styleId="Titre5">
    <w:name w:val="heading 5"/>
    <w:basedOn w:val="Normal"/>
    <w:next w:val="Normal"/>
    <w:rsid w:val="006325B8"/>
    <w:pPr>
      <w:numPr>
        <w:ilvl w:val="4"/>
        <w:numId w:val="1"/>
      </w:numPr>
      <w:spacing w:before="240" w:after="60"/>
      <w:outlineLvl w:val="4"/>
    </w:pPr>
    <w:rPr>
      <w:b/>
      <w:bCs/>
      <w:i/>
      <w:iCs/>
      <w:sz w:val="26"/>
      <w:szCs w:val="26"/>
    </w:rPr>
  </w:style>
  <w:style w:type="paragraph" w:styleId="Titre6">
    <w:name w:val="heading 6"/>
    <w:basedOn w:val="Normal"/>
    <w:next w:val="Normal"/>
    <w:rsid w:val="006325B8"/>
    <w:pPr>
      <w:numPr>
        <w:ilvl w:val="5"/>
        <w:numId w:val="1"/>
      </w:numPr>
      <w:spacing w:before="240" w:after="60"/>
      <w:outlineLvl w:val="5"/>
    </w:pPr>
    <w:rPr>
      <w:rFonts w:ascii="Times New Roman" w:hAnsi="Times New Roman"/>
      <w:b/>
      <w:bCs/>
      <w:szCs w:val="22"/>
    </w:rPr>
  </w:style>
  <w:style w:type="paragraph" w:styleId="Titre7">
    <w:name w:val="heading 7"/>
    <w:basedOn w:val="Normal"/>
    <w:next w:val="Normal"/>
    <w:rsid w:val="006325B8"/>
    <w:pPr>
      <w:numPr>
        <w:ilvl w:val="6"/>
        <w:numId w:val="1"/>
      </w:numPr>
      <w:spacing w:before="240" w:after="60"/>
      <w:outlineLvl w:val="6"/>
    </w:pPr>
    <w:rPr>
      <w:rFonts w:ascii="Times New Roman" w:hAnsi="Times New Roman"/>
      <w:sz w:val="24"/>
    </w:rPr>
  </w:style>
  <w:style w:type="paragraph" w:styleId="Titre8">
    <w:name w:val="heading 8"/>
    <w:basedOn w:val="Normal"/>
    <w:next w:val="Normal"/>
    <w:rsid w:val="006325B8"/>
    <w:pPr>
      <w:numPr>
        <w:ilvl w:val="7"/>
        <w:numId w:val="1"/>
      </w:numPr>
      <w:spacing w:before="240" w:after="60"/>
      <w:outlineLvl w:val="7"/>
    </w:pPr>
    <w:rPr>
      <w:rFonts w:ascii="Times New Roman" w:hAnsi="Times New Roman"/>
      <w:i/>
      <w:iCs/>
      <w:sz w:val="24"/>
    </w:rPr>
  </w:style>
  <w:style w:type="paragraph" w:styleId="Titre9">
    <w:name w:val="heading 9"/>
    <w:basedOn w:val="Normal"/>
    <w:next w:val="Normal"/>
    <w:rsid w:val="006325B8"/>
    <w:pPr>
      <w:numPr>
        <w:ilvl w:val="8"/>
        <w:numId w:val="1"/>
      </w:numPr>
      <w:spacing w:before="240" w:after="60"/>
      <w:outlineLvl w:val="8"/>
    </w:pPr>
    <w:rPr>
      <w:rFonts w:cs="Arial"/>
      <w:szCs w:val="22"/>
    </w:rPr>
  </w:style>
  <w:style w:type="character" w:default="1" w:styleId="Policepardfaut">
    <w:name w:val="Default Paragraph Font"/>
    <w:semiHidden/>
  </w:style>
  <w:style w:type="table" w:default="1" w:styleId="TableauNormal">
    <w:name w:val="Normal Table"/>
    <w:semiHidden/>
    <w:tblPr>
      <w:tblInd w:w="0" w:type="dxa"/>
      <w:tblCellMar>
        <w:top w:w="0" w:type="dxa"/>
        <w:left w:w="108" w:type="dxa"/>
        <w:bottom w:w="0" w:type="dxa"/>
        <w:right w:w="108" w:type="dxa"/>
      </w:tblCellMar>
    </w:tblPr>
  </w:style>
  <w:style w:type="numbering" w:default="1" w:styleId="Aucuneliste">
    <w:name w:val="No List"/>
    <w:semiHidden/>
  </w:style>
  <w:style w:type="character" w:customStyle="1" w:styleId="Titre1Car">
    <w:name w:val="Titre 1 Car"/>
    <w:basedOn w:val="Policepardfaut"/>
    <w:link w:val="Titre1"/>
    <w:rsid w:val="006325B8"/>
    <w:rPr>
      <w:rFonts w:ascii="Arial" w:hAnsi="Arial" w:cs="Arial"/>
      <w:b/>
      <w:bCs/>
      <w:noProof/>
      <w:kern w:val="32"/>
      <w:sz w:val="28"/>
      <w:szCs w:val="24"/>
      <w:u w:val="single"/>
      <w:lang w:val="fr-FR" w:eastAsia="fr-FR" w:bidi="ar-SA"/>
    </w:rPr>
  </w:style>
  <w:style w:type="character" w:customStyle="1" w:styleId="Titre2Car">
    <w:name w:val="Titre 2 Car"/>
    <w:basedOn w:val="Titre1Car"/>
    <w:link w:val="Titre2"/>
    <w:rsid w:val="006325B8"/>
    <w:rPr>
      <w:sz w:val="26"/>
      <w:szCs w:val="22"/>
    </w:rPr>
  </w:style>
  <w:style w:type="character" w:customStyle="1" w:styleId="Titre3Car">
    <w:name w:val="Titre 3 Car"/>
    <w:basedOn w:val="Policepardfaut"/>
    <w:link w:val="Titre3"/>
    <w:rsid w:val="006325B8"/>
    <w:rPr>
      <w:rFonts w:ascii="Arial" w:hAnsi="Arial" w:cs="Arial"/>
      <w:b/>
      <w:bCs/>
      <w:sz w:val="24"/>
      <w:szCs w:val="21"/>
      <w:u w:val="single"/>
      <w:lang w:val="fr-FR" w:eastAsia="fr-FR" w:bidi="ar-SA"/>
    </w:rPr>
  </w:style>
  <w:style w:type="paragraph" w:customStyle="1" w:styleId="Schmadiaponx">
    <w:name w:val="Schéma / diapo n°x"/>
    <w:basedOn w:val="Normal"/>
    <w:link w:val="SchmadiaponxCar"/>
    <w:rsid w:val="006325B8"/>
    <w:rPr>
      <w:rFonts w:cs="Arial"/>
      <w:szCs w:val="22"/>
      <w:bdr w:val="single" w:sz="4" w:space="0" w:color="auto"/>
    </w:rPr>
  </w:style>
  <w:style w:type="paragraph" w:styleId="Pieddepage">
    <w:name w:val="footer"/>
    <w:basedOn w:val="Normal"/>
    <w:rsid w:val="006325B8"/>
    <w:pPr>
      <w:tabs>
        <w:tab w:val="center" w:pos="4536"/>
        <w:tab w:val="right" w:pos="9072"/>
      </w:tabs>
    </w:pPr>
  </w:style>
  <w:style w:type="paragraph" w:styleId="En-tte">
    <w:name w:val="header"/>
    <w:basedOn w:val="Normal"/>
    <w:rsid w:val="006325B8"/>
    <w:pPr>
      <w:tabs>
        <w:tab w:val="center" w:pos="4536"/>
        <w:tab w:val="right" w:pos="9072"/>
      </w:tabs>
    </w:pPr>
  </w:style>
  <w:style w:type="character" w:styleId="Numrodepage">
    <w:name w:val="page number"/>
    <w:basedOn w:val="Policepardfaut"/>
    <w:rsid w:val="006325B8"/>
    <w:rPr>
      <w:sz w:val="20"/>
      <w:szCs w:val="20"/>
    </w:rPr>
  </w:style>
  <w:style w:type="paragraph" w:customStyle="1" w:styleId="Refschema">
    <w:name w:val="Ref schema"/>
    <w:basedOn w:val="Schmadiaponx"/>
    <w:rsid w:val="00E6178C"/>
  </w:style>
  <w:style w:type="character" w:customStyle="1" w:styleId="SchmadiaponxCar">
    <w:name w:val="Schéma / diapo n°x Car"/>
    <w:basedOn w:val="Policepardfaut"/>
    <w:link w:val="Schmadiaponx"/>
    <w:rsid w:val="00E6178C"/>
    <w:rPr>
      <w:rFonts w:ascii="Arial" w:hAnsi="Arial" w:cs="Arial"/>
      <w:sz w:val="22"/>
      <w:szCs w:val="22"/>
      <w:bdr w:val="single" w:sz="4" w:space="0" w:color="auto"/>
    </w:rPr>
  </w:style>
  <w:style w:type="character" w:customStyle="1" w:styleId="RefschemaCar">
    <w:name w:val="Ref schema Car"/>
    <w:basedOn w:val="SchmadiaponxCar"/>
    <w:link w:val="Refschema"/>
    <w:rsid w:val="00E6178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modele_corpo%202.dot"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modele_corpo 2</Template>
  <TotalTime>86</TotalTime>
  <Pages>3</Pages>
  <Words>853</Words>
  <Characters>4694</Characters>
  <Application>Microsoft Office Word</Application>
  <DocSecurity>0</DocSecurity>
  <Lines>39</Lines>
  <Paragraphs>11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5536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Hugo</dc:creator>
  <cp:lastModifiedBy>Hugo</cp:lastModifiedBy>
  <cp:revision>1</cp:revision>
  <dcterms:created xsi:type="dcterms:W3CDTF">2008-04-24T12:14:00Z</dcterms:created>
  <dcterms:modified xsi:type="dcterms:W3CDTF">2008-04-24T13:40:00Z</dcterms:modified>
</cp:coreProperties>
</file>