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16C" w:rsidRPr="00634A83" w:rsidRDefault="00021BA5" w:rsidP="00021BA5">
      <w:pPr>
        <w:jc w:val="center"/>
        <w:rPr>
          <w:rFonts w:ascii="Arial" w:hAnsi="Arial" w:cs="Arial"/>
          <w:b/>
          <w:sz w:val="32"/>
          <w:szCs w:val="32"/>
        </w:rPr>
      </w:pPr>
      <w:r w:rsidRPr="00634A83">
        <w:rPr>
          <w:rFonts w:ascii="Arial" w:hAnsi="Arial" w:cs="Arial"/>
          <w:b/>
          <w:sz w:val="32"/>
          <w:szCs w:val="32"/>
        </w:rPr>
        <w:t xml:space="preserve">Biologie moléculaire et régulation de la communication cellulaire </w:t>
      </w:r>
    </w:p>
    <w:p w:rsidR="00021BA5" w:rsidRPr="00021BA5" w:rsidRDefault="00021BA5" w:rsidP="00021BA5">
      <w:pPr>
        <w:jc w:val="center"/>
        <w:rPr>
          <w:rFonts w:ascii="Arial" w:hAnsi="Arial" w:cs="Arial"/>
          <w:b/>
          <w:sz w:val="28"/>
          <w:szCs w:val="28"/>
        </w:rPr>
      </w:pPr>
      <w:r w:rsidRPr="00021BA5">
        <w:rPr>
          <w:rFonts w:ascii="Arial" w:hAnsi="Arial" w:cs="Arial"/>
          <w:b/>
          <w:sz w:val="28"/>
          <w:szCs w:val="28"/>
        </w:rPr>
        <w:t xml:space="preserve">Aspects fondamentaux et cliniques </w:t>
      </w:r>
    </w:p>
    <w:p w:rsidR="00021BA5" w:rsidRPr="00021BA5" w:rsidRDefault="00021BA5" w:rsidP="00021BA5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Grilledutableau"/>
        <w:tblW w:w="0" w:type="auto"/>
        <w:tblLook w:val="04A0"/>
      </w:tblPr>
      <w:tblGrid>
        <w:gridCol w:w="9747"/>
        <w:gridCol w:w="2694"/>
        <w:gridCol w:w="992"/>
        <w:gridCol w:w="2105"/>
      </w:tblGrid>
      <w:tr w:rsidR="0083680C" w:rsidRPr="00021BA5" w:rsidTr="0083680C">
        <w:tc>
          <w:tcPr>
            <w:tcW w:w="97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1BA5" w:rsidRPr="00634A83" w:rsidRDefault="00021BA5" w:rsidP="00021BA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34A83">
              <w:rPr>
                <w:rFonts w:ascii="Arial" w:hAnsi="Arial" w:cs="Arial"/>
                <w:b/>
                <w:sz w:val="28"/>
                <w:szCs w:val="28"/>
              </w:rPr>
              <w:t>Programme prévisionnel de l’UE</w:t>
            </w:r>
          </w:p>
          <w:p w:rsidR="00021BA5" w:rsidRPr="00021BA5" w:rsidRDefault="00021BA5" w:rsidP="00021BA5">
            <w:pPr>
              <w:jc w:val="center"/>
              <w:rPr>
                <w:rFonts w:ascii="Arial" w:hAnsi="Arial" w:cs="Arial"/>
                <w:b/>
              </w:rPr>
            </w:pPr>
            <w:r w:rsidRPr="00021BA5">
              <w:rPr>
                <w:rFonts w:ascii="Arial" w:hAnsi="Arial" w:cs="Arial"/>
                <w:b/>
              </w:rPr>
              <w:t>cours de 2h maximum – Amphi 5</w:t>
            </w:r>
          </w:p>
        </w:tc>
        <w:tc>
          <w:tcPr>
            <w:tcW w:w="2694" w:type="dxa"/>
            <w:tcBorders>
              <w:left w:val="single" w:sz="4" w:space="0" w:color="auto"/>
            </w:tcBorders>
            <w:vAlign w:val="center"/>
          </w:tcPr>
          <w:p w:rsidR="00021BA5" w:rsidRPr="00021BA5" w:rsidRDefault="00021BA5" w:rsidP="00021BA5">
            <w:pPr>
              <w:jc w:val="center"/>
              <w:rPr>
                <w:rFonts w:ascii="Arial" w:hAnsi="Arial" w:cs="Arial"/>
                <w:b/>
              </w:rPr>
            </w:pPr>
            <w:r w:rsidRPr="00021BA5">
              <w:rPr>
                <w:rFonts w:ascii="Arial" w:hAnsi="Arial" w:cs="Arial"/>
                <w:b/>
              </w:rPr>
              <w:t>Enseignants</w:t>
            </w:r>
          </w:p>
        </w:tc>
        <w:tc>
          <w:tcPr>
            <w:tcW w:w="992" w:type="dxa"/>
            <w:vAlign w:val="center"/>
          </w:tcPr>
          <w:p w:rsidR="00021BA5" w:rsidRPr="00021BA5" w:rsidRDefault="00021BA5" w:rsidP="00021BA5">
            <w:pPr>
              <w:jc w:val="center"/>
              <w:rPr>
                <w:rFonts w:ascii="Arial" w:hAnsi="Arial" w:cs="Arial"/>
                <w:b/>
              </w:rPr>
            </w:pPr>
            <w:r w:rsidRPr="00021BA5">
              <w:rPr>
                <w:rFonts w:ascii="Arial" w:hAnsi="Arial" w:cs="Arial"/>
                <w:b/>
              </w:rPr>
              <w:t>Durée</w:t>
            </w:r>
          </w:p>
        </w:tc>
        <w:tc>
          <w:tcPr>
            <w:tcW w:w="2105" w:type="dxa"/>
            <w:vAlign w:val="center"/>
          </w:tcPr>
          <w:p w:rsidR="00021BA5" w:rsidRPr="00021BA5" w:rsidRDefault="00021BA5" w:rsidP="00021BA5">
            <w:pPr>
              <w:jc w:val="center"/>
              <w:rPr>
                <w:rFonts w:ascii="Arial" w:hAnsi="Arial" w:cs="Arial"/>
                <w:b/>
              </w:rPr>
            </w:pPr>
            <w:r w:rsidRPr="00021BA5">
              <w:rPr>
                <w:rFonts w:ascii="Arial" w:hAnsi="Arial" w:cs="Arial"/>
                <w:b/>
              </w:rPr>
              <w:t>Dates</w:t>
            </w:r>
          </w:p>
        </w:tc>
      </w:tr>
    </w:tbl>
    <w:p w:rsidR="00021BA5" w:rsidRDefault="00021BA5" w:rsidP="00021BA5">
      <w:pPr>
        <w:tabs>
          <w:tab w:val="left" w:pos="1172"/>
        </w:tabs>
        <w:rPr>
          <w:rFonts w:ascii="Arial" w:hAnsi="Arial" w:cs="Arial"/>
        </w:rPr>
      </w:pPr>
    </w:p>
    <w:p w:rsidR="00021BA5" w:rsidRDefault="00021BA5" w:rsidP="00021BA5">
      <w:pPr>
        <w:tabs>
          <w:tab w:val="left" w:pos="1172"/>
        </w:tabs>
        <w:rPr>
          <w:rFonts w:ascii="Arial" w:hAnsi="Arial" w:cs="Arial"/>
          <w:b/>
        </w:rPr>
      </w:pPr>
      <w:r w:rsidRPr="00021BA5">
        <w:rPr>
          <w:rFonts w:ascii="Arial" w:hAnsi="Arial" w:cs="Arial"/>
          <w:b/>
        </w:rPr>
        <w:t xml:space="preserve">Les voies de signalisation et de transduction des signaux </w:t>
      </w:r>
    </w:p>
    <w:tbl>
      <w:tblPr>
        <w:tblStyle w:val="Grilledutableau"/>
        <w:tblW w:w="0" w:type="auto"/>
        <w:tblLook w:val="04A0"/>
      </w:tblPr>
      <w:tblGrid>
        <w:gridCol w:w="9747"/>
        <w:gridCol w:w="2694"/>
        <w:gridCol w:w="992"/>
        <w:gridCol w:w="2105"/>
      </w:tblGrid>
      <w:tr w:rsidR="00021BA5" w:rsidRPr="00021BA5" w:rsidTr="0083680C">
        <w:tc>
          <w:tcPr>
            <w:tcW w:w="9747" w:type="dxa"/>
            <w:vAlign w:val="center"/>
          </w:tcPr>
          <w:p w:rsidR="00021BA5" w:rsidRPr="00021BA5" w:rsidRDefault="00021BA5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 w:rsidRPr="00021BA5">
              <w:rPr>
                <w:rFonts w:ascii="Arial" w:hAnsi="Arial" w:cs="Arial"/>
              </w:rPr>
              <w:t>Introduction à la communication et à la signalisation cellulaire (1)</w:t>
            </w:r>
          </w:p>
        </w:tc>
        <w:tc>
          <w:tcPr>
            <w:tcW w:w="2694" w:type="dxa"/>
            <w:vAlign w:val="center"/>
          </w:tcPr>
          <w:p w:rsidR="00021BA5" w:rsidRPr="00021BA5" w:rsidRDefault="00021BA5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J. Giu</w:t>
            </w:r>
            <w:r w:rsidRPr="00021BA5">
              <w:rPr>
                <w:rFonts w:ascii="Arial" w:hAnsi="Arial" w:cs="Arial"/>
              </w:rPr>
              <w:t>dicelli</w:t>
            </w:r>
          </w:p>
        </w:tc>
        <w:tc>
          <w:tcPr>
            <w:tcW w:w="992" w:type="dxa"/>
            <w:vAlign w:val="center"/>
          </w:tcPr>
          <w:p w:rsidR="00021BA5" w:rsidRPr="00021BA5" w:rsidRDefault="00021BA5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2h</w:t>
            </w:r>
          </w:p>
        </w:tc>
        <w:tc>
          <w:tcPr>
            <w:tcW w:w="2105" w:type="dxa"/>
            <w:vAlign w:val="center"/>
          </w:tcPr>
          <w:p w:rsidR="00021BA5" w:rsidRDefault="00021BA5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mars</w:t>
            </w:r>
          </w:p>
          <w:p w:rsidR="00021BA5" w:rsidRPr="00021BA5" w:rsidRDefault="00021BA5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16h à 18h</w:t>
            </w:r>
          </w:p>
        </w:tc>
      </w:tr>
      <w:tr w:rsidR="00021BA5" w:rsidRPr="00021BA5" w:rsidTr="0083680C">
        <w:tc>
          <w:tcPr>
            <w:tcW w:w="9747" w:type="dxa"/>
            <w:vAlign w:val="center"/>
          </w:tcPr>
          <w:p w:rsidR="00021BA5" w:rsidRPr="00021BA5" w:rsidRDefault="00021BA5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 w:rsidRPr="00021BA5">
              <w:rPr>
                <w:rFonts w:ascii="Arial" w:hAnsi="Arial" w:cs="Arial"/>
              </w:rPr>
              <w:t xml:space="preserve">Introduction à la communication et </w:t>
            </w:r>
            <w:r>
              <w:rPr>
                <w:rFonts w:ascii="Arial" w:hAnsi="Arial" w:cs="Arial"/>
              </w:rPr>
              <w:t>à la signalisation cellulaire (2</w:t>
            </w:r>
            <w:r w:rsidRPr="00021BA5">
              <w:rPr>
                <w:rFonts w:ascii="Arial" w:hAnsi="Arial" w:cs="Arial"/>
              </w:rPr>
              <w:t>)</w:t>
            </w:r>
          </w:p>
        </w:tc>
        <w:tc>
          <w:tcPr>
            <w:tcW w:w="2694" w:type="dxa"/>
            <w:vAlign w:val="center"/>
          </w:tcPr>
          <w:p w:rsidR="00021BA5" w:rsidRPr="00021BA5" w:rsidRDefault="00021BA5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J. Giudicelli</w:t>
            </w:r>
          </w:p>
        </w:tc>
        <w:tc>
          <w:tcPr>
            <w:tcW w:w="992" w:type="dxa"/>
            <w:vAlign w:val="center"/>
          </w:tcPr>
          <w:p w:rsidR="00021BA5" w:rsidRPr="00021BA5" w:rsidRDefault="00021BA5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2h</w:t>
            </w:r>
          </w:p>
        </w:tc>
        <w:tc>
          <w:tcPr>
            <w:tcW w:w="2105" w:type="dxa"/>
            <w:vAlign w:val="center"/>
          </w:tcPr>
          <w:p w:rsidR="00021BA5" w:rsidRDefault="00021BA5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 mars</w:t>
            </w:r>
          </w:p>
          <w:p w:rsidR="00021BA5" w:rsidRPr="00021BA5" w:rsidRDefault="00021BA5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14h à 16h</w:t>
            </w:r>
          </w:p>
        </w:tc>
      </w:tr>
      <w:tr w:rsidR="00021BA5" w:rsidRPr="00021BA5" w:rsidTr="0083680C">
        <w:tc>
          <w:tcPr>
            <w:tcW w:w="9747" w:type="dxa"/>
            <w:vAlign w:val="center"/>
          </w:tcPr>
          <w:p w:rsidR="00021BA5" w:rsidRPr="00021BA5" w:rsidRDefault="00021BA5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Actions de l’insuline, dérégulations dans les diabètes</w:t>
            </w:r>
          </w:p>
        </w:tc>
        <w:tc>
          <w:tcPr>
            <w:tcW w:w="2694" w:type="dxa"/>
            <w:vAlign w:val="center"/>
          </w:tcPr>
          <w:p w:rsidR="00021BA5" w:rsidRPr="00021BA5" w:rsidRDefault="00021BA5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Lebrun</w:t>
            </w:r>
          </w:p>
        </w:tc>
        <w:tc>
          <w:tcPr>
            <w:tcW w:w="992" w:type="dxa"/>
            <w:vAlign w:val="center"/>
          </w:tcPr>
          <w:p w:rsidR="00021BA5" w:rsidRPr="00021BA5" w:rsidRDefault="00021BA5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2h</w:t>
            </w:r>
          </w:p>
        </w:tc>
        <w:tc>
          <w:tcPr>
            <w:tcW w:w="2105" w:type="dxa"/>
            <w:vAlign w:val="center"/>
          </w:tcPr>
          <w:p w:rsidR="00021BA5" w:rsidRDefault="00021BA5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 mars</w:t>
            </w:r>
          </w:p>
          <w:p w:rsidR="00021BA5" w:rsidRPr="00021BA5" w:rsidRDefault="00021BA5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16h à 18h</w:t>
            </w:r>
          </w:p>
        </w:tc>
      </w:tr>
    </w:tbl>
    <w:p w:rsidR="00021BA5" w:rsidRDefault="00021BA5" w:rsidP="00021BA5">
      <w:pPr>
        <w:tabs>
          <w:tab w:val="left" w:pos="1172"/>
        </w:tabs>
        <w:rPr>
          <w:rFonts w:ascii="Arial" w:hAnsi="Arial" w:cs="Arial"/>
        </w:rPr>
      </w:pPr>
    </w:p>
    <w:p w:rsidR="00021BA5" w:rsidRDefault="00021BA5" w:rsidP="00021BA5">
      <w:pPr>
        <w:tabs>
          <w:tab w:val="left" w:pos="1172"/>
        </w:tabs>
        <w:rPr>
          <w:rFonts w:ascii="Arial" w:hAnsi="Arial" w:cs="Arial"/>
          <w:b/>
        </w:rPr>
      </w:pPr>
      <w:r w:rsidRPr="00021BA5">
        <w:rPr>
          <w:rFonts w:ascii="Arial" w:hAnsi="Arial" w:cs="Arial"/>
          <w:b/>
        </w:rPr>
        <w:t xml:space="preserve">Altérations des voies de signalisation / pathologies associées </w:t>
      </w:r>
    </w:p>
    <w:tbl>
      <w:tblPr>
        <w:tblStyle w:val="Grilledutableau"/>
        <w:tblW w:w="0" w:type="auto"/>
        <w:tblLook w:val="04A0"/>
      </w:tblPr>
      <w:tblGrid>
        <w:gridCol w:w="9747"/>
        <w:gridCol w:w="2694"/>
        <w:gridCol w:w="992"/>
        <w:gridCol w:w="2105"/>
      </w:tblGrid>
      <w:tr w:rsidR="00021BA5" w:rsidTr="0083680C">
        <w:tc>
          <w:tcPr>
            <w:tcW w:w="9747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Signalisation dans le tissu osseux : Applications actuelles et futures </w:t>
            </w:r>
          </w:p>
        </w:tc>
        <w:tc>
          <w:tcPr>
            <w:tcW w:w="2694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H. Schmid-Antomarchi</w:t>
            </w:r>
          </w:p>
        </w:tc>
        <w:tc>
          <w:tcPr>
            <w:tcW w:w="992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2h</w:t>
            </w:r>
          </w:p>
        </w:tc>
        <w:tc>
          <w:tcPr>
            <w:tcW w:w="2105" w:type="dxa"/>
            <w:vAlign w:val="center"/>
          </w:tcPr>
          <w:p w:rsid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avril</w:t>
            </w:r>
          </w:p>
          <w:p w:rsidR="0083680C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14h à 16h</w:t>
            </w:r>
          </w:p>
        </w:tc>
      </w:tr>
      <w:tr w:rsidR="00021BA5" w:rsidTr="0083680C">
        <w:tc>
          <w:tcPr>
            <w:tcW w:w="9747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Aspects moléculaires du transport de sodium dans le néphron sensible à l’aldostérone </w:t>
            </w:r>
          </w:p>
        </w:tc>
        <w:tc>
          <w:tcPr>
            <w:tcW w:w="2694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G. Favre</w:t>
            </w:r>
          </w:p>
        </w:tc>
        <w:tc>
          <w:tcPr>
            <w:tcW w:w="992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2h</w:t>
            </w:r>
          </w:p>
        </w:tc>
        <w:tc>
          <w:tcPr>
            <w:tcW w:w="2105" w:type="dxa"/>
            <w:vAlign w:val="center"/>
          </w:tcPr>
          <w:p w:rsid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avril</w:t>
            </w:r>
          </w:p>
          <w:p w:rsidR="0083680C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16h à 18h </w:t>
            </w:r>
          </w:p>
        </w:tc>
      </w:tr>
      <w:tr w:rsidR="00021BA5" w:rsidTr="0083680C">
        <w:tc>
          <w:tcPr>
            <w:tcW w:w="9747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Stress oxydant </w:t>
            </w:r>
          </w:p>
        </w:tc>
        <w:tc>
          <w:tcPr>
            <w:tcW w:w="2694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J. Giudicelli </w:t>
            </w:r>
          </w:p>
        </w:tc>
        <w:tc>
          <w:tcPr>
            <w:tcW w:w="992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2h</w:t>
            </w:r>
          </w:p>
        </w:tc>
        <w:tc>
          <w:tcPr>
            <w:tcW w:w="2105" w:type="dxa"/>
            <w:vAlign w:val="center"/>
          </w:tcPr>
          <w:p w:rsid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avril</w:t>
            </w:r>
          </w:p>
          <w:p w:rsidR="0083680C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14h à 16h</w:t>
            </w:r>
          </w:p>
        </w:tc>
      </w:tr>
      <w:tr w:rsidR="00021BA5" w:rsidTr="0083680C">
        <w:tc>
          <w:tcPr>
            <w:tcW w:w="9747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Stress oxydant / Réanimation </w:t>
            </w:r>
          </w:p>
        </w:tc>
        <w:tc>
          <w:tcPr>
            <w:tcW w:w="2694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JC. Orban</w:t>
            </w:r>
          </w:p>
        </w:tc>
        <w:tc>
          <w:tcPr>
            <w:tcW w:w="992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2h</w:t>
            </w:r>
          </w:p>
        </w:tc>
        <w:tc>
          <w:tcPr>
            <w:tcW w:w="2105" w:type="dxa"/>
            <w:vAlign w:val="center"/>
          </w:tcPr>
          <w:p w:rsid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avril</w:t>
            </w:r>
          </w:p>
          <w:p w:rsidR="0083680C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16h à 18h</w:t>
            </w:r>
          </w:p>
        </w:tc>
      </w:tr>
      <w:tr w:rsidR="00021BA5" w:rsidTr="0083680C">
        <w:tc>
          <w:tcPr>
            <w:tcW w:w="9747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Chimiokines et cancer </w:t>
            </w:r>
            <w:r w:rsidRPr="0083680C">
              <w:rPr>
                <w:rFonts w:ascii="Arial" w:hAnsi="Arial" w:cs="Arial"/>
                <w:color w:val="FF0000"/>
              </w:rPr>
              <w:t>(Archet 2)</w:t>
            </w:r>
          </w:p>
        </w:tc>
        <w:tc>
          <w:tcPr>
            <w:tcW w:w="2694" w:type="dxa"/>
            <w:vAlign w:val="center"/>
          </w:tcPr>
          <w:p w:rsidR="00021BA5" w:rsidRPr="0083680C" w:rsidRDefault="0083680C" w:rsidP="0083680C">
            <w:pPr>
              <w:tabs>
                <w:tab w:val="left" w:pos="1172"/>
              </w:tabs>
              <w:rPr>
                <w:rFonts w:ascii="Arial" w:hAnsi="Arial" w:cs="Arial"/>
              </w:rPr>
            </w:pPr>
            <w:r w:rsidRPr="0083680C">
              <w:rPr>
                <w:rFonts w:ascii="Arial" w:hAnsi="Arial" w:cs="Arial"/>
              </w:rPr>
              <w:t>A.</w:t>
            </w:r>
            <w:r>
              <w:rPr>
                <w:rFonts w:ascii="Arial" w:hAnsi="Arial" w:cs="Arial"/>
              </w:rPr>
              <w:t xml:space="preserve"> </w:t>
            </w:r>
            <w:r w:rsidRPr="0083680C">
              <w:rPr>
                <w:rFonts w:ascii="Arial" w:hAnsi="Arial" w:cs="Arial"/>
              </w:rPr>
              <w:t>Schmid</w:t>
            </w:r>
            <w:r>
              <w:rPr>
                <w:rFonts w:ascii="Arial" w:hAnsi="Arial" w:cs="Arial"/>
              </w:rPr>
              <w:t>-Alliana</w:t>
            </w:r>
          </w:p>
        </w:tc>
        <w:tc>
          <w:tcPr>
            <w:tcW w:w="992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2h</w:t>
            </w:r>
          </w:p>
        </w:tc>
        <w:tc>
          <w:tcPr>
            <w:tcW w:w="2105" w:type="dxa"/>
            <w:vAlign w:val="center"/>
          </w:tcPr>
          <w:p w:rsidR="00021BA5" w:rsidRPr="00634A83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  <w:highlight w:val="yellow"/>
              </w:rPr>
            </w:pPr>
            <w:r w:rsidRPr="00634A83">
              <w:rPr>
                <w:rFonts w:ascii="Arial" w:hAnsi="Arial" w:cs="Arial"/>
                <w:highlight w:val="yellow"/>
              </w:rPr>
              <w:t>19 avril</w:t>
            </w:r>
          </w:p>
          <w:p w:rsidR="0083680C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 w:rsidRPr="00634A83">
              <w:rPr>
                <w:rFonts w:ascii="Arial" w:hAnsi="Arial" w:cs="Arial"/>
                <w:highlight w:val="yellow"/>
              </w:rPr>
              <w:t>14h à 16h</w:t>
            </w:r>
          </w:p>
        </w:tc>
      </w:tr>
      <w:tr w:rsidR="00021BA5" w:rsidTr="0083680C">
        <w:tc>
          <w:tcPr>
            <w:tcW w:w="9747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Glucotoxicité (glycation des protéines) </w:t>
            </w:r>
          </w:p>
        </w:tc>
        <w:tc>
          <w:tcPr>
            <w:tcW w:w="2694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J. Giudicelli </w:t>
            </w:r>
          </w:p>
        </w:tc>
        <w:tc>
          <w:tcPr>
            <w:tcW w:w="992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2h</w:t>
            </w:r>
          </w:p>
        </w:tc>
        <w:tc>
          <w:tcPr>
            <w:tcW w:w="2105" w:type="dxa"/>
            <w:vAlign w:val="center"/>
          </w:tcPr>
          <w:p w:rsid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 mai</w:t>
            </w:r>
          </w:p>
          <w:p w:rsidR="0083680C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14h à 16h</w:t>
            </w:r>
          </w:p>
        </w:tc>
      </w:tr>
      <w:tr w:rsidR="00021BA5" w:rsidTr="0083680C">
        <w:tc>
          <w:tcPr>
            <w:tcW w:w="9747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Analyse critique d’un article scientifique </w:t>
            </w:r>
          </w:p>
        </w:tc>
        <w:tc>
          <w:tcPr>
            <w:tcW w:w="2694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J. Giudicelli </w:t>
            </w:r>
          </w:p>
        </w:tc>
        <w:tc>
          <w:tcPr>
            <w:tcW w:w="992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2h</w:t>
            </w:r>
          </w:p>
        </w:tc>
        <w:tc>
          <w:tcPr>
            <w:tcW w:w="2105" w:type="dxa"/>
            <w:vAlign w:val="center"/>
          </w:tcPr>
          <w:p w:rsid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 mai</w:t>
            </w:r>
          </w:p>
          <w:p w:rsidR="0083680C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16h à 18h</w:t>
            </w:r>
          </w:p>
        </w:tc>
      </w:tr>
      <w:tr w:rsidR="00021BA5" w:rsidTr="0083680C">
        <w:tc>
          <w:tcPr>
            <w:tcW w:w="9747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Voies de signalisation et mitochondries </w:t>
            </w:r>
            <w:r w:rsidRPr="0083680C">
              <w:rPr>
                <w:rFonts w:ascii="Arial" w:hAnsi="Arial" w:cs="Arial"/>
                <w:color w:val="FF0000"/>
              </w:rPr>
              <w:t>(Archet 2)</w:t>
            </w:r>
          </w:p>
        </w:tc>
        <w:tc>
          <w:tcPr>
            <w:tcW w:w="2694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 Sibille</w:t>
            </w:r>
          </w:p>
        </w:tc>
        <w:tc>
          <w:tcPr>
            <w:tcW w:w="992" w:type="dxa"/>
            <w:vAlign w:val="center"/>
          </w:tcPr>
          <w:p w:rsidR="00021BA5" w:rsidRPr="00021BA5" w:rsidRDefault="00021BA5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2105" w:type="dxa"/>
            <w:vAlign w:val="center"/>
          </w:tcPr>
          <w:p w:rsidR="00021BA5" w:rsidRPr="00634A83" w:rsidRDefault="00634A83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  <w:highlight w:val="yellow"/>
              </w:rPr>
            </w:pPr>
            <w:r w:rsidRPr="00634A83">
              <w:rPr>
                <w:rFonts w:ascii="Arial" w:hAnsi="Arial" w:cs="Arial"/>
                <w:highlight w:val="yellow"/>
              </w:rPr>
              <w:t>10 mai</w:t>
            </w:r>
          </w:p>
          <w:p w:rsidR="00634A83" w:rsidRPr="00634A83" w:rsidRDefault="00634A83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  <w:highlight w:val="yellow"/>
              </w:rPr>
            </w:pPr>
            <w:r w:rsidRPr="00634A83">
              <w:rPr>
                <w:rFonts w:ascii="Arial" w:hAnsi="Arial" w:cs="Arial"/>
                <w:highlight w:val="yellow"/>
              </w:rPr>
              <w:t>14h à 16h</w:t>
            </w:r>
          </w:p>
        </w:tc>
      </w:tr>
      <w:tr w:rsidR="00021BA5" w:rsidTr="0083680C">
        <w:tc>
          <w:tcPr>
            <w:tcW w:w="9747" w:type="dxa"/>
            <w:vAlign w:val="center"/>
          </w:tcPr>
          <w:p w:rsidR="0083680C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Acides gras nutritionnels et signalisation </w:t>
            </w:r>
            <w:r w:rsidRPr="0083680C">
              <w:rPr>
                <w:rFonts w:ascii="Arial" w:hAnsi="Arial" w:cs="Arial"/>
                <w:color w:val="FF0000"/>
              </w:rPr>
              <w:t>(Archet 2)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P. Grimaldi </w:t>
            </w:r>
          </w:p>
        </w:tc>
        <w:tc>
          <w:tcPr>
            <w:tcW w:w="992" w:type="dxa"/>
            <w:vAlign w:val="center"/>
          </w:tcPr>
          <w:p w:rsidR="00021BA5" w:rsidRPr="00021BA5" w:rsidRDefault="00021BA5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2105" w:type="dxa"/>
            <w:vAlign w:val="center"/>
          </w:tcPr>
          <w:p w:rsidR="00021BA5" w:rsidRPr="00634A83" w:rsidRDefault="00634A83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  <w:highlight w:val="yellow"/>
              </w:rPr>
            </w:pPr>
            <w:r w:rsidRPr="00634A83">
              <w:rPr>
                <w:rFonts w:ascii="Arial" w:hAnsi="Arial" w:cs="Arial"/>
                <w:highlight w:val="yellow"/>
              </w:rPr>
              <w:t>10 mai</w:t>
            </w:r>
          </w:p>
          <w:p w:rsidR="00634A83" w:rsidRPr="00634A83" w:rsidRDefault="00634A83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  <w:highlight w:val="yellow"/>
              </w:rPr>
            </w:pPr>
            <w:r w:rsidRPr="00634A83">
              <w:rPr>
                <w:rFonts w:ascii="Arial" w:hAnsi="Arial" w:cs="Arial"/>
                <w:highlight w:val="yellow"/>
              </w:rPr>
              <w:t>16h à 18h</w:t>
            </w:r>
          </w:p>
        </w:tc>
      </w:tr>
      <w:tr w:rsidR="00021BA5" w:rsidTr="00634A83">
        <w:tc>
          <w:tcPr>
            <w:tcW w:w="9747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Autophagie et cancer</w:t>
            </w:r>
          </w:p>
        </w:tc>
        <w:tc>
          <w:tcPr>
            <w:tcW w:w="2694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B. Mograbi </w:t>
            </w:r>
          </w:p>
        </w:tc>
        <w:tc>
          <w:tcPr>
            <w:tcW w:w="992" w:type="dxa"/>
            <w:vAlign w:val="center"/>
          </w:tcPr>
          <w:p w:rsidR="00021BA5" w:rsidRPr="00021BA5" w:rsidRDefault="0083680C" w:rsidP="00021BA5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2h</w:t>
            </w:r>
          </w:p>
        </w:tc>
        <w:tc>
          <w:tcPr>
            <w:tcW w:w="2105" w:type="dxa"/>
            <w:vAlign w:val="center"/>
          </w:tcPr>
          <w:p w:rsidR="00634A83" w:rsidRDefault="00634A83" w:rsidP="00634A83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mai </w:t>
            </w:r>
            <w:r w:rsidRPr="00634A83">
              <w:rPr>
                <w:rFonts w:ascii="Arial" w:hAnsi="Arial" w:cs="Arial"/>
                <w:b/>
              </w:rPr>
              <w:t>???</w:t>
            </w:r>
          </w:p>
          <w:p w:rsidR="00634A83" w:rsidRPr="00021BA5" w:rsidRDefault="00634A83" w:rsidP="00634A83">
            <w:pPr>
              <w:tabs>
                <w:tab w:val="left" w:pos="1172"/>
              </w:tabs>
              <w:jc w:val="center"/>
              <w:rPr>
                <w:rFonts w:ascii="Arial" w:hAnsi="Arial" w:cs="Arial"/>
              </w:rPr>
            </w:pPr>
          </w:p>
        </w:tc>
      </w:tr>
    </w:tbl>
    <w:p w:rsidR="00634A83" w:rsidRDefault="00634A83" w:rsidP="00021BA5">
      <w:pPr>
        <w:tabs>
          <w:tab w:val="left" w:pos="1172"/>
        </w:tabs>
        <w:rPr>
          <w:rFonts w:ascii="Arial" w:hAnsi="Arial" w:cs="Arial"/>
          <w:b/>
        </w:rPr>
      </w:pPr>
    </w:p>
    <w:p w:rsidR="00634A83" w:rsidRDefault="00634A83" w:rsidP="00021BA5">
      <w:pPr>
        <w:tabs>
          <w:tab w:val="left" w:pos="1172"/>
        </w:tabs>
        <w:rPr>
          <w:rFonts w:ascii="Arial" w:hAnsi="Arial" w:cs="Arial"/>
        </w:rPr>
      </w:pPr>
      <w:r w:rsidRPr="00634A83">
        <w:rPr>
          <w:rFonts w:ascii="Arial" w:hAnsi="Arial" w:cs="Arial"/>
          <w:b/>
        </w:rPr>
        <w:t>???</w:t>
      </w:r>
      <w:r w:rsidRPr="00634A83">
        <w:rPr>
          <w:rFonts w:ascii="Arial" w:hAnsi="Arial" w:cs="Arial"/>
        </w:rPr>
        <w:t xml:space="preserve"> = cours à confirmer</w:t>
      </w:r>
    </w:p>
    <w:p w:rsidR="00634A83" w:rsidRPr="00634A83" w:rsidRDefault="00634A83" w:rsidP="00021BA5">
      <w:pPr>
        <w:tabs>
          <w:tab w:val="left" w:pos="1172"/>
        </w:tabs>
        <w:rPr>
          <w:rFonts w:ascii="Arial" w:hAnsi="Arial" w:cs="Arial"/>
        </w:rPr>
      </w:pPr>
      <w:r w:rsidRPr="00634A83">
        <w:rPr>
          <w:rFonts w:ascii="Arial" w:hAnsi="Arial" w:cs="Arial"/>
          <w:highlight w:val="yellow"/>
        </w:rPr>
        <w:t>Date</w:t>
      </w:r>
      <w:r>
        <w:rPr>
          <w:rFonts w:ascii="Arial" w:hAnsi="Arial" w:cs="Arial"/>
        </w:rPr>
        <w:t xml:space="preserve"> = cours à l’</w:t>
      </w:r>
      <w:r w:rsidRPr="00634A83">
        <w:rPr>
          <w:rFonts w:ascii="Arial" w:hAnsi="Arial" w:cs="Arial"/>
          <w:color w:val="FF0000"/>
        </w:rPr>
        <w:t xml:space="preserve">Archet 2 </w:t>
      </w:r>
      <w:r>
        <w:rPr>
          <w:rFonts w:ascii="Arial" w:hAnsi="Arial" w:cs="Arial"/>
        </w:rPr>
        <w:t>en amphi C3M</w:t>
      </w:r>
    </w:p>
    <w:sectPr w:rsidR="00634A83" w:rsidRPr="00634A83" w:rsidSect="00634A83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A7863"/>
    <w:multiLevelType w:val="hybridMultilevel"/>
    <w:tmpl w:val="9C5E5E0E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021BA5"/>
    <w:rsid w:val="00021BA5"/>
    <w:rsid w:val="002314A8"/>
    <w:rsid w:val="003F0BD6"/>
    <w:rsid w:val="005D22BA"/>
    <w:rsid w:val="00634A83"/>
    <w:rsid w:val="007117E5"/>
    <w:rsid w:val="0083680C"/>
    <w:rsid w:val="009A6507"/>
    <w:rsid w:val="00AA6968"/>
    <w:rsid w:val="00ED4B86"/>
    <w:rsid w:val="00F55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968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21B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8368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</dc:creator>
  <cp:lastModifiedBy>Marc</cp:lastModifiedBy>
  <cp:revision>1</cp:revision>
  <dcterms:created xsi:type="dcterms:W3CDTF">2012-04-17T13:22:00Z</dcterms:created>
  <dcterms:modified xsi:type="dcterms:W3CDTF">2012-04-17T13:50:00Z</dcterms:modified>
</cp:coreProperties>
</file>