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ind w:left="142" w:firstLine="0"/>
        <w:rPr>
          <w:b w:val="1"/>
          <w:sz w:val="32"/>
          <w:szCs w:val="32"/>
        </w:rPr>
      </w:pPr>
      <w:r w:rsidDel="00000000" w:rsidR="00000000" w:rsidRPr="00000000">
        <w:rPr/>
        <w:drawing>
          <wp:anchor allowOverlap="1" behindDoc="0" distB="0" distT="0" distL="114300" distR="114300" hidden="0" layoutInCell="1" locked="0" relativeHeight="0" simplePos="0">
            <wp:simplePos x="0" y="0"/>
            <wp:positionH relativeFrom="margin">
              <wp:posOffset>5964978</wp:posOffset>
            </wp:positionH>
            <wp:positionV relativeFrom="margin">
              <wp:posOffset>-95670</wp:posOffset>
            </wp:positionV>
            <wp:extent cx="792480" cy="810895"/>
            <wp:effectExtent b="0" l="0" r="0" t="0"/>
            <wp:wrapSquare wrapText="bothSides" distB="0" distT="0" distL="114300" distR="114300"/>
            <wp:docPr id="8" name="image1.png"/>
            <a:graphic>
              <a:graphicData uri="http://schemas.openxmlformats.org/drawingml/2006/picture">
                <pic:pic>
                  <pic:nvPicPr>
                    <pic:cNvPr id="0" name="image1.png"/>
                    <pic:cNvPicPr preferRelativeResize="0"/>
                  </pic:nvPicPr>
                  <pic:blipFill>
                    <a:blip r:embed="rId7"/>
                    <a:srcRect b="0" l="0" r="-62" t="0"/>
                    <a:stretch>
                      <a:fillRect/>
                    </a:stretch>
                  </pic:blipFill>
                  <pic:spPr>
                    <a:xfrm>
                      <a:off x="0" y="0"/>
                      <a:ext cx="792480" cy="810895"/>
                    </a:xfrm>
                    <a:prstGeom prst="rect"/>
                    <a:ln/>
                  </pic:spPr>
                </pic:pic>
              </a:graphicData>
            </a:graphic>
          </wp:anchor>
        </w:drawing>
      </w:r>
      <w:r w:rsidDel="00000000" w:rsidR="00000000" w:rsidRPr="00000000">
        <w:rPr>
          <w:b w:val="1"/>
          <w:i w:val="1"/>
          <w:sz w:val="40"/>
          <w:szCs w:val="40"/>
          <w:rtl w:val="0"/>
        </w:rPr>
        <w:t xml:space="preserve">DM pré-EB n°5 </w:t>
      </w:r>
      <w:r w:rsidDel="00000000" w:rsidR="00000000" w:rsidRPr="00000000">
        <w:rPr>
          <w:b w:val="1"/>
          <w:sz w:val="40"/>
          <w:szCs w:val="40"/>
          <w:rtl w:val="0"/>
        </w:rPr>
        <w:t xml:space="preserve">: Anatomie du Petit Bassin, Maïeutique, Pharmacie</w:t>
      </w: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-76199</wp:posOffset>
                </wp:positionH>
                <wp:positionV relativeFrom="paragraph">
                  <wp:posOffset>-101599</wp:posOffset>
                </wp:positionV>
                <wp:extent cx="6839585" cy="1085850"/>
                <wp:effectExtent b="0" l="0" r="0" t="0"/>
                <wp:wrapNone/>
                <wp:docPr id="7" name=""/>
                <a:graphic>
                  <a:graphicData uri="http://schemas.microsoft.com/office/word/2010/wordprocessingShape">
                    <wps:wsp>
                      <wps:cNvSpPr/>
                      <wps:cNvPr id="2" name="Shape 2"/>
                      <wps:spPr>
                        <a:xfrm>
                          <a:off x="1938908" y="3249775"/>
                          <a:ext cx="6814185" cy="1060450"/>
                        </a:xfrm>
                        <a:prstGeom prst="rect">
                          <a:avLst/>
                        </a:prstGeom>
                        <a:noFill/>
                        <a:ln cap="flat" cmpd="sng" w="25400">
                          <a:solidFill>
                            <a:srgbClr val="A6A6A6"/>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-76199</wp:posOffset>
                </wp:positionH>
                <wp:positionV relativeFrom="paragraph">
                  <wp:posOffset>-101599</wp:posOffset>
                </wp:positionV>
                <wp:extent cx="6839585" cy="1085850"/>
                <wp:effectExtent b="0" l="0" r="0" t="0"/>
                <wp:wrapNone/>
                <wp:docPr id="7"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6839585" cy="1085850"/>
                        </a:xfrm>
                        <a:prstGeom prst="rect"/>
                        <a:ln/>
                      </pic:spPr>
                    </pic:pic>
                  </a:graphicData>
                </a:graphic>
              </wp:anchor>
            </w:drawing>
          </mc:Fallback>
        </mc:AlternateContent>
      </w:r>
    </w:p>
    <w:p w:rsidR="00000000" w:rsidDel="00000000" w:rsidP="00000000" w:rsidRDefault="00000000" w:rsidRPr="00000000" w14:paraId="00000002">
      <w:pPr>
        <w:spacing w:after="0" w:line="240" w:lineRule="auto"/>
        <w:ind w:left="142" w:firstLine="0"/>
        <w:rPr>
          <w:sz w:val="28"/>
          <w:szCs w:val="28"/>
        </w:rPr>
      </w:pPr>
      <w:r w:rsidDel="00000000" w:rsidR="00000000" w:rsidRPr="00000000">
        <w:rPr>
          <w:sz w:val="36"/>
          <w:szCs w:val="36"/>
          <w:rtl w:val="0"/>
        </w:rPr>
        <w:t xml:space="preserve">Tutorat 2024-2025 :</w:t>
      </w:r>
      <w:r w:rsidDel="00000000" w:rsidR="00000000" w:rsidRPr="00000000">
        <w:rPr>
          <w:b w:val="1"/>
          <w:sz w:val="20"/>
          <w:szCs w:val="20"/>
          <w:rtl w:val="0"/>
        </w:rPr>
        <w:t xml:space="preserve"> </w:t>
      </w:r>
      <w:r w:rsidDel="00000000" w:rsidR="00000000" w:rsidRPr="00000000">
        <w:rPr>
          <w:b w:val="1"/>
          <w:color w:val="000000"/>
          <w:sz w:val="28"/>
          <w:szCs w:val="28"/>
          <w:rtl w:val="0"/>
        </w:rPr>
        <w:t xml:space="preserve">55</w:t>
      </w:r>
      <w:r w:rsidDel="00000000" w:rsidR="00000000" w:rsidRPr="00000000">
        <w:rPr>
          <w:b w:val="1"/>
          <w:color w:val="ff0000"/>
          <w:sz w:val="28"/>
          <w:szCs w:val="28"/>
          <w:rtl w:val="0"/>
        </w:rPr>
        <w:t xml:space="preserve"> </w:t>
      </w:r>
      <w:r w:rsidDel="00000000" w:rsidR="00000000" w:rsidRPr="00000000">
        <w:rPr>
          <w:b w:val="1"/>
          <w:sz w:val="28"/>
          <w:szCs w:val="28"/>
          <w:rtl w:val="0"/>
        </w:rPr>
        <w:t xml:space="preserve">QCMS – Durée : 55min </w:t>
      </w:r>
      <w:r w:rsidDel="00000000" w:rsidR="00000000" w:rsidRPr="00000000">
        <w:rPr>
          <w:rtl w:val="0"/>
        </w:rPr>
      </w:r>
    </w:p>
    <w:p w:rsidR="00000000" w:rsidDel="00000000" w:rsidP="00000000" w:rsidRDefault="00000000" w:rsidRPr="00000000" w14:paraId="0000000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tabs>
          <w:tab w:val="left" w:leader="none" w:pos="1020"/>
        </w:tabs>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05">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1</w:t>
      </w:r>
      <w:r w:rsidDel="00000000" w:rsidR="00000000" w:rsidRPr="00000000">
        <w:rPr>
          <w:rFonts w:ascii="Arial" w:cs="Arial" w:eastAsia="Arial" w:hAnsi="Arial"/>
          <w:b w:val="1"/>
          <w:sz w:val="20"/>
          <w:szCs w:val="20"/>
          <w:rtl w:val="0"/>
        </w:rPr>
        <w:t xml:space="preserve"> : À propos de l’appareil génital masculin, donnez-la (les) proposition(s) exacte(s) :</w:t>
      </w:r>
    </w:p>
    <w:p w:rsidR="00000000" w:rsidDel="00000000" w:rsidP="00000000" w:rsidRDefault="00000000" w:rsidRPr="00000000" w14:paraId="0000000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L’homme possède deux corps spongieux et deux corps caverneux</w:t>
      </w:r>
    </w:p>
    <w:p w:rsidR="00000000" w:rsidDel="00000000" w:rsidP="00000000" w:rsidRDefault="00000000" w:rsidRPr="00000000" w14:paraId="0000000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Le corps spongieux est à l’origine du gland et de la structure du pénis</w:t>
      </w:r>
    </w:p>
    <w:p w:rsidR="00000000" w:rsidDel="00000000" w:rsidP="00000000" w:rsidRDefault="00000000" w:rsidRPr="00000000" w14:paraId="0000000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Les muscles bulbo-caverneux recouvrent les corps caverneux</w:t>
      </w:r>
    </w:p>
    <w:p w:rsidR="00000000" w:rsidDel="00000000" w:rsidP="00000000" w:rsidRDefault="00000000" w:rsidRPr="00000000" w14:paraId="0000000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Le muscle ischio-spongieux recouvre le corps-spongieux</w:t>
      </w:r>
    </w:p>
    <w:p w:rsidR="00000000" w:rsidDel="00000000" w:rsidP="00000000" w:rsidRDefault="00000000" w:rsidRPr="00000000" w14:paraId="0000000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00B">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C">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2</w:t>
      </w:r>
      <w:r w:rsidDel="00000000" w:rsidR="00000000" w:rsidRPr="00000000">
        <w:rPr>
          <w:rFonts w:ascii="Arial" w:cs="Arial" w:eastAsia="Arial" w:hAnsi="Arial"/>
          <w:b w:val="1"/>
          <w:sz w:val="20"/>
          <w:szCs w:val="20"/>
          <w:rtl w:val="0"/>
        </w:rPr>
        <w:t xml:space="preserve"> : À propos de l’appareil génital masculin, donnez-la (les) proposition(s) exacte(s) :</w:t>
      </w:r>
    </w:p>
    <w:p w:rsidR="00000000" w:rsidDel="00000000" w:rsidP="00000000" w:rsidRDefault="00000000" w:rsidRPr="00000000" w14:paraId="0000000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La délimitation entre le gland du pénis et le prépuce se fait au cours de l’enfance</w:t>
      </w:r>
    </w:p>
    <w:p w:rsidR="00000000" w:rsidDel="00000000" w:rsidP="00000000" w:rsidRDefault="00000000" w:rsidRPr="00000000" w14:paraId="0000000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C'est un mécanisme hormono-dépendant</w:t>
      </w:r>
    </w:p>
    <w:p w:rsidR="00000000" w:rsidDel="00000000" w:rsidP="00000000" w:rsidRDefault="00000000" w:rsidRPr="00000000" w14:paraId="0000000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La circoncision est uniquement possible chez l’homme</w:t>
      </w:r>
    </w:p>
    <w:p w:rsidR="00000000" w:rsidDel="00000000" w:rsidP="00000000" w:rsidRDefault="00000000" w:rsidRPr="00000000" w14:paraId="0000001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Les corticoïdes peuvent favoriser la maturation hormonale qui va séparer le gland du prépuce</w:t>
      </w:r>
    </w:p>
    <w:p w:rsidR="00000000" w:rsidDel="00000000" w:rsidP="00000000" w:rsidRDefault="00000000" w:rsidRPr="00000000" w14:paraId="0000001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012">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3">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3</w:t>
      </w:r>
      <w:r w:rsidDel="00000000" w:rsidR="00000000" w:rsidRPr="00000000">
        <w:rPr>
          <w:rFonts w:ascii="Arial" w:cs="Arial" w:eastAsia="Arial" w:hAnsi="Arial"/>
          <w:b w:val="1"/>
          <w:sz w:val="20"/>
          <w:szCs w:val="20"/>
          <w:rtl w:val="0"/>
        </w:rPr>
        <w:t xml:space="preserve"> : À propos de l’appareil génital masculin, donnez-la (les) proposition(s) exacte(s) : </w:t>
      </w:r>
    </w:p>
    <w:p w:rsidR="00000000" w:rsidDel="00000000" w:rsidP="00000000" w:rsidRDefault="00000000" w:rsidRPr="00000000" w14:paraId="0000001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L’urètre prostatique est entouré par une glande sexuel secondaire</w:t>
      </w:r>
    </w:p>
    <w:p w:rsidR="00000000" w:rsidDel="00000000" w:rsidP="00000000" w:rsidRDefault="00000000" w:rsidRPr="00000000" w14:paraId="0000001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L’uretère membraneux se forme après un angle à 90° à travers le diaphragme pelvien</w:t>
      </w:r>
    </w:p>
    <w:p w:rsidR="00000000" w:rsidDel="00000000" w:rsidP="00000000" w:rsidRDefault="00000000" w:rsidRPr="00000000" w14:paraId="0000001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L’urètre membraneux est mobile</w:t>
      </w:r>
    </w:p>
    <w:p w:rsidR="00000000" w:rsidDel="00000000" w:rsidP="00000000" w:rsidRDefault="00000000" w:rsidRPr="00000000" w14:paraId="0000001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Le sphincter lisse de l’urètre passe en avant du bec de la prostate </w:t>
      </w:r>
    </w:p>
    <w:p w:rsidR="00000000" w:rsidDel="00000000" w:rsidP="00000000" w:rsidRDefault="00000000" w:rsidRPr="00000000" w14:paraId="0000001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019">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A">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4</w:t>
      </w:r>
      <w:r w:rsidDel="00000000" w:rsidR="00000000" w:rsidRPr="00000000">
        <w:rPr>
          <w:rFonts w:ascii="Arial" w:cs="Arial" w:eastAsia="Arial" w:hAnsi="Arial"/>
          <w:b w:val="1"/>
          <w:sz w:val="20"/>
          <w:szCs w:val="20"/>
          <w:rtl w:val="0"/>
        </w:rPr>
        <w:t xml:space="preserve"> : À propos de l’appareil génital masculin, donnez-la (les) proposition(s) exacte(s) : </w:t>
      </w:r>
    </w:p>
    <w:p w:rsidR="00000000" w:rsidDel="00000000" w:rsidP="00000000" w:rsidRDefault="00000000" w:rsidRPr="00000000" w14:paraId="0000001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Le canal déférents sort par l’orifice inguinal profond</w:t>
      </w:r>
    </w:p>
    <w:p w:rsidR="00000000" w:rsidDel="00000000" w:rsidP="00000000" w:rsidRDefault="00000000" w:rsidRPr="00000000" w14:paraId="0000001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Le canal déférents rentre par l’orifice inguinal profond</w:t>
      </w:r>
    </w:p>
    <w:p w:rsidR="00000000" w:rsidDel="00000000" w:rsidP="00000000" w:rsidRDefault="00000000" w:rsidRPr="00000000" w14:paraId="0000001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Le paquet vasculo-nerveux du testicule sort par l’orifice inguinal superficiel</w:t>
      </w:r>
    </w:p>
    <w:p w:rsidR="00000000" w:rsidDel="00000000" w:rsidP="00000000" w:rsidRDefault="00000000" w:rsidRPr="00000000" w14:paraId="0000001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Le paquet vasculo-nerveux du testicule rentre par l’orifice inguinal superficiel</w:t>
      </w:r>
    </w:p>
    <w:p w:rsidR="00000000" w:rsidDel="00000000" w:rsidP="00000000" w:rsidRDefault="00000000" w:rsidRPr="00000000" w14:paraId="0000001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020">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1">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5</w:t>
      </w:r>
      <w:r w:rsidDel="00000000" w:rsidR="00000000" w:rsidRPr="00000000">
        <w:rPr>
          <w:rFonts w:ascii="Arial" w:cs="Arial" w:eastAsia="Arial" w:hAnsi="Arial"/>
          <w:b w:val="1"/>
          <w:sz w:val="20"/>
          <w:szCs w:val="20"/>
          <w:rtl w:val="0"/>
        </w:rPr>
        <w:t xml:space="preserve"> : À propos de l’appareil génital masculin, donnez-la (les) proposition(s) exacte(s) :</w:t>
      </w:r>
    </w:p>
    <w:p w:rsidR="00000000" w:rsidDel="00000000" w:rsidP="00000000" w:rsidRDefault="00000000" w:rsidRPr="00000000" w14:paraId="0000002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Le canal déférent se sépare du pédicule testiculaire et rejoint la vésicule séminale controlatérale au niveau des lobes postérieurs de la prostate</w:t>
      </w:r>
    </w:p>
    <w:p w:rsidR="00000000" w:rsidDel="00000000" w:rsidP="00000000" w:rsidRDefault="00000000" w:rsidRPr="00000000" w14:paraId="0000002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Il se forme ensuite le canal éjaculateur en extra-prostatique avant de rentrer dans la prostate en passant par la cloison recto-prostatique</w:t>
      </w:r>
    </w:p>
    <w:p w:rsidR="00000000" w:rsidDel="00000000" w:rsidP="00000000" w:rsidRDefault="00000000" w:rsidRPr="00000000" w14:paraId="0000002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Lors de la descente testiculaire, il va y avoir une invagination des fascias et du péritoine dans le scrotum</w:t>
      </w:r>
    </w:p>
    <w:p w:rsidR="00000000" w:rsidDel="00000000" w:rsidP="00000000" w:rsidRDefault="00000000" w:rsidRPr="00000000" w14:paraId="0000002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La portion pariétale des voies spermatiques (canal déférent) croise d’abord les vaisseaux iliaques externes puis les uretères, toujours dans leur partie terminale, avant d’atteindre la portion rétro-prostatique</w:t>
      </w:r>
    </w:p>
    <w:p w:rsidR="00000000" w:rsidDel="00000000" w:rsidP="00000000" w:rsidRDefault="00000000" w:rsidRPr="00000000" w14:paraId="0000002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027">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8">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6</w:t>
      </w:r>
      <w:r w:rsidDel="00000000" w:rsidR="00000000" w:rsidRPr="00000000">
        <w:rPr>
          <w:rFonts w:ascii="Arial" w:cs="Arial" w:eastAsia="Arial" w:hAnsi="Arial"/>
          <w:b w:val="1"/>
          <w:sz w:val="20"/>
          <w:szCs w:val="20"/>
          <w:rtl w:val="0"/>
        </w:rPr>
        <w:t xml:space="preserve"> : À propos de l’appareil urinaire, donnez-la (les) proposition(s) exacte(s) :</w:t>
      </w:r>
    </w:p>
    <w:p w:rsidR="00000000" w:rsidDel="00000000" w:rsidP="00000000" w:rsidRDefault="00000000" w:rsidRPr="00000000" w14:paraId="0000002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Un taux trop élevé d’aldostérone va provoquer une hypernatrémie et une hypokaliémie</w:t>
      </w:r>
    </w:p>
    <w:p w:rsidR="00000000" w:rsidDel="00000000" w:rsidP="00000000" w:rsidRDefault="00000000" w:rsidRPr="00000000" w14:paraId="0000002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Une tumeur de la couche réticulée entraîne une hypersécrétion de l’androstérone à l’origine d’une modification des caractères sexuelles secondaire</w:t>
      </w:r>
    </w:p>
    <w:p w:rsidR="00000000" w:rsidDel="00000000" w:rsidP="00000000" w:rsidRDefault="00000000" w:rsidRPr="00000000" w14:paraId="0000002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La médullo-surrénale est un organe du système nerveux végétatif et par conséquent elle reçoit une innervation parasympathique</w:t>
      </w:r>
    </w:p>
    <w:p w:rsidR="00000000" w:rsidDel="00000000" w:rsidP="00000000" w:rsidRDefault="00000000" w:rsidRPr="00000000" w14:paraId="0000002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Un phéochromocytome entraîne une hypertension et une tachycardie suite à l’effet des hormones cortico-surrénaliennes</w:t>
      </w:r>
    </w:p>
    <w:p w:rsidR="00000000" w:rsidDel="00000000" w:rsidP="00000000" w:rsidRDefault="00000000" w:rsidRPr="00000000" w14:paraId="0000002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02E">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F">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7</w:t>
      </w:r>
      <w:r w:rsidDel="00000000" w:rsidR="00000000" w:rsidRPr="00000000">
        <w:rPr>
          <w:rFonts w:ascii="Arial" w:cs="Arial" w:eastAsia="Arial" w:hAnsi="Arial"/>
          <w:b w:val="1"/>
          <w:sz w:val="20"/>
          <w:szCs w:val="20"/>
          <w:rtl w:val="0"/>
        </w:rPr>
        <w:t xml:space="preserve"> : À propos de l’appareil urinaire, donnez-la (les) proposition(s) exacte(s) :</w:t>
      </w:r>
    </w:p>
    <w:p w:rsidR="00000000" w:rsidDel="00000000" w:rsidP="00000000" w:rsidRDefault="00000000" w:rsidRPr="00000000" w14:paraId="0000003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L’urothélium rosée de la vessie présente trois orifices : deux supérieurs et un inférieur</w:t>
      </w:r>
    </w:p>
    <w:p w:rsidR="00000000" w:rsidDel="00000000" w:rsidP="00000000" w:rsidRDefault="00000000" w:rsidRPr="00000000" w14:paraId="0000003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Les orifices supérieurs possèdes des valves anti-reflux formés par des replis muqueux </w:t>
      </w:r>
    </w:p>
    <w:p w:rsidR="00000000" w:rsidDel="00000000" w:rsidP="00000000" w:rsidRDefault="00000000" w:rsidRPr="00000000" w14:paraId="0000003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Le trigone vésical est formé par les valves anti-reflux des uretères, le pli inter-urétral et par les bourrelets latéraux</w:t>
      </w:r>
    </w:p>
    <w:p w:rsidR="00000000" w:rsidDel="00000000" w:rsidP="00000000" w:rsidRDefault="00000000" w:rsidRPr="00000000" w14:paraId="0000003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Le trigone vésical va former le trigone vaginal sur la paroi postérieure du vagin de la femme </w:t>
      </w:r>
    </w:p>
    <w:p w:rsidR="00000000" w:rsidDel="00000000" w:rsidP="00000000" w:rsidRDefault="00000000" w:rsidRPr="00000000" w14:paraId="0000003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035">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6">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7">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8</w:t>
      </w:r>
      <w:r w:rsidDel="00000000" w:rsidR="00000000" w:rsidRPr="00000000">
        <w:rPr>
          <w:rFonts w:ascii="Arial" w:cs="Arial" w:eastAsia="Arial" w:hAnsi="Arial"/>
          <w:b w:val="1"/>
          <w:sz w:val="20"/>
          <w:szCs w:val="20"/>
          <w:rtl w:val="0"/>
        </w:rPr>
        <w:t xml:space="preserve"> : À propos de l’appareil urinaire, donnez-la (les) proposition(s) exacte(s) :</w:t>
      </w:r>
    </w:p>
    <w:p w:rsidR="00000000" w:rsidDel="00000000" w:rsidP="00000000" w:rsidRDefault="00000000" w:rsidRPr="00000000" w14:paraId="0000003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Les artères iliaques primitives longe la ligne innominée du détroit supérieur du bassin avant de se diviser en artère iliaque externe et artère iliaque interne droite et gauche </w:t>
      </w:r>
    </w:p>
    <w:p w:rsidR="00000000" w:rsidDel="00000000" w:rsidP="00000000" w:rsidRDefault="00000000" w:rsidRPr="00000000" w14:paraId="0000003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Les artères rénales sont issues de l’aorte abdominale le plus souvent en L1 comme l’artère mésentérique inférieure</w:t>
      </w:r>
    </w:p>
    <w:p w:rsidR="00000000" w:rsidDel="00000000" w:rsidP="00000000" w:rsidRDefault="00000000" w:rsidRPr="00000000" w14:paraId="0000003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L’artère iliaque externe franchit le ligament inguinal pour devenir l’artère fémorale</w:t>
      </w:r>
    </w:p>
    <w:p w:rsidR="00000000" w:rsidDel="00000000" w:rsidP="00000000" w:rsidRDefault="00000000" w:rsidRPr="00000000" w14:paraId="0000003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Les artères gonadiques sont issues de l’aorte thoracique en regard de L2-L3</w:t>
      </w:r>
    </w:p>
    <w:p w:rsidR="00000000" w:rsidDel="00000000" w:rsidP="00000000" w:rsidRDefault="00000000" w:rsidRPr="00000000" w14:paraId="0000003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03D">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E">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9</w:t>
      </w:r>
      <w:r w:rsidDel="00000000" w:rsidR="00000000" w:rsidRPr="00000000">
        <w:rPr>
          <w:rFonts w:ascii="Arial" w:cs="Arial" w:eastAsia="Arial" w:hAnsi="Arial"/>
          <w:b w:val="1"/>
          <w:sz w:val="20"/>
          <w:szCs w:val="20"/>
          <w:rtl w:val="0"/>
        </w:rPr>
        <w:t xml:space="preserve"> : À propos de l’appareil urinaire, donnez-la (les) proposition(s) exacte(s) :</w:t>
      </w:r>
    </w:p>
    <w:p w:rsidR="00000000" w:rsidDel="00000000" w:rsidP="00000000" w:rsidRDefault="00000000" w:rsidRPr="00000000" w14:paraId="0000003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La prostate est une glande annexe qui possède la taille, la forme et la texture d’une châtaigne mais aussi la forme d’un cône aplati et enfin la forme de dos d’une carte à jouer</w:t>
      </w:r>
    </w:p>
    <w:p w:rsidR="00000000" w:rsidDel="00000000" w:rsidP="00000000" w:rsidRDefault="00000000" w:rsidRPr="00000000" w14:paraId="0000004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La base de la vessie se situe en avant du vagin et sa face supérieure en-dessous du péritoine</w:t>
      </w:r>
    </w:p>
    <w:p w:rsidR="00000000" w:rsidDel="00000000" w:rsidP="00000000" w:rsidRDefault="00000000" w:rsidRPr="00000000" w14:paraId="0000004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Le rectum à la forme d’un homme assis et se compose de haut en bas du canal anal, du cap anal et de l’ampoule rectal</w:t>
      </w:r>
    </w:p>
    <w:p w:rsidR="00000000" w:rsidDel="00000000" w:rsidP="00000000" w:rsidRDefault="00000000" w:rsidRPr="00000000" w14:paraId="0000004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Sur toute la hauteur des paroi de l’urètre féminin se trouvent des glandes urétrales</w:t>
      </w:r>
    </w:p>
    <w:p w:rsidR="00000000" w:rsidDel="00000000" w:rsidP="00000000" w:rsidRDefault="00000000" w:rsidRPr="00000000" w14:paraId="0000004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044">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5">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10</w:t>
      </w:r>
      <w:r w:rsidDel="00000000" w:rsidR="00000000" w:rsidRPr="00000000">
        <w:rPr>
          <w:rFonts w:ascii="Arial" w:cs="Arial" w:eastAsia="Arial" w:hAnsi="Arial"/>
          <w:b w:val="1"/>
          <w:sz w:val="20"/>
          <w:szCs w:val="20"/>
          <w:rtl w:val="0"/>
        </w:rPr>
        <w:t xml:space="preserve"> : À propos de l’appareil urinaire, donnez-la (les) proposition(s) exacte(s) :</w:t>
      </w:r>
    </w:p>
    <w:p w:rsidR="00000000" w:rsidDel="00000000" w:rsidP="00000000" w:rsidRDefault="00000000" w:rsidRPr="00000000" w14:paraId="0000004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Les reins sont des organes rétro-péritonéaux, qui ont la forme d’un haricot de 12cm de long sur 6cm de large et qui ont pour rôle la sécrétion de l’urine dans les voies excrétrices</w:t>
      </w:r>
    </w:p>
    <w:p w:rsidR="00000000" w:rsidDel="00000000" w:rsidP="00000000" w:rsidRDefault="00000000" w:rsidRPr="00000000" w14:paraId="0000004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Le rein droit remonte jusqu’à la 11ème côte tandis que le rein gauche qui est légèrement plus haut remonte jusqu’à la 10ème côte</w:t>
      </w:r>
    </w:p>
    <w:p w:rsidR="00000000" w:rsidDel="00000000" w:rsidP="00000000" w:rsidRDefault="00000000" w:rsidRPr="00000000" w14:paraId="0000004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Le sommet rein gauche se projette également en regard de la moitié du corps vertébral de T11 tandis que sa base se projette en regard du disque intervertébral de L2-L3</w:t>
      </w:r>
    </w:p>
    <w:p w:rsidR="00000000" w:rsidDel="00000000" w:rsidP="00000000" w:rsidRDefault="00000000" w:rsidRPr="00000000" w14:paraId="0000004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Le sommet rein droit se projette également en regard de la moitié du corps vertébral de T11 tandis que sa base se projette en regard du disque intervertébral de L2-L3</w:t>
      </w:r>
    </w:p>
    <w:p w:rsidR="00000000" w:rsidDel="00000000" w:rsidP="00000000" w:rsidRDefault="00000000" w:rsidRPr="00000000" w14:paraId="0000004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04B">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C">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11</w:t>
      </w:r>
      <w:r w:rsidDel="00000000" w:rsidR="00000000" w:rsidRPr="00000000">
        <w:rPr>
          <w:rFonts w:ascii="Arial" w:cs="Arial" w:eastAsia="Arial" w:hAnsi="Arial"/>
          <w:b w:val="1"/>
          <w:sz w:val="20"/>
          <w:szCs w:val="20"/>
          <w:rtl w:val="0"/>
        </w:rPr>
        <w:t xml:space="preserve"> : À propos du cours paroi du petit bassin, donnez la ou les bonnes réponses : </w:t>
      </w:r>
    </w:p>
    <w:p w:rsidR="00000000" w:rsidDel="00000000" w:rsidP="00000000" w:rsidRDefault="00000000" w:rsidRPr="00000000" w14:paraId="0000004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L’os coxal est formé de 3 pâles perpendiculaires : l’ischion, le pubis et l’ilium</w:t>
      </w:r>
    </w:p>
    <w:p w:rsidR="00000000" w:rsidDel="00000000" w:rsidP="00000000" w:rsidRDefault="00000000" w:rsidRPr="00000000" w14:paraId="0000004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Le moyeu de l’hélice est le cotyle, il est au centre du sacrum et c’est le point de fusion de l’ischion, le pubis et l’ilium</w:t>
      </w:r>
    </w:p>
    <w:p w:rsidR="00000000" w:rsidDel="00000000" w:rsidP="00000000" w:rsidRDefault="00000000" w:rsidRPr="00000000" w14:paraId="0000004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L’axe de l’hélice est le point de contact entre le fémur et l’os coxal, c’est le col de l’utérus</w:t>
      </w:r>
    </w:p>
    <w:p w:rsidR="00000000" w:rsidDel="00000000" w:rsidP="00000000" w:rsidRDefault="00000000" w:rsidRPr="00000000" w14:paraId="0000005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L’échancrure inter-épineuse se trouve entre l’épine iliaque antéro-supérieure et l’épine ischiatique antéro-inférieure</w:t>
      </w:r>
    </w:p>
    <w:p w:rsidR="00000000" w:rsidDel="00000000" w:rsidP="00000000" w:rsidRDefault="00000000" w:rsidRPr="00000000" w14:paraId="0000005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052">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3">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12</w:t>
      </w:r>
      <w:r w:rsidDel="00000000" w:rsidR="00000000" w:rsidRPr="00000000">
        <w:rPr>
          <w:rFonts w:ascii="Arial" w:cs="Arial" w:eastAsia="Arial" w:hAnsi="Arial"/>
          <w:b w:val="1"/>
          <w:sz w:val="20"/>
          <w:szCs w:val="20"/>
          <w:rtl w:val="0"/>
        </w:rPr>
        <w:t xml:space="preserve"> : À propos du cours paroi du petit bassin, donnez la ou les bonnes réponses : </w:t>
      </w:r>
    </w:p>
    <w:p w:rsidR="00000000" w:rsidDel="00000000" w:rsidP="00000000" w:rsidRDefault="00000000" w:rsidRPr="00000000" w14:paraId="0000005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Sur une vue de face du petit bassin, on voit l’épine iliaque postéro-supérieure</w:t>
      </w:r>
    </w:p>
    <w:p w:rsidR="00000000" w:rsidDel="00000000" w:rsidP="00000000" w:rsidRDefault="00000000" w:rsidRPr="00000000" w14:paraId="0000005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Sur une vue supérieure du petit bassin, on voit l’éminence ilio-pectinéale</w:t>
      </w:r>
    </w:p>
    <w:p w:rsidR="00000000" w:rsidDel="00000000" w:rsidP="00000000" w:rsidRDefault="00000000" w:rsidRPr="00000000" w14:paraId="0000005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Sur une vue postérieure du petit bassin, on voit les crêtes synostosiques</w:t>
      </w:r>
    </w:p>
    <w:p w:rsidR="00000000" w:rsidDel="00000000" w:rsidP="00000000" w:rsidRDefault="00000000" w:rsidRPr="00000000" w14:paraId="0000005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Sur une vue médiale du petit bassin, on voit la grande incisure ischiatique</w:t>
      </w:r>
    </w:p>
    <w:p w:rsidR="00000000" w:rsidDel="00000000" w:rsidP="00000000" w:rsidRDefault="00000000" w:rsidRPr="00000000" w14:paraId="0000005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059">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A">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13</w:t>
      </w:r>
      <w:r w:rsidDel="00000000" w:rsidR="00000000" w:rsidRPr="00000000">
        <w:rPr>
          <w:rFonts w:ascii="Arial" w:cs="Arial" w:eastAsia="Arial" w:hAnsi="Arial"/>
          <w:b w:val="1"/>
          <w:sz w:val="20"/>
          <w:szCs w:val="20"/>
          <w:rtl w:val="0"/>
        </w:rPr>
        <w:t xml:space="preserve"> : À propos du cours paroi du petit bassin, donnez la ou les bonnes réponses :</w:t>
      </w:r>
    </w:p>
    <w:p w:rsidR="00000000" w:rsidDel="00000000" w:rsidP="00000000" w:rsidRDefault="00000000" w:rsidRPr="00000000" w14:paraId="0000005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Le périnée est l’ensemble des parties molles situées en-dessous du plancher pelvien</w:t>
      </w:r>
    </w:p>
    <w:p w:rsidR="00000000" w:rsidDel="00000000" w:rsidP="00000000" w:rsidRDefault="00000000" w:rsidRPr="00000000" w14:paraId="0000005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Le losange périnéal est l’association du triangle antérieur uro-génital et du triangle postérieur anal</w:t>
      </w:r>
    </w:p>
    <w:p w:rsidR="00000000" w:rsidDel="00000000" w:rsidP="00000000" w:rsidRDefault="00000000" w:rsidRPr="00000000" w14:paraId="0000005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L’homme possède un émonctoire génital situé entre son émonctoire urinaire et anal</w:t>
      </w:r>
    </w:p>
    <w:p w:rsidR="00000000" w:rsidDel="00000000" w:rsidP="00000000" w:rsidRDefault="00000000" w:rsidRPr="00000000" w14:paraId="0000005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Le bassin de la femme est plus large que le bassin de l’homme</w:t>
      </w:r>
    </w:p>
    <w:p w:rsidR="00000000" w:rsidDel="00000000" w:rsidP="00000000" w:rsidRDefault="00000000" w:rsidRPr="00000000" w14:paraId="0000005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060">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1">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14</w:t>
      </w:r>
      <w:r w:rsidDel="00000000" w:rsidR="00000000" w:rsidRPr="00000000">
        <w:rPr>
          <w:rFonts w:ascii="Arial" w:cs="Arial" w:eastAsia="Arial" w:hAnsi="Arial"/>
          <w:b w:val="1"/>
          <w:sz w:val="20"/>
          <w:szCs w:val="20"/>
          <w:rtl w:val="0"/>
        </w:rPr>
        <w:t xml:space="preserve"> : À propos du cours paroi du petit bassin, donnez la ou les bonnes réponses : </w:t>
      </w:r>
    </w:p>
    <w:p w:rsidR="00000000" w:rsidDel="00000000" w:rsidP="00000000" w:rsidRDefault="00000000" w:rsidRPr="00000000" w14:paraId="00000062">
      <w:pPr>
        <w:spacing w:after="0" w:line="240" w:lineRule="auto"/>
        <w:rPr>
          <w:rFonts w:ascii="Arial" w:cs="Arial" w:eastAsia="Arial" w:hAnsi="Arial"/>
          <w:sz w:val="20"/>
          <w:szCs w:val="20"/>
        </w:rPr>
      </w:pPr>
      <w:sdt>
        <w:sdtPr>
          <w:tag w:val="goog_rdk_0"/>
        </w:sdtPr>
        <w:sdtContent>
          <w:r w:rsidDel="00000000" w:rsidR="00000000" w:rsidRPr="00000000">
            <w:rPr>
              <w:rFonts w:ascii="Arial Unicode MS" w:cs="Arial Unicode MS" w:eastAsia="Arial Unicode MS" w:hAnsi="Arial Unicode MS"/>
              <w:sz w:val="20"/>
              <w:szCs w:val="20"/>
              <w:rtl w:val="0"/>
            </w:rPr>
            <w:t xml:space="preserve">A) De l’extérieur vers la profondeur, on retrouve : le périnée cutané → le périnée musculaire et graisseux → le fascia inférieur du diaphragme pelvien → le diaphragme pelvien → le fascia supérieur du diaphragme pelvien</w:t>
          </w:r>
        </w:sdtContent>
      </w:sdt>
    </w:p>
    <w:p w:rsidR="00000000" w:rsidDel="00000000" w:rsidP="00000000" w:rsidRDefault="00000000" w:rsidRPr="00000000" w14:paraId="0000006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Dans le plan du fascia inférieur du diaphragme pelvien, on retrouve les muscles glutéaux, en-dessous de ceux-ci de la graisse, et en-dessous de la couche graisseuse on retrouve le muscle transverse profond du périnée</w:t>
      </w:r>
    </w:p>
    <w:p w:rsidR="00000000" w:rsidDel="00000000" w:rsidP="00000000" w:rsidRDefault="00000000" w:rsidRPr="00000000" w14:paraId="0000006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Le fascia inférieur du diaphragme pelvien s’étend des branches ischio-pubiennes jusqu’au muscle transverse profond du périnée</w:t>
      </w:r>
    </w:p>
    <w:p w:rsidR="00000000" w:rsidDel="00000000" w:rsidP="00000000" w:rsidRDefault="00000000" w:rsidRPr="00000000" w14:paraId="0000006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Le fascia inférieur du diaphragme pelvien laisse passer un hiatus infra-pubien où passe la veine dorsale du pénis ou du clitoris</w:t>
      </w:r>
    </w:p>
    <w:p w:rsidR="00000000" w:rsidDel="00000000" w:rsidP="00000000" w:rsidRDefault="00000000" w:rsidRPr="00000000" w14:paraId="0000006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067">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8">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9">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A">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B">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C">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15</w:t>
      </w:r>
      <w:r w:rsidDel="00000000" w:rsidR="00000000" w:rsidRPr="00000000">
        <w:rPr>
          <w:rFonts w:ascii="Arial" w:cs="Arial" w:eastAsia="Arial" w:hAnsi="Arial"/>
          <w:b w:val="1"/>
          <w:sz w:val="20"/>
          <w:szCs w:val="20"/>
          <w:rtl w:val="0"/>
        </w:rPr>
        <w:t xml:space="preserve"> : À propos du cours paroi du petit bassin, donnez la ou les bonnes réponses : </w:t>
      </w:r>
    </w:p>
    <w:p w:rsidR="00000000" w:rsidDel="00000000" w:rsidP="00000000" w:rsidRDefault="00000000" w:rsidRPr="00000000" w14:paraId="0000006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Dans le plan du fascia supérieur du diaphragme pelvien, on peut voir le noyau fibreux central du périnée</w:t>
      </w:r>
    </w:p>
    <w:p w:rsidR="00000000" w:rsidDel="00000000" w:rsidP="00000000" w:rsidRDefault="00000000" w:rsidRPr="00000000" w14:paraId="0000006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Dans le plan du fascia supérieur du diaphragme pelvien, on peut voir chez un sujet mâle le muscle urétro-vaginal qui entoure le hiatus uro-génital</w:t>
      </w:r>
    </w:p>
    <w:p w:rsidR="00000000" w:rsidDel="00000000" w:rsidP="00000000" w:rsidRDefault="00000000" w:rsidRPr="00000000" w14:paraId="0000006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Dans le plan du fascia supérieur du diaphragme pelvien, on peut voir le sphincter strié de l’urètre ; il joue sur la continence</w:t>
      </w:r>
    </w:p>
    <w:p w:rsidR="00000000" w:rsidDel="00000000" w:rsidP="00000000" w:rsidRDefault="00000000" w:rsidRPr="00000000" w14:paraId="0000007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Les corps érectiles sont posés au-dessus du fascia supérieur du diaphragme pelvien</w:t>
      </w:r>
    </w:p>
    <w:p w:rsidR="00000000" w:rsidDel="00000000" w:rsidP="00000000" w:rsidRDefault="00000000" w:rsidRPr="00000000" w14:paraId="0000007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072">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3">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16</w:t>
      </w:r>
      <w:r w:rsidDel="00000000" w:rsidR="00000000" w:rsidRPr="00000000">
        <w:rPr>
          <w:rFonts w:ascii="Arial" w:cs="Arial" w:eastAsia="Arial" w:hAnsi="Arial"/>
          <w:b w:val="1"/>
          <w:sz w:val="20"/>
          <w:szCs w:val="20"/>
          <w:rtl w:val="0"/>
        </w:rPr>
        <w:t xml:space="preserve"> : À propos du cours sur l’appareil génital féminin, donnez la ou les bonnes réponses : </w:t>
      </w:r>
    </w:p>
    <w:p w:rsidR="00000000" w:rsidDel="00000000" w:rsidP="00000000" w:rsidRDefault="00000000" w:rsidRPr="00000000" w14:paraId="0000007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L’utérus est l’organe de copulation de la femme, il nous permet de nous reproduire</w:t>
      </w:r>
    </w:p>
    <w:p w:rsidR="00000000" w:rsidDel="00000000" w:rsidP="00000000" w:rsidRDefault="00000000" w:rsidRPr="00000000" w14:paraId="0000007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L’ovaire est l’usine de production des gamètes féminines, il est non-péritonisé et extra-péritonéal</w:t>
      </w:r>
    </w:p>
    <w:p w:rsidR="00000000" w:rsidDel="00000000" w:rsidP="00000000" w:rsidRDefault="00000000" w:rsidRPr="00000000" w14:paraId="0000007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Le quart antérieur du losange périnéal est innervé par les rameaux postérieurs des racines L1 et L2</w:t>
      </w:r>
    </w:p>
    <w:p w:rsidR="00000000" w:rsidDel="00000000" w:rsidP="00000000" w:rsidRDefault="00000000" w:rsidRPr="00000000" w14:paraId="0000007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Après s’être formé par le regroupement des nerfs S2-S3-S4, le nerf pudendal passe par la grande incisure ischiatique pour innerver la fesse, fait le tour de l’épine sciatique et rentre dans le bassin via la petite incisure ischiatique pour rentrer dans le canal pudendal</w:t>
      </w:r>
    </w:p>
    <w:p w:rsidR="00000000" w:rsidDel="00000000" w:rsidP="00000000" w:rsidRDefault="00000000" w:rsidRPr="00000000" w14:paraId="0000007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079">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A">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17</w:t>
      </w:r>
      <w:r w:rsidDel="00000000" w:rsidR="00000000" w:rsidRPr="00000000">
        <w:rPr>
          <w:rFonts w:ascii="Arial" w:cs="Arial" w:eastAsia="Arial" w:hAnsi="Arial"/>
          <w:b w:val="1"/>
          <w:sz w:val="20"/>
          <w:szCs w:val="20"/>
          <w:rtl w:val="0"/>
        </w:rPr>
        <w:t xml:space="preserve"> : À propos du cours sur l’appareil génital féminin, donnez la ou les bonnes réponses : </w:t>
      </w:r>
    </w:p>
    <w:p w:rsidR="00000000" w:rsidDel="00000000" w:rsidP="00000000" w:rsidRDefault="00000000" w:rsidRPr="00000000" w14:paraId="0000007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Lorsque le pédicule périnéal passe le canal d’Alcock, il devient le pédicule pudendal</w:t>
      </w:r>
    </w:p>
    <w:p w:rsidR="00000000" w:rsidDel="00000000" w:rsidP="00000000" w:rsidRDefault="00000000" w:rsidRPr="00000000" w14:paraId="0000007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La partie antérieure de la vulve est vascularisée par l’artère pudendale interne, qui provient elle-même de l’artère hypogastrique</w:t>
      </w:r>
    </w:p>
    <w:p w:rsidR="00000000" w:rsidDel="00000000" w:rsidP="00000000" w:rsidRDefault="00000000" w:rsidRPr="00000000" w14:paraId="0000007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Si vous avez un cancer de la vulve postérieure, il sera drainé par les ganglions lymphatiques qui sont autour des vaisseaux pudendales externes</w:t>
      </w:r>
    </w:p>
    <w:p w:rsidR="00000000" w:rsidDel="00000000" w:rsidP="00000000" w:rsidRDefault="00000000" w:rsidRPr="00000000" w14:paraId="0000007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Le mont de Vénus est une formation graisseuse en regard du sacrum qui est tapissé de poils de section polygonale</w:t>
      </w:r>
    </w:p>
    <w:p w:rsidR="00000000" w:rsidDel="00000000" w:rsidP="00000000" w:rsidRDefault="00000000" w:rsidRPr="00000000" w14:paraId="0000007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080">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1">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18</w:t>
      </w:r>
      <w:r w:rsidDel="00000000" w:rsidR="00000000" w:rsidRPr="00000000">
        <w:rPr>
          <w:rFonts w:ascii="Arial" w:cs="Arial" w:eastAsia="Arial" w:hAnsi="Arial"/>
          <w:b w:val="1"/>
          <w:sz w:val="20"/>
          <w:szCs w:val="20"/>
          <w:rtl w:val="0"/>
        </w:rPr>
        <w:t xml:space="preserve"> : À propos du cours sur l’appareil génital féminin, donnez la ou les bonnes réponses : </w:t>
      </w:r>
    </w:p>
    <w:p w:rsidR="00000000" w:rsidDel="00000000" w:rsidP="00000000" w:rsidRDefault="00000000" w:rsidRPr="00000000" w14:paraId="0000008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Les grandes lèvres donnent deux expansions au niveau de la commissure labiale antérieure : le capuchon du clitoris et le frein du clitoris</w:t>
      </w:r>
    </w:p>
    <w:p w:rsidR="00000000" w:rsidDel="00000000" w:rsidP="00000000" w:rsidRDefault="00000000" w:rsidRPr="00000000" w14:paraId="0000008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Les glandes vestibulaires majeures s’abouchent à la partie moyenne du vestibule vaginal</w:t>
      </w:r>
    </w:p>
    <w:p w:rsidR="00000000" w:rsidDel="00000000" w:rsidP="00000000" w:rsidRDefault="00000000" w:rsidRPr="00000000" w14:paraId="0000008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Une femme qui a déjà eu des rapports sexuels mais sans accouchement présente des caroncules hyménéales à l’examen gynécologique</w:t>
      </w:r>
    </w:p>
    <w:p w:rsidR="00000000" w:rsidDel="00000000" w:rsidP="00000000" w:rsidRDefault="00000000" w:rsidRPr="00000000" w14:paraId="0000008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Les corps érectiles se trouvent dans la profondeur du périnée cutané</w:t>
      </w:r>
    </w:p>
    <w:p w:rsidR="00000000" w:rsidDel="00000000" w:rsidP="00000000" w:rsidRDefault="00000000" w:rsidRPr="00000000" w14:paraId="0000008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087">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8">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19</w:t>
      </w:r>
      <w:r w:rsidDel="00000000" w:rsidR="00000000" w:rsidRPr="00000000">
        <w:rPr>
          <w:rFonts w:ascii="Arial" w:cs="Arial" w:eastAsia="Arial" w:hAnsi="Arial"/>
          <w:b w:val="1"/>
          <w:sz w:val="20"/>
          <w:szCs w:val="20"/>
          <w:rtl w:val="0"/>
        </w:rPr>
        <w:t xml:space="preserve"> : À propos du cours sur l’appareil génital féminin, donnez la ou les bonnes réponses : </w:t>
      </w:r>
    </w:p>
    <w:p w:rsidR="00000000" w:rsidDel="00000000" w:rsidP="00000000" w:rsidRDefault="00000000" w:rsidRPr="00000000" w14:paraId="0000008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Le clitoris présente deux piliers qui s’insèrent sur la branche ischio-pubienne de l’os coxal ; ils se rejoignent en-dessous du pubis</w:t>
      </w:r>
    </w:p>
    <w:p w:rsidR="00000000" w:rsidDel="00000000" w:rsidP="00000000" w:rsidRDefault="00000000" w:rsidRPr="00000000" w14:paraId="0000008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Les deux corps caverneux et le corps spongieux de la femme s’unissent sur la ligne médiane pour former le corps et le gland du clitoris</w:t>
      </w:r>
    </w:p>
    <w:p w:rsidR="00000000" w:rsidDel="00000000" w:rsidP="00000000" w:rsidRDefault="00000000" w:rsidRPr="00000000" w14:paraId="0000008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Dans l’ordre on retrouve : les piliers du clitoris, son corps, son genou et enfin le gland qui est recouvert du prépuce clitoridien</w:t>
      </w:r>
    </w:p>
    <w:p w:rsidR="00000000" w:rsidDel="00000000" w:rsidP="00000000" w:rsidRDefault="00000000" w:rsidRPr="00000000" w14:paraId="0000008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Le clitoris est rattaché au pubis via le ligament suspenseur du clitoris</w:t>
      </w:r>
    </w:p>
    <w:p w:rsidR="00000000" w:rsidDel="00000000" w:rsidP="00000000" w:rsidRDefault="00000000" w:rsidRPr="00000000" w14:paraId="0000008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08E">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F">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20</w:t>
      </w:r>
      <w:r w:rsidDel="00000000" w:rsidR="00000000" w:rsidRPr="00000000">
        <w:rPr>
          <w:rFonts w:ascii="Arial" w:cs="Arial" w:eastAsia="Arial" w:hAnsi="Arial"/>
          <w:b w:val="1"/>
          <w:sz w:val="20"/>
          <w:szCs w:val="20"/>
          <w:rtl w:val="0"/>
        </w:rPr>
        <w:t xml:space="preserve"> : À propos du cours sur l’appareil génital féminin, donnez la ou les bonnes réponses : </w:t>
      </w:r>
    </w:p>
    <w:p w:rsidR="00000000" w:rsidDel="00000000" w:rsidP="00000000" w:rsidRDefault="00000000" w:rsidRPr="00000000" w14:paraId="0000009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Le vagin fait un angle de 60° avec l’horizontale</w:t>
      </w:r>
    </w:p>
    <w:p w:rsidR="00000000" w:rsidDel="00000000" w:rsidP="00000000" w:rsidRDefault="00000000" w:rsidRPr="00000000" w14:paraId="0000009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L’angle vésical est ouvert vers l’arrière de 135 à 145°</w:t>
      </w:r>
    </w:p>
    <w:p w:rsidR="00000000" w:rsidDel="00000000" w:rsidP="00000000" w:rsidRDefault="00000000" w:rsidRPr="00000000" w14:paraId="0000009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L’angle cervico-vaginal s’ouvre de 90° à 110° entre l’axe du col de l’utérus et celui du vagin</w:t>
      </w:r>
    </w:p>
    <w:p w:rsidR="00000000" w:rsidDel="00000000" w:rsidP="00000000" w:rsidRDefault="00000000" w:rsidRPr="00000000" w14:paraId="0000009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Les angles du vagin font que son axe général croise les vertèbres S3 et S4</w:t>
      </w:r>
    </w:p>
    <w:p w:rsidR="00000000" w:rsidDel="00000000" w:rsidP="00000000" w:rsidRDefault="00000000" w:rsidRPr="00000000" w14:paraId="0000009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095">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6">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21</w:t>
      </w:r>
      <w:r w:rsidDel="00000000" w:rsidR="00000000" w:rsidRPr="00000000">
        <w:rPr>
          <w:rFonts w:ascii="Arial" w:cs="Arial" w:eastAsia="Arial" w:hAnsi="Arial"/>
          <w:b w:val="1"/>
          <w:sz w:val="20"/>
          <w:szCs w:val="20"/>
          <w:rtl w:val="0"/>
        </w:rPr>
        <w:t xml:space="preserve"> : A propos du développement placentaire (annales 2013) :</w:t>
      </w:r>
    </w:p>
    <w:p w:rsidR="00000000" w:rsidDel="00000000" w:rsidP="00000000" w:rsidRDefault="00000000" w:rsidRPr="00000000" w14:paraId="0000009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Le syncytiotrophoblaste constitue la couche externe</w:t>
      </w:r>
    </w:p>
    <w:p w:rsidR="00000000" w:rsidDel="00000000" w:rsidP="00000000" w:rsidRDefault="00000000" w:rsidRPr="00000000" w14:paraId="0000009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Le syncytiotrophoblaste constitue la masse cellulaire directement au contact de l'endomètre</w:t>
      </w:r>
    </w:p>
    <w:p w:rsidR="00000000" w:rsidDel="00000000" w:rsidP="00000000" w:rsidRDefault="00000000" w:rsidRPr="00000000" w14:paraId="0000009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Vers le 8ème jour post-conceptionnel, des vacuoles apparaissent dans la masse syncytiale</w:t>
      </w:r>
    </w:p>
    <w:p w:rsidR="00000000" w:rsidDel="00000000" w:rsidP="00000000" w:rsidRDefault="00000000" w:rsidRPr="00000000" w14:paraId="0000009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Les vacuoles vont progressivement former des travées fibreuses</w:t>
      </w:r>
    </w:p>
    <w:p w:rsidR="00000000" w:rsidDel="00000000" w:rsidP="00000000" w:rsidRDefault="00000000" w:rsidRPr="00000000" w14:paraId="0000009B">
      <w:pPr>
        <w:spacing w:after="120" w:line="240" w:lineRule="auto"/>
        <w:ind w:right="119"/>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09C">
      <w:pPr>
        <w:spacing w:after="120" w:line="240" w:lineRule="auto"/>
        <w:ind w:right="119"/>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D">
      <w:pPr>
        <w:spacing w:after="120" w:line="240" w:lineRule="auto"/>
        <w:ind w:right="119"/>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E">
      <w:pPr>
        <w:spacing w:after="120" w:line="240" w:lineRule="auto"/>
        <w:ind w:right="119"/>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F">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22</w:t>
      </w:r>
      <w:r w:rsidDel="00000000" w:rsidR="00000000" w:rsidRPr="00000000">
        <w:rPr>
          <w:rFonts w:ascii="Arial" w:cs="Arial" w:eastAsia="Arial" w:hAnsi="Arial"/>
          <w:b w:val="1"/>
          <w:sz w:val="20"/>
          <w:szCs w:val="20"/>
          <w:rtl w:val="0"/>
        </w:rPr>
        <w:t xml:space="preserve"> : Concernant le placenta (annales 2011) :</w:t>
      </w:r>
    </w:p>
    <w:p w:rsidR="00000000" w:rsidDel="00000000" w:rsidP="00000000" w:rsidRDefault="00000000" w:rsidRPr="00000000" w14:paraId="000000A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Le blastocyste s’accole à l’épithélium utérin par son pôle embryonnaire</w:t>
      </w:r>
    </w:p>
    <w:p w:rsidR="00000000" w:rsidDel="00000000" w:rsidP="00000000" w:rsidRDefault="00000000" w:rsidRPr="00000000" w14:paraId="000000A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Vers le 6ème jour post-conceptionnel, le cytotrophoblaste constitue la masse cellulaire directement au contact de l’endomètre</w:t>
      </w:r>
    </w:p>
    <w:p w:rsidR="00000000" w:rsidDel="00000000" w:rsidP="00000000" w:rsidRDefault="00000000" w:rsidRPr="00000000" w14:paraId="000000A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L’apparition de capillaires d’origine fœtale dans leur axe mésenchymateux caractérise, notamment, la formation des villosités secondaires</w:t>
      </w:r>
    </w:p>
    <w:p w:rsidR="00000000" w:rsidDel="00000000" w:rsidP="00000000" w:rsidRDefault="00000000" w:rsidRPr="00000000" w14:paraId="000000A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Dès deux semaines après la conception, la villosité́ choriale est dans sa structure définitive</w:t>
      </w:r>
    </w:p>
    <w:p w:rsidR="00000000" w:rsidDel="00000000" w:rsidP="00000000" w:rsidRDefault="00000000" w:rsidRPr="00000000" w14:paraId="000000A4">
      <w:pPr>
        <w:spacing w:after="120" w:line="240" w:lineRule="auto"/>
        <w:ind w:right="119"/>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0A5">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23</w:t>
      </w:r>
      <w:r w:rsidDel="00000000" w:rsidR="00000000" w:rsidRPr="00000000">
        <w:rPr>
          <w:rFonts w:ascii="Arial" w:cs="Arial" w:eastAsia="Arial" w:hAnsi="Arial"/>
          <w:b w:val="1"/>
          <w:sz w:val="20"/>
          <w:szCs w:val="20"/>
          <w:rtl w:val="0"/>
        </w:rPr>
        <w:t xml:space="preserve"> : À propos de l’hCG :</w:t>
      </w:r>
    </w:p>
    <w:p w:rsidR="00000000" w:rsidDel="00000000" w:rsidP="00000000" w:rsidRDefault="00000000" w:rsidRPr="00000000" w14:paraId="000000A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Il s’agit d’une hormone stéroïde</w:t>
      </w:r>
    </w:p>
    <w:p w:rsidR="00000000" w:rsidDel="00000000" w:rsidP="00000000" w:rsidRDefault="00000000" w:rsidRPr="00000000" w14:paraId="000000A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Elle est formée de 3 sous-unités</w:t>
      </w:r>
    </w:p>
    <w:p w:rsidR="00000000" w:rsidDel="00000000" w:rsidP="00000000" w:rsidRDefault="00000000" w:rsidRPr="00000000" w14:paraId="000000A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La sous-unité bêta est commune à la FSH, la LH et la TSH</w:t>
      </w:r>
    </w:p>
    <w:p w:rsidR="00000000" w:rsidDel="00000000" w:rsidP="00000000" w:rsidRDefault="00000000" w:rsidRPr="00000000" w14:paraId="000000A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La sous-unité alpha est située sur le chromosome 19</w:t>
      </w:r>
    </w:p>
    <w:p w:rsidR="00000000" w:rsidDel="00000000" w:rsidP="00000000" w:rsidRDefault="00000000" w:rsidRPr="00000000" w14:paraId="000000A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0AB">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C">
      <w:pPr>
        <w:spacing w:after="120" w:line="240" w:lineRule="auto"/>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24</w:t>
      </w:r>
      <w:r w:rsidDel="00000000" w:rsidR="00000000" w:rsidRPr="00000000">
        <w:rPr>
          <w:rFonts w:ascii="Arial" w:cs="Arial" w:eastAsia="Arial" w:hAnsi="Arial"/>
          <w:b w:val="1"/>
          <w:sz w:val="20"/>
          <w:szCs w:val="20"/>
          <w:rtl w:val="0"/>
        </w:rPr>
        <w:t xml:space="preserve"> : À propos des sécrétions hormonales : </w:t>
      </w:r>
    </w:p>
    <w:p w:rsidR="00000000" w:rsidDel="00000000" w:rsidP="00000000" w:rsidRDefault="00000000" w:rsidRPr="00000000" w14:paraId="000000A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On retrouve des hormones stéroïdes de type hypophysaire et hypothalamique</w:t>
      </w:r>
    </w:p>
    <w:p w:rsidR="00000000" w:rsidDel="00000000" w:rsidP="00000000" w:rsidRDefault="00000000" w:rsidRPr="00000000" w14:paraId="000000A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On retrouve des hormones polypeptidiques de type ovarien</w:t>
      </w:r>
    </w:p>
    <w:p w:rsidR="00000000" w:rsidDel="00000000" w:rsidP="00000000" w:rsidRDefault="00000000" w:rsidRPr="00000000" w14:paraId="000000A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Le placenta possède un rôle d’interface majeur entre la mère et le foetus</w:t>
      </w:r>
    </w:p>
    <w:p w:rsidR="00000000" w:rsidDel="00000000" w:rsidP="00000000" w:rsidRDefault="00000000" w:rsidRPr="00000000" w14:paraId="000000B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Le placenta est une glande endocrine complète</w:t>
      </w:r>
    </w:p>
    <w:p w:rsidR="00000000" w:rsidDel="00000000" w:rsidP="00000000" w:rsidRDefault="00000000" w:rsidRPr="00000000" w14:paraId="000000B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0B2">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3">
      <w:pPr>
        <w:spacing w:after="120" w:line="240" w:lineRule="auto"/>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25</w:t>
      </w:r>
      <w:r w:rsidDel="00000000" w:rsidR="00000000" w:rsidRPr="00000000">
        <w:rPr>
          <w:rFonts w:ascii="Arial" w:cs="Arial" w:eastAsia="Arial" w:hAnsi="Arial"/>
          <w:b w:val="1"/>
          <w:sz w:val="20"/>
          <w:szCs w:val="20"/>
          <w:rtl w:val="0"/>
        </w:rPr>
        <w:t xml:space="preserve"> : À propos des modifications des hormones hypophysaires :</w:t>
      </w:r>
    </w:p>
    <w:p w:rsidR="00000000" w:rsidDel="00000000" w:rsidP="00000000" w:rsidRDefault="00000000" w:rsidRPr="00000000" w14:paraId="000000B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Les bêta-hCG augmentent dès le début de la grossesse jusqu’au moment où il y a une baisse de la TSH, et vont diminuer après petit à petit pour rester à une dose faible</w:t>
      </w:r>
    </w:p>
    <w:p w:rsidR="00000000" w:rsidDel="00000000" w:rsidP="00000000" w:rsidRDefault="00000000" w:rsidRPr="00000000" w14:paraId="000000B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Plus le taux de prolactine augmente, plus la production de TSH et LH diminue</w:t>
      </w:r>
    </w:p>
    <w:p w:rsidR="00000000" w:rsidDel="00000000" w:rsidP="00000000" w:rsidRDefault="00000000" w:rsidRPr="00000000" w14:paraId="000000B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L'ocytocine augmente en cours de grossesse pour atteindre 185μg/ml</w:t>
      </w:r>
    </w:p>
    <w:p w:rsidR="00000000" w:rsidDel="00000000" w:rsidP="00000000" w:rsidRDefault="00000000" w:rsidRPr="00000000" w14:paraId="000000B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Si la patiente ne désire pas allaiter, le taux de l’ocytocine chute de façon très forte dans les jours qui suivent la naissance</w:t>
      </w:r>
    </w:p>
    <w:p w:rsidR="00000000" w:rsidDel="00000000" w:rsidP="00000000" w:rsidRDefault="00000000" w:rsidRPr="00000000" w14:paraId="000000B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0B9">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A">
      <w:pPr>
        <w:spacing w:after="120" w:line="240" w:lineRule="auto"/>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26</w:t>
      </w:r>
      <w:r w:rsidDel="00000000" w:rsidR="00000000" w:rsidRPr="00000000">
        <w:rPr>
          <w:rFonts w:ascii="Arial" w:cs="Arial" w:eastAsia="Arial" w:hAnsi="Arial"/>
          <w:b w:val="1"/>
          <w:sz w:val="20"/>
          <w:szCs w:val="20"/>
          <w:rtl w:val="0"/>
        </w:rPr>
        <w:t xml:space="preserve"> : À propos des modifications thyroïdiennes et parathyroïdiennes : </w:t>
      </w:r>
    </w:p>
    <w:p w:rsidR="00000000" w:rsidDel="00000000" w:rsidP="00000000" w:rsidRDefault="00000000" w:rsidRPr="00000000" w14:paraId="000000B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La calcitonine, sécrétée par les glandes parathyroïdiennes, est hypocalcémiante</w:t>
      </w:r>
    </w:p>
    <w:p w:rsidR="00000000" w:rsidDel="00000000" w:rsidP="00000000" w:rsidRDefault="00000000" w:rsidRPr="00000000" w14:paraId="000000B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La PTH, sécrétée par les glandes thyroïdiennes, est hypercalcémiante</w:t>
      </w:r>
    </w:p>
    <w:p w:rsidR="00000000" w:rsidDel="00000000" w:rsidP="00000000" w:rsidRDefault="00000000" w:rsidRPr="00000000" w14:paraId="000000B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L’augmentation de la PTH est surtout importante chez la mère</w:t>
      </w:r>
    </w:p>
    <w:p w:rsidR="00000000" w:rsidDel="00000000" w:rsidP="00000000" w:rsidRDefault="00000000" w:rsidRPr="00000000" w14:paraId="000000B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L’augmentation de la calcitonine est surtout importante chez le foetus</w:t>
      </w:r>
    </w:p>
    <w:p w:rsidR="00000000" w:rsidDel="00000000" w:rsidP="00000000" w:rsidRDefault="00000000" w:rsidRPr="00000000" w14:paraId="000000B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0C0">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1">
      <w:pPr>
        <w:spacing w:after="120" w:line="240" w:lineRule="auto"/>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27</w:t>
      </w:r>
      <w:r w:rsidDel="00000000" w:rsidR="00000000" w:rsidRPr="00000000">
        <w:rPr>
          <w:rFonts w:ascii="Arial" w:cs="Arial" w:eastAsia="Arial" w:hAnsi="Arial"/>
          <w:b w:val="1"/>
          <w:sz w:val="20"/>
          <w:szCs w:val="20"/>
          <w:rtl w:val="0"/>
        </w:rPr>
        <w:t xml:space="preserve"> : À propos des composants :</w:t>
      </w:r>
    </w:p>
    <w:p w:rsidR="00000000" w:rsidDel="00000000" w:rsidP="00000000" w:rsidRDefault="00000000" w:rsidRPr="00000000" w14:paraId="000000C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Les besoins quotidiens en fer sont de 1mg/j en début de grossesse et de 6mg/j à terme</w:t>
      </w:r>
    </w:p>
    <w:p w:rsidR="00000000" w:rsidDel="00000000" w:rsidP="00000000" w:rsidRDefault="00000000" w:rsidRPr="00000000" w14:paraId="000000C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La supplémentation en fer est toujours efficace</w:t>
      </w:r>
    </w:p>
    <w:p w:rsidR="00000000" w:rsidDel="00000000" w:rsidP="00000000" w:rsidRDefault="00000000" w:rsidRPr="00000000" w14:paraId="000000C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Victoria souhaite avoir un enfant, elle devra commencer alors sa supplémentation en vitamine B9 </w:t>
      </w:r>
    </w:p>
    <w:p w:rsidR="00000000" w:rsidDel="00000000" w:rsidP="00000000" w:rsidRDefault="00000000" w:rsidRPr="00000000" w14:paraId="000000C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Une alimentation équilibrée couvre les besoins en vitamine B12</w:t>
      </w:r>
    </w:p>
    <w:p w:rsidR="00000000" w:rsidDel="00000000" w:rsidP="00000000" w:rsidRDefault="00000000" w:rsidRPr="00000000" w14:paraId="000000C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0C7">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8">
      <w:pPr>
        <w:spacing w:after="120" w:line="240" w:lineRule="auto"/>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28</w:t>
      </w:r>
      <w:r w:rsidDel="00000000" w:rsidR="00000000" w:rsidRPr="00000000">
        <w:rPr>
          <w:rFonts w:ascii="Arial" w:cs="Arial" w:eastAsia="Arial" w:hAnsi="Arial"/>
          <w:b w:val="1"/>
          <w:sz w:val="20"/>
          <w:szCs w:val="20"/>
          <w:rtl w:val="0"/>
        </w:rPr>
        <w:t xml:space="preserve"> : À propos des globules blancs : </w:t>
      </w:r>
    </w:p>
    <w:p w:rsidR="00000000" w:rsidDel="00000000" w:rsidP="00000000" w:rsidRDefault="00000000" w:rsidRPr="00000000" w14:paraId="000000C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Les PN neutrophiles restent stables</w:t>
      </w:r>
    </w:p>
    <w:p w:rsidR="00000000" w:rsidDel="00000000" w:rsidP="00000000" w:rsidRDefault="00000000" w:rsidRPr="00000000" w14:paraId="000000C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Les PN basophiles diminuent</w:t>
      </w:r>
    </w:p>
    <w:p w:rsidR="00000000" w:rsidDel="00000000" w:rsidP="00000000" w:rsidRDefault="00000000" w:rsidRPr="00000000" w14:paraId="000000C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Les monocytes restent augmentent</w:t>
      </w:r>
    </w:p>
    <w:p w:rsidR="00000000" w:rsidDel="00000000" w:rsidP="00000000" w:rsidRDefault="00000000" w:rsidRPr="00000000" w14:paraId="000000C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Les plaquettes diminuer légèrement en fin de grossesse</w:t>
      </w:r>
    </w:p>
    <w:p w:rsidR="00000000" w:rsidDel="00000000" w:rsidP="00000000" w:rsidRDefault="00000000" w:rsidRPr="00000000" w14:paraId="000000C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0CE">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F">
      <w:pPr>
        <w:spacing w:after="120" w:line="240" w:lineRule="auto"/>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29</w:t>
      </w:r>
      <w:r w:rsidDel="00000000" w:rsidR="00000000" w:rsidRPr="00000000">
        <w:rPr>
          <w:rFonts w:ascii="Arial" w:cs="Arial" w:eastAsia="Arial" w:hAnsi="Arial"/>
          <w:b w:val="1"/>
          <w:sz w:val="20"/>
          <w:szCs w:val="20"/>
          <w:rtl w:val="0"/>
        </w:rPr>
        <w:t xml:space="preserve"> : À propos des modifications fonctionnelles rénales et urinaires :</w:t>
      </w:r>
    </w:p>
    <w:p w:rsidR="00000000" w:rsidDel="00000000" w:rsidP="00000000" w:rsidRDefault="00000000" w:rsidRPr="00000000" w14:paraId="000000D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Le débit plasmatique rénal diminue, mais reste supérieur à la normale, vers la fin de la grossesse</w:t>
      </w:r>
    </w:p>
    <w:p w:rsidR="00000000" w:rsidDel="00000000" w:rsidP="00000000" w:rsidRDefault="00000000" w:rsidRPr="00000000" w14:paraId="000000D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La filtration glomérulaire augmente de +15% en début de grossesse et de +50- 70% en fin de grossesse</w:t>
      </w:r>
    </w:p>
    <w:p w:rsidR="00000000" w:rsidDel="00000000" w:rsidP="00000000" w:rsidRDefault="00000000" w:rsidRPr="00000000" w14:paraId="000000D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On retrouve une augmentation de l’excrétion de : AA, protéines, glucose, vitamine B12, acide folique, acide ascorbique, sodium, eau…</w:t>
      </w:r>
    </w:p>
    <w:p w:rsidR="00000000" w:rsidDel="00000000" w:rsidP="00000000" w:rsidRDefault="00000000" w:rsidRPr="00000000" w14:paraId="000000D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On retrouve une baisse du seuil de réabsorption du glucose et des bicarbonates</w:t>
      </w:r>
    </w:p>
    <w:p w:rsidR="00000000" w:rsidDel="00000000" w:rsidP="00000000" w:rsidRDefault="00000000" w:rsidRPr="00000000" w14:paraId="000000D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0D5">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6">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7">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8">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9">
      <w:pPr>
        <w:spacing w:after="120" w:line="240" w:lineRule="auto"/>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30</w:t>
      </w:r>
      <w:r w:rsidDel="00000000" w:rsidR="00000000" w:rsidRPr="00000000">
        <w:rPr>
          <w:rFonts w:ascii="Arial" w:cs="Arial" w:eastAsia="Arial" w:hAnsi="Arial"/>
          <w:b w:val="1"/>
          <w:sz w:val="20"/>
          <w:szCs w:val="20"/>
          <w:rtl w:val="0"/>
        </w:rPr>
        <w:t xml:space="preserve"> : À propos des modifications des glandes sudorales et sébacées : </w:t>
      </w:r>
    </w:p>
    <w:p w:rsidR="00000000" w:rsidDel="00000000" w:rsidP="00000000" w:rsidRDefault="00000000" w:rsidRPr="00000000" w14:paraId="000000D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L’activité des glandes sudorales eccrines est diminuée</w:t>
      </w:r>
    </w:p>
    <w:p w:rsidR="00000000" w:rsidDel="00000000" w:rsidP="00000000" w:rsidRDefault="00000000" w:rsidRPr="00000000" w14:paraId="000000D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L’activité des glandes sudorales apocrines est augmentée</w:t>
      </w:r>
    </w:p>
    <w:p w:rsidR="00000000" w:rsidDel="00000000" w:rsidP="00000000" w:rsidRDefault="00000000" w:rsidRPr="00000000" w14:paraId="000000D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La transpiration est plus intense</w:t>
      </w:r>
    </w:p>
    <w:p w:rsidR="00000000" w:rsidDel="00000000" w:rsidP="00000000" w:rsidRDefault="00000000" w:rsidRPr="00000000" w14:paraId="000000D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On peut retrouver des poussées d’acné</w:t>
      </w:r>
    </w:p>
    <w:p w:rsidR="00000000" w:rsidDel="00000000" w:rsidP="00000000" w:rsidRDefault="00000000" w:rsidRPr="00000000" w14:paraId="000000D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0DF">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0">
      <w:pPr>
        <w:widowControl w:val="0"/>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31</w:t>
      </w:r>
      <w:r w:rsidDel="00000000" w:rsidR="00000000" w:rsidRPr="00000000">
        <w:rPr>
          <w:rFonts w:ascii="Arial" w:cs="Arial" w:eastAsia="Arial" w:hAnsi="Arial"/>
          <w:b w:val="1"/>
          <w:sz w:val="20"/>
          <w:szCs w:val="20"/>
          <w:rtl w:val="0"/>
        </w:rPr>
        <w:t xml:space="preserve"> : A propos de ce que devrait savoir les professionnels</w:t>
      </w:r>
    </w:p>
    <w:p w:rsidR="00000000" w:rsidDel="00000000" w:rsidP="00000000" w:rsidRDefault="00000000" w:rsidRPr="00000000" w14:paraId="000000E1">
      <w:pPr>
        <w:keepLines w:val="1"/>
        <w:widowControl w:val="0"/>
        <w:spacing w:after="120" w:line="240" w:lineRule="auto"/>
        <w:ind w:right="119"/>
        <w:rPr>
          <w:rFonts w:ascii="Arial" w:cs="Arial" w:eastAsia="Arial" w:hAnsi="Arial"/>
          <w:sz w:val="20"/>
          <w:szCs w:val="20"/>
        </w:rPr>
      </w:pPr>
      <w:r w:rsidDel="00000000" w:rsidR="00000000" w:rsidRPr="00000000">
        <w:rPr>
          <w:rFonts w:ascii="Arial" w:cs="Arial" w:eastAsia="Arial" w:hAnsi="Arial"/>
          <w:sz w:val="20"/>
          <w:szCs w:val="20"/>
          <w:rtl w:val="0"/>
        </w:rPr>
        <w:t xml:space="preserve">A) Les professionnels de santé parlent en semaines de grossesses</w:t>
      </w:r>
    </w:p>
    <w:p w:rsidR="00000000" w:rsidDel="00000000" w:rsidP="00000000" w:rsidRDefault="00000000" w:rsidRPr="00000000" w14:paraId="000000E2">
      <w:pPr>
        <w:keepLines w:val="1"/>
        <w:widowControl w:val="0"/>
        <w:spacing w:after="120" w:line="240" w:lineRule="auto"/>
        <w:ind w:right="119"/>
        <w:rPr>
          <w:rFonts w:ascii="Arial" w:cs="Arial" w:eastAsia="Arial" w:hAnsi="Arial"/>
          <w:sz w:val="20"/>
          <w:szCs w:val="20"/>
        </w:rPr>
      </w:pPr>
      <w:r w:rsidDel="00000000" w:rsidR="00000000" w:rsidRPr="00000000">
        <w:rPr>
          <w:rFonts w:ascii="Arial" w:cs="Arial" w:eastAsia="Arial" w:hAnsi="Arial"/>
          <w:sz w:val="20"/>
          <w:szCs w:val="20"/>
          <w:rtl w:val="0"/>
        </w:rPr>
        <w:t xml:space="preserve">B) A 6 mois fini on est à 26 SA</w:t>
      </w:r>
    </w:p>
    <w:p w:rsidR="00000000" w:rsidDel="00000000" w:rsidP="00000000" w:rsidRDefault="00000000" w:rsidRPr="00000000" w14:paraId="000000E3">
      <w:pPr>
        <w:keepLines w:val="1"/>
        <w:widowControl w:val="0"/>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Une grossesse dure environ 280 jours à partir du premier jour des règles pour un cycle irrégulier</w:t>
      </w:r>
    </w:p>
    <w:p w:rsidR="00000000" w:rsidDel="00000000" w:rsidP="00000000" w:rsidRDefault="00000000" w:rsidRPr="00000000" w14:paraId="000000E4">
      <w:pPr>
        <w:keepLines w:val="1"/>
        <w:widowControl w:val="0"/>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A partir de 39 SG on surveille toutes les 48 h les patientes</w:t>
      </w:r>
    </w:p>
    <w:p w:rsidR="00000000" w:rsidDel="00000000" w:rsidP="00000000" w:rsidRDefault="00000000" w:rsidRPr="00000000" w14:paraId="000000E5">
      <w:pPr>
        <w:keepLines w:val="1"/>
        <w:widowControl w:val="0"/>
        <w:spacing w:after="0" w:line="240" w:lineRule="auto"/>
        <w:rPr>
          <w:rFonts w:ascii="Arial" w:cs="Arial" w:eastAsia="Arial" w:hAnsi="Arial"/>
          <w:b w:val="1"/>
          <w:sz w:val="20"/>
          <w:szCs w:val="20"/>
        </w:rPr>
      </w:pPr>
      <w:r w:rsidDel="00000000" w:rsidR="00000000" w:rsidRPr="00000000">
        <w:rPr>
          <w:rFonts w:ascii="Arial" w:cs="Arial" w:eastAsia="Arial" w:hAnsi="Arial"/>
          <w:sz w:val="20"/>
          <w:szCs w:val="20"/>
          <w:rtl w:val="0"/>
        </w:rPr>
        <w:t xml:space="preserve">E) Les propositions A, B, C et D sont fausses</w:t>
      </w:r>
      <w:r w:rsidDel="00000000" w:rsidR="00000000" w:rsidRPr="00000000">
        <w:rPr>
          <w:rtl w:val="0"/>
        </w:rPr>
      </w:r>
    </w:p>
    <w:p w:rsidR="00000000" w:rsidDel="00000000" w:rsidP="00000000" w:rsidRDefault="00000000" w:rsidRPr="00000000" w14:paraId="000000E6">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7">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32</w:t>
      </w:r>
      <w:r w:rsidDel="00000000" w:rsidR="00000000" w:rsidRPr="00000000">
        <w:rPr>
          <w:rFonts w:ascii="Arial" w:cs="Arial" w:eastAsia="Arial" w:hAnsi="Arial"/>
          <w:b w:val="1"/>
          <w:sz w:val="20"/>
          <w:szCs w:val="20"/>
          <w:rtl w:val="0"/>
        </w:rPr>
        <w:t xml:space="preserve"> : A propos de ce que devrait savoir les professionnels</w:t>
      </w:r>
    </w:p>
    <w:p w:rsidR="00000000" w:rsidDel="00000000" w:rsidP="00000000" w:rsidRDefault="00000000" w:rsidRPr="00000000" w14:paraId="000000E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28 SA= 5 mois fini</w:t>
      </w:r>
    </w:p>
    <w:p w:rsidR="00000000" w:rsidDel="00000000" w:rsidP="00000000" w:rsidRDefault="00000000" w:rsidRPr="00000000" w14:paraId="000000E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la date de grossesse prévu est de 41 SA et de 39 SG</w:t>
      </w:r>
    </w:p>
    <w:p w:rsidR="00000000" w:rsidDel="00000000" w:rsidP="00000000" w:rsidRDefault="00000000" w:rsidRPr="00000000" w14:paraId="000000E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Dans tous les cas on ne sait pas quand commence la grossesse à 5 jours près</w:t>
      </w:r>
    </w:p>
    <w:p w:rsidR="00000000" w:rsidDel="00000000" w:rsidP="00000000" w:rsidRDefault="00000000" w:rsidRPr="00000000" w14:paraId="000000E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De 32 à 37 SA on parle de grande prématurité</w:t>
      </w:r>
    </w:p>
    <w:p w:rsidR="00000000" w:rsidDel="00000000" w:rsidP="00000000" w:rsidRDefault="00000000" w:rsidRPr="00000000" w14:paraId="000000E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0ED">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E">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33</w:t>
      </w:r>
      <w:r w:rsidDel="00000000" w:rsidR="00000000" w:rsidRPr="00000000">
        <w:rPr>
          <w:rFonts w:ascii="Arial" w:cs="Arial" w:eastAsia="Arial" w:hAnsi="Arial"/>
          <w:b w:val="1"/>
          <w:sz w:val="20"/>
          <w:szCs w:val="20"/>
          <w:rtl w:val="0"/>
        </w:rPr>
        <w:t xml:space="preserve"> : A propos de ce que devrait savoir les professionnels</w:t>
      </w:r>
    </w:p>
    <w:p w:rsidR="00000000" w:rsidDel="00000000" w:rsidP="00000000" w:rsidRDefault="00000000" w:rsidRPr="00000000" w14:paraId="000000E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En dessous de 28 SA on parle de très grande prématurité et au-dessus de 37 SG on est plus prématuré</w:t>
      </w:r>
    </w:p>
    <w:p w:rsidR="00000000" w:rsidDel="00000000" w:rsidP="00000000" w:rsidRDefault="00000000" w:rsidRPr="00000000" w14:paraId="000000F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Il y a une zone grise de réanimation entre 24 et 25 SA</w:t>
      </w:r>
    </w:p>
    <w:p w:rsidR="00000000" w:rsidDel="00000000" w:rsidP="00000000" w:rsidRDefault="00000000" w:rsidRPr="00000000" w14:paraId="000000F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Plus on est dans une grande/très grande/extrême prématurité moins il y a d’échec de réanimation</w:t>
      </w:r>
    </w:p>
    <w:p w:rsidR="00000000" w:rsidDel="00000000" w:rsidP="00000000" w:rsidRDefault="00000000" w:rsidRPr="00000000" w14:paraId="000000F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En 2023, il y a eu 678 000 naissances soit 100 000 de plus qu’en 2005</w:t>
      </w:r>
    </w:p>
    <w:p w:rsidR="00000000" w:rsidDel="00000000" w:rsidP="00000000" w:rsidRDefault="00000000" w:rsidRPr="00000000" w14:paraId="000000F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0F4">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5">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34</w:t>
      </w:r>
      <w:r w:rsidDel="00000000" w:rsidR="00000000" w:rsidRPr="00000000">
        <w:rPr>
          <w:rFonts w:ascii="Arial" w:cs="Arial" w:eastAsia="Arial" w:hAnsi="Arial"/>
          <w:b w:val="1"/>
          <w:sz w:val="20"/>
          <w:szCs w:val="20"/>
          <w:rtl w:val="0"/>
        </w:rPr>
        <w:t xml:space="preserve"> : A propos de ce que devrait savoir les professionnels</w:t>
      </w:r>
    </w:p>
    <w:p w:rsidR="00000000" w:rsidDel="00000000" w:rsidP="00000000" w:rsidRDefault="00000000" w:rsidRPr="00000000" w14:paraId="000000F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22 SA</w:t>
      </w:r>
    </w:p>
    <w:p w:rsidR="00000000" w:rsidDel="00000000" w:rsidP="00000000" w:rsidRDefault="00000000" w:rsidRPr="00000000" w14:paraId="000000F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24 SA</w:t>
      </w:r>
    </w:p>
    <w:p w:rsidR="00000000" w:rsidDel="00000000" w:rsidP="00000000" w:rsidRDefault="00000000" w:rsidRPr="00000000" w14:paraId="000000F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22 SG</w:t>
      </w:r>
    </w:p>
    <w:p w:rsidR="00000000" w:rsidDel="00000000" w:rsidP="00000000" w:rsidRDefault="00000000" w:rsidRPr="00000000" w14:paraId="000000F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20 SG</w:t>
      </w:r>
    </w:p>
    <w:p w:rsidR="00000000" w:rsidDel="00000000" w:rsidP="00000000" w:rsidRDefault="00000000" w:rsidRPr="00000000" w14:paraId="000000F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0FB">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C">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35</w:t>
      </w:r>
      <w:r w:rsidDel="00000000" w:rsidR="00000000" w:rsidRPr="00000000">
        <w:rPr>
          <w:rFonts w:ascii="Arial" w:cs="Arial" w:eastAsia="Arial" w:hAnsi="Arial"/>
          <w:b w:val="1"/>
          <w:sz w:val="20"/>
          <w:szCs w:val="20"/>
          <w:rtl w:val="0"/>
        </w:rPr>
        <w:t xml:space="preserve"> : A propos de ce que devrait savoir les professionnels</w:t>
      </w:r>
    </w:p>
    <w:p w:rsidR="00000000" w:rsidDel="00000000" w:rsidP="00000000" w:rsidRDefault="00000000" w:rsidRPr="00000000" w14:paraId="000000F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On a un décès maternel tous les 4 jours</w:t>
      </w:r>
    </w:p>
    <w:p w:rsidR="00000000" w:rsidDel="00000000" w:rsidP="00000000" w:rsidRDefault="00000000" w:rsidRPr="00000000" w14:paraId="000000F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Ils ne se produisent que pendant l’accouchement et après celui ci</w:t>
      </w:r>
    </w:p>
    <w:p w:rsidR="00000000" w:rsidDel="00000000" w:rsidP="00000000" w:rsidRDefault="00000000" w:rsidRPr="00000000" w14:paraId="000000F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La première cause de mortalité maternelle sont les embolies amniotiques</w:t>
      </w:r>
    </w:p>
    <w:p w:rsidR="00000000" w:rsidDel="00000000" w:rsidP="00000000" w:rsidRDefault="00000000" w:rsidRPr="00000000" w14:paraId="0000010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Entre 35 et 39 ans le risque de mortalité est multiplié par 3</w:t>
      </w:r>
    </w:p>
    <w:p w:rsidR="00000000" w:rsidDel="00000000" w:rsidP="00000000" w:rsidRDefault="00000000" w:rsidRPr="00000000" w14:paraId="0000010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102">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3">
      <w:pPr>
        <w:spacing w:after="120" w:line="240" w:lineRule="auto"/>
        <w:ind w:right="119"/>
        <w:rPr>
          <w:rFonts w:ascii="Arial" w:cs="Arial" w:eastAsia="Arial" w:hAnsi="Arial"/>
          <w:b w:val="1"/>
          <w:i w:val="1"/>
          <w:sz w:val="20"/>
          <w:szCs w:val="20"/>
        </w:rPr>
      </w:pPr>
      <w:r w:rsidDel="00000000" w:rsidR="00000000" w:rsidRPr="00000000">
        <w:rPr>
          <w:rFonts w:ascii="Arial" w:cs="Arial" w:eastAsia="Arial" w:hAnsi="Arial"/>
          <w:b w:val="1"/>
          <w:sz w:val="20"/>
          <w:szCs w:val="20"/>
          <w:u w:val="single"/>
          <w:rtl w:val="0"/>
        </w:rPr>
        <w:t xml:space="preserve">QCM 36</w:t>
      </w:r>
      <w:r w:rsidDel="00000000" w:rsidR="00000000" w:rsidRPr="00000000">
        <w:rPr>
          <w:rFonts w:ascii="Arial" w:cs="Arial" w:eastAsia="Arial" w:hAnsi="Arial"/>
          <w:b w:val="1"/>
          <w:sz w:val="20"/>
          <w:szCs w:val="20"/>
          <w:rtl w:val="0"/>
        </w:rPr>
        <w:t xml:space="preserve"> : Quelles sont les caractéristiques de l'acide glutamique dans les interactions ligand-cible ?</w:t>
      </w:r>
      <w:r w:rsidDel="00000000" w:rsidR="00000000" w:rsidRPr="00000000">
        <w:rPr>
          <w:rFonts w:ascii="Arial" w:cs="Arial" w:eastAsia="Arial" w:hAnsi="Arial"/>
          <w:b w:val="1"/>
          <w:i w:val="1"/>
          <w:sz w:val="20"/>
          <w:szCs w:val="20"/>
          <w:rtl w:val="0"/>
        </w:rPr>
        <w:t xml:space="preserve"> (mix inspi annales et ma créativité)</w:t>
      </w:r>
    </w:p>
    <w:p w:rsidR="00000000" w:rsidDel="00000000" w:rsidP="00000000" w:rsidRDefault="00000000" w:rsidRPr="00000000" w14:paraId="00000104">
      <w:pPr>
        <w:spacing w:after="0" w:line="240" w:lineRule="auto"/>
        <w:ind w:right="119"/>
        <w:rPr>
          <w:rFonts w:ascii="Arial" w:cs="Arial" w:eastAsia="Arial" w:hAnsi="Arial"/>
          <w:sz w:val="20"/>
          <w:szCs w:val="20"/>
        </w:rPr>
      </w:pPr>
      <w:r w:rsidDel="00000000" w:rsidR="00000000" w:rsidRPr="00000000">
        <w:rPr>
          <w:rFonts w:ascii="Arial" w:cs="Arial" w:eastAsia="Arial" w:hAnsi="Arial"/>
          <w:sz w:val="20"/>
          <w:szCs w:val="20"/>
          <w:rtl w:val="0"/>
        </w:rPr>
        <w:t xml:space="preserve">A) Il engage des liaisons consommant une énergie de 100 à 250 kcal/mol</w:t>
      </w:r>
    </w:p>
    <w:p w:rsidR="00000000" w:rsidDel="00000000" w:rsidP="00000000" w:rsidRDefault="00000000" w:rsidRPr="00000000" w14:paraId="00000105">
      <w:pPr>
        <w:spacing w:after="0" w:line="240" w:lineRule="auto"/>
        <w:ind w:right="119"/>
        <w:rPr>
          <w:rFonts w:ascii="Arial" w:cs="Arial" w:eastAsia="Arial" w:hAnsi="Arial"/>
          <w:sz w:val="20"/>
          <w:szCs w:val="20"/>
        </w:rPr>
      </w:pPr>
      <w:r w:rsidDel="00000000" w:rsidR="00000000" w:rsidRPr="00000000">
        <w:rPr>
          <w:rFonts w:ascii="Arial" w:cs="Arial" w:eastAsia="Arial" w:hAnsi="Arial"/>
          <w:sz w:val="20"/>
          <w:szCs w:val="20"/>
          <w:rtl w:val="0"/>
        </w:rPr>
        <w:t xml:space="preserve">B) Il engage des liaisons hydrophobes</w:t>
      </w:r>
    </w:p>
    <w:p w:rsidR="00000000" w:rsidDel="00000000" w:rsidP="00000000" w:rsidRDefault="00000000" w:rsidRPr="00000000" w14:paraId="00000106">
      <w:pPr>
        <w:spacing w:after="0" w:line="240" w:lineRule="auto"/>
        <w:ind w:right="119"/>
        <w:rPr>
          <w:rFonts w:ascii="Arial" w:cs="Arial" w:eastAsia="Arial" w:hAnsi="Arial"/>
          <w:sz w:val="20"/>
          <w:szCs w:val="20"/>
        </w:rPr>
      </w:pPr>
      <w:r w:rsidDel="00000000" w:rsidR="00000000" w:rsidRPr="00000000">
        <w:rPr>
          <w:rFonts w:ascii="Arial" w:cs="Arial" w:eastAsia="Arial" w:hAnsi="Arial"/>
          <w:sz w:val="20"/>
          <w:szCs w:val="20"/>
          <w:rtl w:val="0"/>
        </w:rPr>
        <w:t xml:space="preserve">C) La stéréochimie de l'interaction est préférentiellement anti 2 </w:t>
      </w:r>
    </w:p>
    <w:p w:rsidR="00000000" w:rsidDel="00000000" w:rsidP="00000000" w:rsidRDefault="00000000" w:rsidRPr="00000000" w14:paraId="00000107">
      <w:pPr>
        <w:spacing w:after="0" w:line="240" w:lineRule="auto"/>
        <w:ind w:right="119"/>
        <w:rPr>
          <w:rFonts w:ascii="Arial" w:cs="Arial" w:eastAsia="Arial" w:hAnsi="Arial"/>
          <w:sz w:val="20"/>
          <w:szCs w:val="20"/>
        </w:rPr>
      </w:pPr>
      <w:r w:rsidDel="00000000" w:rsidR="00000000" w:rsidRPr="00000000">
        <w:rPr>
          <w:rFonts w:ascii="Arial" w:cs="Arial" w:eastAsia="Arial" w:hAnsi="Arial"/>
          <w:sz w:val="20"/>
          <w:szCs w:val="20"/>
          <w:rtl w:val="0"/>
        </w:rPr>
        <w:t xml:space="preserve">D) Il a un pKa de 4,3</w:t>
      </w:r>
    </w:p>
    <w:p w:rsidR="00000000" w:rsidDel="00000000" w:rsidP="00000000" w:rsidRDefault="00000000" w:rsidRPr="00000000" w14:paraId="00000108">
      <w:pPr>
        <w:spacing w:after="0" w:line="240" w:lineRule="auto"/>
        <w:ind w:right="119"/>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109">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A">
      <w:pPr>
        <w:spacing w:after="120" w:line="240" w:lineRule="auto"/>
        <w:ind w:right="119"/>
        <w:rPr>
          <w:rFonts w:ascii="Arial" w:cs="Arial" w:eastAsia="Arial" w:hAnsi="Arial"/>
          <w:b w:val="1"/>
          <w:i w:val="1"/>
          <w:sz w:val="20"/>
          <w:szCs w:val="20"/>
        </w:rPr>
      </w:pPr>
      <w:r w:rsidDel="00000000" w:rsidR="00000000" w:rsidRPr="00000000">
        <w:rPr>
          <w:rFonts w:ascii="Arial" w:cs="Arial" w:eastAsia="Arial" w:hAnsi="Arial"/>
          <w:b w:val="1"/>
          <w:sz w:val="20"/>
          <w:szCs w:val="20"/>
          <w:u w:val="single"/>
          <w:rtl w:val="0"/>
        </w:rPr>
        <w:t xml:space="preserve">QCM 37</w:t>
      </w:r>
      <w:r w:rsidDel="00000000" w:rsidR="00000000" w:rsidRPr="00000000">
        <w:rPr>
          <w:rFonts w:ascii="Arial" w:cs="Arial" w:eastAsia="Arial" w:hAnsi="Arial"/>
          <w:b w:val="1"/>
          <w:sz w:val="20"/>
          <w:szCs w:val="20"/>
          <w:rtl w:val="0"/>
        </w:rPr>
        <w:t xml:space="preserve"> : Quelles sont les propriétés définies pour l'affinité d'une molécule pour sa cible ? (</w:t>
      </w:r>
      <w:r w:rsidDel="00000000" w:rsidR="00000000" w:rsidRPr="00000000">
        <w:rPr>
          <w:rFonts w:ascii="Arial" w:cs="Arial" w:eastAsia="Arial" w:hAnsi="Arial"/>
          <w:b w:val="1"/>
          <w:i w:val="1"/>
          <w:sz w:val="20"/>
          <w:szCs w:val="20"/>
          <w:rtl w:val="0"/>
        </w:rPr>
        <w:t xml:space="preserve">inspirés annales)</w:t>
      </w:r>
    </w:p>
    <w:p w:rsidR="00000000" w:rsidDel="00000000" w:rsidP="00000000" w:rsidRDefault="00000000" w:rsidRPr="00000000" w14:paraId="0000010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Les propriétés hydrophiles/hydrophobes</w:t>
      </w:r>
    </w:p>
    <w:p w:rsidR="00000000" w:rsidDel="00000000" w:rsidP="00000000" w:rsidRDefault="00000000" w:rsidRPr="00000000" w14:paraId="0000010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Les propriétés électroniques</w:t>
      </w:r>
    </w:p>
    <w:p w:rsidR="00000000" w:rsidDel="00000000" w:rsidP="00000000" w:rsidRDefault="00000000" w:rsidRPr="00000000" w14:paraId="0000010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Les propriétés chimiques</w:t>
      </w:r>
    </w:p>
    <w:p w:rsidR="00000000" w:rsidDel="00000000" w:rsidP="00000000" w:rsidRDefault="00000000" w:rsidRPr="00000000" w14:paraId="0000010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Les propriétés géométriques</w:t>
      </w:r>
    </w:p>
    <w:p w:rsidR="00000000" w:rsidDel="00000000" w:rsidP="00000000" w:rsidRDefault="00000000" w:rsidRPr="00000000" w14:paraId="0000010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110">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1">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2">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3">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4">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5">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6">
      <w:pPr>
        <w:spacing w:after="120" w:line="240" w:lineRule="auto"/>
        <w:ind w:right="119"/>
        <w:rPr>
          <w:rFonts w:ascii="Arial" w:cs="Arial" w:eastAsia="Arial" w:hAnsi="Arial"/>
          <w:b w:val="1"/>
          <w:i w:val="1"/>
          <w:sz w:val="20"/>
          <w:szCs w:val="20"/>
        </w:rPr>
      </w:pPr>
      <w:r w:rsidDel="00000000" w:rsidR="00000000" w:rsidRPr="00000000">
        <w:rPr>
          <w:rFonts w:ascii="Arial" w:cs="Arial" w:eastAsia="Arial" w:hAnsi="Arial"/>
          <w:b w:val="1"/>
          <w:sz w:val="20"/>
          <w:szCs w:val="20"/>
          <w:u w:val="single"/>
          <w:rtl w:val="0"/>
        </w:rPr>
        <w:t xml:space="preserve">QCM 38</w:t>
      </w:r>
      <w:r w:rsidDel="00000000" w:rsidR="00000000" w:rsidRPr="00000000">
        <w:rPr>
          <w:rFonts w:ascii="Arial" w:cs="Arial" w:eastAsia="Arial" w:hAnsi="Arial"/>
          <w:b w:val="1"/>
          <w:sz w:val="20"/>
          <w:szCs w:val="20"/>
          <w:rtl w:val="0"/>
        </w:rPr>
        <w:t xml:space="preserve"> : Quelles sont les caractéristiques d'une liaison hydrophobe qui se forme entre un ligand et sa cible ? </w:t>
      </w:r>
      <w:r w:rsidDel="00000000" w:rsidR="00000000" w:rsidRPr="00000000">
        <w:rPr>
          <w:rFonts w:ascii="Arial" w:cs="Arial" w:eastAsia="Arial" w:hAnsi="Arial"/>
          <w:b w:val="1"/>
          <w:i w:val="1"/>
          <w:sz w:val="20"/>
          <w:szCs w:val="20"/>
          <w:rtl w:val="0"/>
        </w:rPr>
        <w:t xml:space="preserve">(inspirés annales)</w:t>
      </w:r>
    </w:p>
    <w:p w:rsidR="00000000" w:rsidDel="00000000" w:rsidP="00000000" w:rsidRDefault="00000000" w:rsidRPr="00000000" w14:paraId="0000011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Elle se forme entre deux chaînes aliphatiques alkyles</w:t>
      </w:r>
    </w:p>
    <w:p w:rsidR="00000000" w:rsidDel="00000000" w:rsidP="00000000" w:rsidRDefault="00000000" w:rsidRPr="00000000" w14:paraId="0000011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Elle se forme entre deux ions</w:t>
      </w:r>
    </w:p>
    <w:p w:rsidR="00000000" w:rsidDel="00000000" w:rsidP="00000000" w:rsidRDefault="00000000" w:rsidRPr="00000000" w14:paraId="0000011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Elle met en jeu des liaisons non-polarisées</w:t>
      </w:r>
    </w:p>
    <w:p w:rsidR="00000000" w:rsidDel="00000000" w:rsidP="00000000" w:rsidRDefault="00000000" w:rsidRPr="00000000" w14:paraId="0000011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Elle implique les chaînes latérales électrodonneuses des acides aminés</w:t>
      </w:r>
    </w:p>
    <w:p w:rsidR="00000000" w:rsidDel="00000000" w:rsidP="00000000" w:rsidRDefault="00000000" w:rsidRPr="00000000" w14:paraId="0000011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11C">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D">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39</w:t>
      </w:r>
      <w:r w:rsidDel="00000000" w:rsidR="00000000" w:rsidRPr="00000000">
        <w:rPr>
          <w:rFonts w:ascii="Arial" w:cs="Arial" w:eastAsia="Arial" w:hAnsi="Arial"/>
          <w:b w:val="1"/>
          <w:sz w:val="20"/>
          <w:szCs w:val="20"/>
          <w:rtl w:val="0"/>
        </w:rPr>
        <w:t xml:space="preserve"> : Quelles sont les caractéristiques d'un pharmacophore défini pour les propriétés pharmacocinétiques d'une molécule ? (</w:t>
      </w:r>
      <w:r w:rsidDel="00000000" w:rsidR="00000000" w:rsidRPr="00000000">
        <w:rPr>
          <w:rFonts w:ascii="Arial" w:cs="Arial" w:eastAsia="Arial" w:hAnsi="Arial"/>
          <w:b w:val="1"/>
          <w:i w:val="1"/>
          <w:sz w:val="20"/>
          <w:szCs w:val="20"/>
          <w:rtl w:val="0"/>
        </w:rPr>
        <w:t xml:space="preserve">inspirés annales)</w:t>
      </w:r>
      <w:r w:rsidDel="00000000" w:rsidR="00000000" w:rsidRPr="00000000">
        <w:rPr>
          <w:rtl w:val="0"/>
        </w:rPr>
      </w:r>
    </w:p>
    <w:p w:rsidR="00000000" w:rsidDel="00000000" w:rsidP="00000000" w:rsidRDefault="00000000" w:rsidRPr="00000000" w14:paraId="0000011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L’activité intrinsèque</w:t>
      </w:r>
    </w:p>
    <w:p w:rsidR="00000000" w:rsidDel="00000000" w:rsidP="00000000" w:rsidRDefault="00000000" w:rsidRPr="00000000" w14:paraId="0000011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La balance hydrophile/hydrophobe</w:t>
      </w:r>
    </w:p>
    <w:p w:rsidR="00000000" w:rsidDel="00000000" w:rsidP="00000000" w:rsidRDefault="00000000" w:rsidRPr="00000000" w14:paraId="0000012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La répartition électronique </w:t>
      </w:r>
    </w:p>
    <w:p w:rsidR="00000000" w:rsidDel="00000000" w:rsidP="00000000" w:rsidRDefault="00000000" w:rsidRPr="00000000" w14:paraId="0000012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L'oxydabilité </w:t>
      </w:r>
    </w:p>
    <w:p w:rsidR="00000000" w:rsidDel="00000000" w:rsidP="00000000" w:rsidRDefault="00000000" w:rsidRPr="00000000" w14:paraId="0000012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123">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4">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40</w:t>
      </w:r>
      <w:r w:rsidDel="00000000" w:rsidR="00000000" w:rsidRPr="00000000">
        <w:rPr>
          <w:rFonts w:ascii="Arial" w:cs="Arial" w:eastAsia="Arial" w:hAnsi="Arial"/>
          <w:b w:val="1"/>
          <w:sz w:val="20"/>
          <w:szCs w:val="20"/>
          <w:rtl w:val="0"/>
        </w:rPr>
        <w:t xml:space="preserve"> : Quelles sont les techniques utilisées pour établir la structure chimique d'un composé ? (</w:t>
      </w:r>
      <w:r w:rsidDel="00000000" w:rsidR="00000000" w:rsidRPr="00000000">
        <w:rPr>
          <w:rFonts w:ascii="Arial" w:cs="Arial" w:eastAsia="Arial" w:hAnsi="Arial"/>
          <w:b w:val="1"/>
          <w:i w:val="1"/>
          <w:sz w:val="20"/>
          <w:szCs w:val="20"/>
          <w:rtl w:val="0"/>
        </w:rPr>
        <w:t xml:space="preserve">inspirés annales)</w:t>
      </w:r>
      <w:r w:rsidDel="00000000" w:rsidR="00000000" w:rsidRPr="00000000">
        <w:rPr>
          <w:rtl w:val="0"/>
        </w:rPr>
      </w:r>
    </w:p>
    <w:p w:rsidR="00000000" w:rsidDel="00000000" w:rsidP="00000000" w:rsidRDefault="00000000" w:rsidRPr="00000000" w14:paraId="0000012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La résonance magnétique nucléaire (RMN)</w:t>
      </w:r>
    </w:p>
    <w:p w:rsidR="00000000" w:rsidDel="00000000" w:rsidP="00000000" w:rsidRDefault="00000000" w:rsidRPr="00000000" w14:paraId="0000012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La cristallographie par rayons X</w:t>
      </w:r>
    </w:p>
    <w:p w:rsidR="00000000" w:rsidDel="00000000" w:rsidP="00000000" w:rsidRDefault="00000000" w:rsidRPr="00000000" w14:paraId="0000012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Le Docking</w:t>
      </w:r>
    </w:p>
    <w:p w:rsidR="00000000" w:rsidDel="00000000" w:rsidP="00000000" w:rsidRDefault="00000000" w:rsidRPr="00000000" w14:paraId="0000012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La spectrométrie de masse</w:t>
      </w:r>
    </w:p>
    <w:p w:rsidR="00000000" w:rsidDel="00000000" w:rsidP="00000000" w:rsidRDefault="00000000" w:rsidRPr="00000000" w14:paraId="0000012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12A">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B">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41</w:t>
      </w:r>
      <w:r w:rsidDel="00000000" w:rsidR="00000000" w:rsidRPr="00000000">
        <w:rPr>
          <w:rFonts w:ascii="Arial" w:cs="Arial" w:eastAsia="Arial" w:hAnsi="Arial"/>
          <w:b w:val="1"/>
          <w:sz w:val="20"/>
          <w:szCs w:val="20"/>
          <w:rtl w:val="0"/>
        </w:rPr>
        <w:t xml:space="preserve"> : A propos des plantes et de la pharmacognosie, quelle(s) sont/est la/les vraie(s) ?</w:t>
      </w:r>
    </w:p>
    <w:p w:rsidR="00000000" w:rsidDel="00000000" w:rsidP="00000000" w:rsidRDefault="00000000" w:rsidRPr="00000000" w14:paraId="0000012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Dioscoride, au 1 siècle ap. JC, a écrit un recueil sur les plantes médicinales : « De Materia Medica » détaillant l'usage de 1500 espèces d'origine naturelle, végétale, animale ou minérale.</w:t>
      </w:r>
    </w:p>
    <w:p w:rsidR="00000000" w:rsidDel="00000000" w:rsidP="00000000" w:rsidRDefault="00000000" w:rsidRPr="00000000" w14:paraId="0000012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Hippocrate, dès le 1er siècle av. JC, décrit l'utilisation déjà de l'aloès, du pavot somnifère, de l'ail ou du safran</w:t>
      </w:r>
    </w:p>
    <w:p w:rsidR="00000000" w:rsidDel="00000000" w:rsidP="00000000" w:rsidRDefault="00000000" w:rsidRPr="00000000" w14:paraId="0000012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Depuis toujours l’homme utilise les plantes : notamment les plantes “à fils” comme le coton ou le lin pour se vêtir </w:t>
      </w:r>
    </w:p>
    <w:p w:rsidR="00000000" w:rsidDel="00000000" w:rsidP="00000000" w:rsidRDefault="00000000" w:rsidRPr="00000000" w14:paraId="0000012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Les médecines savantes (ayurvédique et arabe par exemple) sont de transmission orale</w:t>
      </w:r>
    </w:p>
    <w:p w:rsidR="00000000" w:rsidDel="00000000" w:rsidP="00000000" w:rsidRDefault="00000000" w:rsidRPr="00000000" w14:paraId="0000013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131">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2">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42</w:t>
      </w:r>
      <w:r w:rsidDel="00000000" w:rsidR="00000000" w:rsidRPr="00000000">
        <w:rPr>
          <w:rFonts w:ascii="Arial" w:cs="Arial" w:eastAsia="Arial" w:hAnsi="Arial"/>
          <w:b w:val="1"/>
          <w:sz w:val="20"/>
          <w:szCs w:val="20"/>
          <w:rtl w:val="0"/>
        </w:rPr>
        <w:t xml:space="preserve"> : A propos des plantes et de la pharmacognosie, quelle(s) sont/est la/les vraie(s) ?</w:t>
      </w:r>
    </w:p>
    <w:p w:rsidR="00000000" w:rsidDel="00000000" w:rsidP="00000000" w:rsidRDefault="00000000" w:rsidRPr="00000000" w14:paraId="0000013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Le métabolisme secondaire élabore des molécules indispensables à la vie de la plante </w:t>
      </w:r>
    </w:p>
    <w:p w:rsidR="00000000" w:rsidDel="00000000" w:rsidP="00000000" w:rsidRDefault="00000000" w:rsidRPr="00000000" w14:paraId="0000013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Les protides et les glucides sont des métabolites primaires</w:t>
      </w:r>
    </w:p>
    <w:p w:rsidR="00000000" w:rsidDel="00000000" w:rsidP="00000000" w:rsidRDefault="00000000" w:rsidRPr="00000000" w14:paraId="0000013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Les alcaloïdes, polyphénols, terpènes et stéroïdes sont des métabolites primaires</w:t>
      </w:r>
    </w:p>
    <w:p w:rsidR="00000000" w:rsidDel="00000000" w:rsidP="00000000" w:rsidRDefault="00000000" w:rsidRPr="00000000" w14:paraId="0000013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Les métabolites secondaires sont spécifiques aux végétaux et sont synthétisés en petite quantité (chimie fine)</w:t>
      </w:r>
    </w:p>
    <w:p w:rsidR="00000000" w:rsidDel="00000000" w:rsidP="00000000" w:rsidRDefault="00000000" w:rsidRPr="00000000" w14:paraId="0000013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138">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9">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43</w:t>
      </w:r>
      <w:r w:rsidDel="00000000" w:rsidR="00000000" w:rsidRPr="00000000">
        <w:rPr>
          <w:rFonts w:ascii="Arial" w:cs="Arial" w:eastAsia="Arial" w:hAnsi="Arial"/>
          <w:b w:val="1"/>
          <w:sz w:val="20"/>
          <w:szCs w:val="20"/>
          <w:rtl w:val="0"/>
        </w:rPr>
        <w:t xml:space="preserve"> : A propos des drogues végétales en pharmacognosie, quelle(s) sont/est la/les vraie(s) ?</w:t>
      </w:r>
    </w:p>
    <w:p w:rsidR="00000000" w:rsidDel="00000000" w:rsidP="00000000" w:rsidRDefault="00000000" w:rsidRPr="00000000" w14:paraId="0000013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Les drogues végétales, sont des stupéfiants a base de plantes qui bénéficient d’une réglementation stricte</w:t>
      </w:r>
    </w:p>
    <w:p w:rsidR="00000000" w:rsidDel="00000000" w:rsidP="00000000" w:rsidRDefault="00000000" w:rsidRPr="00000000" w14:paraId="0000013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Le fruit de canneberge est riche en proanthocyanidols</w:t>
      </w:r>
    </w:p>
    <w:p w:rsidR="00000000" w:rsidDel="00000000" w:rsidP="00000000" w:rsidRDefault="00000000" w:rsidRPr="00000000" w14:paraId="0000013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La fleur de Ginkgo est une drogue végétale utilisée dans l’insuffisance veino-lymphatique périphérique</w:t>
      </w:r>
    </w:p>
    <w:p w:rsidR="00000000" w:rsidDel="00000000" w:rsidP="00000000" w:rsidRDefault="00000000" w:rsidRPr="00000000" w14:paraId="0000013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Tous les organes végétaux peuvent être des drogues végétales </w:t>
      </w:r>
    </w:p>
    <w:p w:rsidR="00000000" w:rsidDel="00000000" w:rsidP="00000000" w:rsidRDefault="00000000" w:rsidRPr="00000000" w14:paraId="0000013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13F">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0">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44</w:t>
      </w:r>
      <w:r w:rsidDel="00000000" w:rsidR="00000000" w:rsidRPr="00000000">
        <w:rPr>
          <w:rFonts w:ascii="Arial" w:cs="Arial" w:eastAsia="Arial" w:hAnsi="Arial"/>
          <w:b w:val="1"/>
          <w:sz w:val="20"/>
          <w:szCs w:val="20"/>
          <w:rtl w:val="0"/>
        </w:rPr>
        <w:t xml:space="preserve"> : A propos des huiles essentielles en pharmacognosie, quelle(s) sont/est la/les vraie(s) ?</w:t>
      </w:r>
    </w:p>
    <w:p w:rsidR="00000000" w:rsidDel="00000000" w:rsidP="00000000" w:rsidRDefault="00000000" w:rsidRPr="00000000" w14:paraId="0000014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Elles sont utilisées en phytothérapie et composées de terpènes </w:t>
      </w:r>
    </w:p>
    <w:p w:rsidR="00000000" w:rsidDel="00000000" w:rsidP="00000000" w:rsidRDefault="00000000" w:rsidRPr="00000000" w14:paraId="0000014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Elles ne peuvent pas être obtenues par entraînement à la vapeur d’eau car elles sont très peu solubles dans l’eau</w:t>
      </w:r>
    </w:p>
    <w:p w:rsidR="00000000" w:rsidDel="00000000" w:rsidP="00000000" w:rsidRDefault="00000000" w:rsidRPr="00000000" w14:paraId="0000014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L’huile essentiel de menthe est utilisée comme antiseptique au niveau digestif</w:t>
      </w:r>
    </w:p>
    <w:p w:rsidR="00000000" w:rsidDel="00000000" w:rsidP="00000000" w:rsidRDefault="00000000" w:rsidRPr="00000000" w14:paraId="0000014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L’anéthol est contenu dans l’HE du fruit de la badiane</w:t>
      </w:r>
    </w:p>
    <w:p w:rsidR="00000000" w:rsidDel="00000000" w:rsidP="00000000" w:rsidRDefault="00000000" w:rsidRPr="00000000" w14:paraId="0000014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146">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7">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45</w:t>
      </w:r>
      <w:r w:rsidDel="00000000" w:rsidR="00000000" w:rsidRPr="00000000">
        <w:rPr>
          <w:rFonts w:ascii="Arial" w:cs="Arial" w:eastAsia="Arial" w:hAnsi="Arial"/>
          <w:b w:val="1"/>
          <w:sz w:val="20"/>
          <w:szCs w:val="20"/>
          <w:rtl w:val="0"/>
        </w:rPr>
        <w:t xml:space="preserve"> : A propos des plantes et de la pharmacognosie, quelle(s) sont/est la/les vraie(s) ?</w:t>
      </w:r>
    </w:p>
    <w:p w:rsidR="00000000" w:rsidDel="00000000" w:rsidP="00000000" w:rsidRDefault="00000000" w:rsidRPr="00000000" w14:paraId="0000014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Depuis 2017, la vente au public de 25 huiles essentielles est réservée aux pharmaciens</w:t>
      </w:r>
    </w:p>
    <w:p w:rsidR="00000000" w:rsidDel="00000000" w:rsidP="00000000" w:rsidRDefault="00000000" w:rsidRPr="00000000" w14:paraId="0000014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Les principales DV sont inscrites à la pharmacopée européenne et/ou française sous forme de monothérapie</w:t>
      </w:r>
    </w:p>
    <w:p w:rsidR="00000000" w:rsidDel="00000000" w:rsidP="00000000" w:rsidRDefault="00000000" w:rsidRPr="00000000" w14:paraId="0000014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Les préparations liquides sont obtenues par extraction avec un solvant (eau ou mélange eau/alcool)</w:t>
      </w:r>
    </w:p>
    <w:p w:rsidR="00000000" w:rsidDel="00000000" w:rsidP="00000000" w:rsidRDefault="00000000" w:rsidRPr="00000000" w14:paraId="0000014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Les médicaments traditionnels à base de plantes nécessitent un dossier d’enregistrement auprès de l’ANSM et doivent avoir été utilisés depuis au moins 30 ans dont 15 ans dans l’UE</w:t>
      </w:r>
    </w:p>
    <w:p w:rsidR="00000000" w:rsidDel="00000000" w:rsidP="00000000" w:rsidRDefault="00000000" w:rsidRPr="00000000" w14:paraId="0000014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14D">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E">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F">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0">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1">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46</w:t>
      </w:r>
      <w:r w:rsidDel="00000000" w:rsidR="00000000" w:rsidRPr="00000000">
        <w:rPr>
          <w:rFonts w:ascii="Arial" w:cs="Arial" w:eastAsia="Arial" w:hAnsi="Arial"/>
          <w:b w:val="1"/>
          <w:sz w:val="20"/>
          <w:szCs w:val="20"/>
          <w:rtl w:val="0"/>
        </w:rPr>
        <w:t xml:space="preserve"> : A propos des plantes utilisées dans l’insuffisance veineuse, donnez la ou les bonnes réponses : </w:t>
      </w:r>
    </w:p>
    <w:p w:rsidR="00000000" w:rsidDel="00000000" w:rsidP="00000000" w:rsidRDefault="00000000" w:rsidRPr="00000000" w14:paraId="0000015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On va utiliser des plantes contenant des polyphénols </w:t>
      </w:r>
    </w:p>
    <w:p w:rsidR="00000000" w:rsidDel="00000000" w:rsidP="00000000" w:rsidRDefault="00000000" w:rsidRPr="00000000" w14:paraId="0000015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Les flavonoïdes sont des pigments spécifiques qui présentent une couleur soit vert soit rouge </w:t>
      </w:r>
    </w:p>
    <w:p w:rsidR="00000000" w:rsidDel="00000000" w:rsidP="00000000" w:rsidRDefault="00000000" w:rsidRPr="00000000" w14:paraId="0000015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Les tanins sont utilisés pour le tannage des peaux et l’obtention du cuir </w:t>
      </w:r>
    </w:p>
    <w:p w:rsidR="00000000" w:rsidDel="00000000" w:rsidP="00000000" w:rsidRDefault="00000000" w:rsidRPr="00000000" w14:paraId="0000015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Il existe deux groupes de tanins</w:t>
      </w:r>
    </w:p>
    <w:p w:rsidR="00000000" w:rsidDel="00000000" w:rsidP="00000000" w:rsidRDefault="00000000" w:rsidRPr="00000000" w14:paraId="0000015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157">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8">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47</w:t>
      </w:r>
      <w:r w:rsidDel="00000000" w:rsidR="00000000" w:rsidRPr="00000000">
        <w:rPr>
          <w:rFonts w:ascii="Arial" w:cs="Arial" w:eastAsia="Arial" w:hAnsi="Arial"/>
          <w:b w:val="1"/>
          <w:sz w:val="20"/>
          <w:szCs w:val="20"/>
          <w:rtl w:val="0"/>
        </w:rPr>
        <w:t xml:space="preserve"> : A propos des plantes utilisées pour la nervosité et les troubles mineurs du sommeil, donnez la ou les bonnes réponses : </w:t>
      </w:r>
    </w:p>
    <w:p w:rsidR="00000000" w:rsidDel="00000000" w:rsidP="00000000" w:rsidRDefault="00000000" w:rsidRPr="00000000" w14:paraId="0000015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On utilise les sommités fleuries de la mélisse </w:t>
      </w:r>
    </w:p>
    <w:p w:rsidR="00000000" w:rsidDel="00000000" w:rsidP="00000000" w:rsidRDefault="00000000" w:rsidRPr="00000000" w14:paraId="0000015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On utilise les parties souterraines de la valériane </w:t>
      </w:r>
    </w:p>
    <w:p w:rsidR="00000000" w:rsidDel="00000000" w:rsidP="00000000" w:rsidRDefault="00000000" w:rsidRPr="00000000" w14:paraId="0000015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La passiflore est composée de flavonoïdes et d'alcaloïdes  </w:t>
      </w:r>
    </w:p>
    <w:p w:rsidR="00000000" w:rsidDel="00000000" w:rsidP="00000000" w:rsidRDefault="00000000" w:rsidRPr="00000000" w14:paraId="0000015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L’aubépine est utilisée pour les palpitations cardiaques </w:t>
      </w:r>
    </w:p>
    <w:p w:rsidR="00000000" w:rsidDel="00000000" w:rsidP="00000000" w:rsidRDefault="00000000" w:rsidRPr="00000000" w14:paraId="0000015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15E">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F">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48</w:t>
      </w:r>
      <w:r w:rsidDel="00000000" w:rsidR="00000000" w:rsidRPr="00000000">
        <w:rPr>
          <w:rFonts w:ascii="Arial" w:cs="Arial" w:eastAsia="Arial" w:hAnsi="Arial"/>
          <w:b w:val="1"/>
          <w:sz w:val="20"/>
          <w:szCs w:val="20"/>
          <w:rtl w:val="0"/>
        </w:rPr>
        <w:t xml:space="preserve"> : A propos des plantes hépato protectrices et antispasmodiques, donnez la ou les bonnes réponses : </w:t>
      </w:r>
    </w:p>
    <w:p w:rsidR="00000000" w:rsidDel="00000000" w:rsidP="00000000" w:rsidRDefault="00000000" w:rsidRPr="00000000" w14:paraId="0000016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On utilise les parties aériennes fleuries de l’artichaut </w:t>
      </w:r>
    </w:p>
    <w:p w:rsidR="00000000" w:rsidDel="00000000" w:rsidP="00000000" w:rsidRDefault="00000000" w:rsidRPr="00000000" w14:paraId="0000016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On utilise le fruit du chardon marie </w:t>
      </w:r>
    </w:p>
    <w:p w:rsidR="00000000" w:rsidDel="00000000" w:rsidP="00000000" w:rsidRDefault="00000000" w:rsidRPr="00000000" w14:paraId="0000016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Le fumeterre est utilisé contre les douleurs spasmodiques d’origine biliaire </w:t>
      </w:r>
    </w:p>
    <w:p w:rsidR="00000000" w:rsidDel="00000000" w:rsidP="00000000" w:rsidRDefault="00000000" w:rsidRPr="00000000" w14:paraId="0000016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L’artichaut est utilisé pour l’hypercholestérolémie </w:t>
      </w:r>
    </w:p>
    <w:p w:rsidR="00000000" w:rsidDel="00000000" w:rsidP="00000000" w:rsidRDefault="00000000" w:rsidRPr="00000000" w14:paraId="0000016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165">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6">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49</w:t>
      </w:r>
      <w:r w:rsidDel="00000000" w:rsidR="00000000" w:rsidRPr="00000000">
        <w:rPr>
          <w:rFonts w:ascii="Arial" w:cs="Arial" w:eastAsia="Arial" w:hAnsi="Arial"/>
          <w:b w:val="1"/>
          <w:sz w:val="20"/>
          <w:szCs w:val="20"/>
          <w:rtl w:val="0"/>
        </w:rPr>
        <w:t xml:space="preserve"> : A propos des plantes utilisées pour leurs propriétés anti inflammatoires, donnez la ou les bonnes réponses :</w:t>
      </w:r>
    </w:p>
    <w:p w:rsidR="00000000" w:rsidDel="00000000" w:rsidP="00000000" w:rsidRDefault="00000000" w:rsidRPr="00000000" w14:paraId="0000016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On utilise les feuilles de la reine des fleurs </w:t>
      </w:r>
    </w:p>
    <w:p w:rsidR="00000000" w:rsidDel="00000000" w:rsidP="00000000" w:rsidRDefault="00000000" w:rsidRPr="00000000" w14:paraId="0000016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L’harpagophyton est composé de dérivés salicylés </w:t>
      </w:r>
    </w:p>
    <w:p w:rsidR="00000000" w:rsidDel="00000000" w:rsidP="00000000" w:rsidRDefault="00000000" w:rsidRPr="00000000" w14:paraId="0000016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Le saule est utilisé pour des états fébriles et grippaux</w:t>
      </w:r>
    </w:p>
    <w:p w:rsidR="00000000" w:rsidDel="00000000" w:rsidP="00000000" w:rsidRDefault="00000000" w:rsidRPr="00000000" w14:paraId="0000016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On utilise l’écorce du cassis</w:t>
      </w:r>
    </w:p>
    <w:p w:rsidR="00000000" w:rsidDel="00000000" w:rsidP="00000000" w:rsidRDefault="00000000" w:rsidRPr="00000000" w14:paraId="0000016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16C">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D">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50</w:t>
      </w:r>
      <w:r w:rsidDel="00000000" w:rsidR="00000000" w:rsidRPr="00000000">
        <w:rPr>
          <w:rFonts w:ascii="Arial" w:cs="Arial" w:eastAsia="Arial" w:hAnsi="Arial"/>
          <w:b w:val="1"/>
          <w:sz w:val="20"/>
          <w:szCs w:val="20"/>
          <w:rtl w:val="0"/>
        </w:rPr>
        <w:t xml:space="preserve"> : A propos du cours sur les plantes, donnez la ou les bonnes réponses : </w:t>
      </w:r>
    </w:p>
    <w:p w:rsidR="00000000" w:rsidDel="00000000" w:rsidP="00000000" w:rsidRDefault="00000000" w:rsidRPr="00000000" w14:paraId="0000016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La dioscorée et la digitale laineuse sont des plantes à dérives stéroïdiques</w:t>
      </w:r>
    </w:p>
    <w:p w:rsidR="00000000" w:rsidDel="00000000" w:rsidP="00000000" w:rsidRDefault="00000000" w:rsidRPr="00000000" w14:paraId="0000016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Les alcaloïdes ont plutôt un caractère basique </w:t>
      </w:r>
    </w:p>
    <w:p w:rsidR="00000000" w:rsidDel="00000000" w:rsidP="00000000" w:rsidRDefault="00000000" w:rsidRPr="00000000" w14:paraId="0000017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Le pavot somnifère fournit l’opium </w:t>
      </w:r>
    </w:p>
    <w:p w:rsidR="00000000" w:rsidDel="00000000" w:rsidP="00000000" w:rsidRDefault="00000000" w:rsidRPr="00000000" w14:paraId="0000017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La papavérine est un antispasmodique </w:t>
      </w:r>
    </w:p>
    <w:p w:rsidR="00000000" w:rsidDel="00000000" w:rsidP="00000000" w:rsidRDefault="00000000" w:rsidRPr="00000000" w14:paraId="0000017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173">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4">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51</w:t>
      </w:r>
      <w:r w:rsidDel="00000000" w:rsidR="00000000" w:rsidRPr="00000000">
        <w:rPr>
          <w:rFonts w:ascii="Arial" w:cs="Arial" w:eastAsia="Arial" w:hAnsi="Arial"/>
          <w:b w:val="1"/>
          <w:sz w:val="20"/>
          <w:szCs w:val="20"/>
          <w:rtl w:val="0"/>
        </w:rPr>
        <w:t xml:space="preserve"> : A propos du cours sur les plantes, donnez la ou les bonnes réponses : </w:t>
      </w:r>
    </w:p>
    <w:p w:rsidR="00000000" w:rsidDel="00000000" w:rsidP="00000000" w:rsidRDefault="00000000" w:rsidRPr="00000000" w14:paraId="0000017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Parmi les solanacées, on retrouve la belladone, la jusquiame, et la stramoine</w:t>
      </w:r>
    </w:p>
    <w:p w:rsidR="00000000" w:rsidDel="00000000" w:rsidP="00000000" w:rsidRDefault="00000000" w:rsidRPr="00000000" w14:paraId="0000017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Les feuilles du cocaïer contiennent la cocaïne</w:t>
      </w:r>
    </w:p>
    <w:p w:rsidR="00000000" w:rsidDel="00000000" w:rsidP="00000000" w:rsidRDefault="00000000" w:rsidRPr="00000000" w14:paraId="0000017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On utilise le quinquina dans le traitement contre la malaria</w:t>
      </w:r>
    </w:p>
    <w:p w:rsidR="00000000" w:rsidDel="00000000" w:rsidP="00000000" w:rsidRDefault="00000000" w:rsidRPr="00000000" w14:paraId="0000017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On utilise la camptotheca dans le domaine de cancérologie </w:t>
      </w:r>
    </w:p>
    <w:p w:rsidR="00000000" w:rsidDel="00000000" w:rsidP="00000000" w:rsidRDefault="00000000" w:rsidRPr="00000000" w14:paraId="0000017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17A">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B">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52</w:t>
      </w:r>
      <w:r w:rsidDel="00000000" w:rsidR="00000000" w:rsidRPr="00000000">
        <w:rPr>
          <w:rFonts w:ascii="Arial" w:cs="Arial" w:eastAsia="Arial" w:hAnsi="Arial"/>
          <w:b w:val="1"/>
          <w:sz w:val="20"/>
          <w:szCs w:val="20"/>
          <w:rtl w:val="0"/>
        </w:rPr>
        <w:t xml:space="preserve"> : A propos des opérations pharmaceutiques, donnez la ou les bonnes réponses : </w:t>
      </w:r>
    </w:p>
    <w:p w:rsidR="00000000" w:rsidDel="00000000" w:rsidP="00000000" w:rsidRDefault="00000000" w:rsidRPr="00000000" w14:paraId="0000017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Le DT correspond au temps nécessaire pour réduire la population de microorganismes d’un facteur 30</w:t>
      </w:r>
    </w:p>
    <w:p w:rsidR="00000000" w:rsidDel="00000000" w:rsidP="00000000" w:rsidRDefault="00000000" w:rsidRPr="00000000" w14:paraId="0000017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Z correspond à l’élévation de température nécessaire pour réduire la valeur DT d’un facteur 10</w:t>
      </w:r>
    </w:p>
    <w:p w:rsidR="00000000" w:rsidDel="00000000" w:rsidP="00000000" w:rsidRDefault="00000000" w:rsidRPr="00000000" w14:paraId="0000017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La valeur stérilisatrice de la chaleur humide doit être au minimum de 8 minutes</w:t>
      </w:r>
    </w:p>
    <w:p w:rsidR="00000000" w:rsidDel="00000000" w:rsidP="00000000" w:rsidRDefault="00000000" w:rsidRPr="00000000" w14:paraId="0000017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La stérilisation par chaleur humide est une méthode de choix </w:t>
      </w:r>
    </w:p>
    <w:p w:rsidR="00000000" w:rsidDel="00000000" w:rsidP="00000000" w:rsidRDefault="00000000" w:rsidRPr="00000000" w14:paraId="0000018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181">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2">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53</w:t>
      </w:r>
      <w:r w:rsidDel="00000000" w:rsidR="00000000" w:rsidRPr="00000000">
        <w:rPr>
          <w:rFonts w:ascii="Arial" w:cs="Arial" w:eastAsia="Arial" w:hAnsi="Arial"/>
          <w:b w:val="1"/>
          <w:sz w:val="20"/>
          <w:szCs w:val="20"/>
          <w:rtl w:val="0"/>
        </w:rPr>
        <w:t xml:space="preserve"> : A propos des opérations pharmaceutiques, donnez la ou les bonnes réponses :</w:t>
      </w:r>
    </w:p>
    <w:p w:rsidR="00000000" w:rsidDel="00000000" w:rsidP="00000000" w:rsidRDefault="00000000" w:rsidRPr="00000000" w14:paraId="0000018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L’inconvénient de la stérilisation par chaleur humide est la durée pour atteindre la température de stérilisation beaucoup trop longue</w:t>
      </w:r>
    </w:p>
    <w:p w:rsidR="00000000" w:rsidDel="00000000" w:rsidP="00000000" w:rsidRDefault="00000000" w:rsidRPr="00000000" w14:paraId="0000018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Le témoin biologique de la filtration stérilisante est pseudomonas diminuta </w:t>
      </w:r>
    </w:p>
    <w:p w:rsidR="00000000" w:rsidDel="00000000" w:rsidP="00000000" w:rsidRDefault="00000000" w:rsidRPr="00000000" w14:paraId="0000018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Le formaldéhyde s’évapore sous forme de polymères </w:t>
      </w:r>
    </w:p>
    <w:p w:rsidR="00000000" w:rsidDel="00000000" w:rsidP="00000000" w:rsidRDefault="00000000" w:rsidRPr="00000000" w14:paraId="0000018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Le formaldéhyde est une molécule agressive </w:t>
      </w:r>
    </w:p>
    <w:p w:rsidR="00000000" w:rsidDel="00000000" w:rsidP="00000000" w:rsidRDefault="00000000" w:rsidRPr="00000000" w14:paraId="0000018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188">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9">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A">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B">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C">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D">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E">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54</w:t>
      </w:r>
      <w:r w:rsidDel="00000000" w:rsidR="00000000" w:rsidRPr="00000000">
        <w:rPr>
          <w:rFonts w:ascii="Arial" w:cs="Arial" w:eastAsia="Arial" w:hAnsi="Arial"/>
          <w:b w:val="1"/>
          <w:sz w:val="20"/>
          <w:szCs w:val="20"/>
          <w:rtl w:val="0"/>
        </w:rPr>
        <w:t xml:space="preserve"> : A propos des opérations pharmaceutiques, donnez la ou les bonnes réponses :</w:t>
      </w:r>
    </w:p>
    <w:p w:rsidR="00000000" w:rsidDel="00000000" w:rsidP="00000000" w:rsidRDefault="00000000" w:rsidRPr="00000000" w14:paraId="0000018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Les solutions solides sont un mélange composé d’une matrice très hydrosoluble et d’une substance peu soluble </w:t>
      </w:r>
    </w:p>
    <w:p w:rsidR="00000000" w:rsidDel="00000000" w:rsidP="00000000" w:rsidRDefault="00000000" w:rsidRPr="00000000" w14:paraId="0000019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Les eutectiques permettent d’optimiser la solubilité </w:t>
      </w:r>
    </w:p>
    <w:p w:rsidR="00000000" w:rsidDel="00000000" w:rsidP="00000000" w:rsidRDefault="00000000" w:rsidRPr="00000000" w14:paraId="0000019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La salification permet d’augmenter la solubilité </w:t>
      </w:r>
    </w:p>
    <w:p w:rsidR="00000000" w:rsidDel="00000000" w:rsidP="00000000" w:rsidRDefault="00000000" w:rsidRPr="00000000" w14:paraId="0000019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Les cyclodextrines vont augmenter seulement la solubilité </w:t>
      </w:r>
    </w:p>
    <w:p w:rsidR="00000000" w:rsidDel="00000000" w:rsidP="00000000" w:rsidRDefault="00000000" w:rsidRPr="00000000" w14:paraId="0000019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194">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5">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55</w:t>
      </w:r>
      <w:r w:rsidDel="00000000" w:rsidR="00000000" w:rsidRPr="00000000">
        <w:rPr>
          <w:rFonts w:ascii="Arial" w:cs="Arial" w:eastAsia="Arial" w:hAnsi="Arial"/>
          <w:b w:val="1"/>
          <w:sz w:val="20"/>
          <w:szCs w:val="20"/>
          <w:rtl w:val="0"/>
        </w:rPr>
        <w:t xml:space="preserve"> : A propos des opérations pharmaceutiques, donnez la ou les bonnes réponses :</w:t>
      </w:r>
    </w:p>
    <w:p w:rsidR="00000000" w:rsidDel="00000000" w:rsidP="00000000" w:rsidRDefault="00000000" w:rsidRPr="00000000" w14:paraId="0000019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La classe I de la classification biopharmaceutique correspond à une solubilité élevée et une perméabilité élevée </w:t>
      </w:r>
    </w:p>
    <w:p w:rsidR="00000000" w:rsidDel="00000000" w:rsidP="00000000" w:rsidRDefault="00000000" w:rsidRPr="00000000" w14:paraId="0000019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La classe II correspond à une solubilité élevée et une perméabilité faible</w:t>
      </w:r>
    </w:p>
    <w:p w:rsidR="00000000" w:rsidDel="00000000" w:rsidP="00000000" w:rsidRDefault="00000000" w:rsidRPr="00000000" w14:paraId="0000019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La classe III correspond à une solubilité faible et une perméabilité élevée </w:t>
      </w:r>
    </w:p>
    <w:p w:rsidR="00000000" w:rsidDel="00000000" w:rsidP="00000000" w:rsidRDefault="00000000" w:rsidRPr="00000000" w14:paraId="0000019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La classe IV correspond à une faible solubilité et une faible perméabilité </w:t>
      </w:r>
    </w:p>
    <w:p w:rsidR="00000000" w:rsidDel="00000000" w:rsidP="00000000" w:rsidRDefault="00000000" w:rsidRPr="00000000" w14:paraId="0000019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19B">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C">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56</w:t>
      </w:r>
      <w:r w:rsidDel="00000000" w:rsidR="00000000" w:rsidRPr="00000000">
        <w:rPr>
          <w:rFonts w:ascii="Arial" w:cs="Arial" w:eastAsia="Arial" w:hAnsi="Arial"/>
          <w:b w:val="1"/>
          <w:sz w:val="20"/>
          <w:szCs w:val="20"/>
          <w:rtl w:val="0"/>
        </w:rPr>
        <w:t xml:space="preserve"> : A propos des opérations tutoresques, donnez la ou les bonnes réponses :</w:t>
      </w:r>
    </w:p>
    <w:p w:rsidR="00000000" w:rsidDel="00000000" w:rsidP="00000000" w:rsidRDefault="00000000" w:rsidRPr="00000000" w14:paraId="0000019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Rectom est en réalité un agent secret du FBI (fédération bordélique illicite)</w:t>
      </w:r>
    </w:p>
    <w:p w:rsidR="00000000" w:rsidDel="00000000" w:rsidP="00000000" w:rsidRDefault="00000000" w:rsidRPr="00000000" w14:paraId="0000019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Dans la vidéo de motivation de la sainte physio, Saradius a contribué à frapper (pour de faux évidemment) Phéphéromone</w:t>
      </w:r>
    </w:p>
    <w:p w:rsidR="00000000" w:rsidDel="00000000" w:rsidP="00000000" w:rsidRDefault="00000000" w:rsidRPr="00000000" w14:paraId="0000019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Maëvacuole est institutrice en diplomatie agricoliaire (ouais t’inquiète Alicia à dit que c’était français) en tant qu’ingénieur de buldosser (ça aussi c’est français il paraît)</w:t>
      </w:r>
    </w:p>
    <w:p w:rsidR="00000000" w:rsidDel="00000000" w:rsidP="00000000" w:rsidRDefault="00000000" w:rsidRPr="00000000" w14:paraId="000001A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Antotomère est en réalité un mage (et cast fireball dès qu’il rentre dans une pièce) </w:t>
      </w:r>
    </w:p>
    <w:p w:rsidR="00000000" w:rsidDel="00000000" w:rsidP="00000000" w:rsidRDefault="00000000" w:rsidRPr="00000000" w14:paraId="000001A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sectPr>
      <w:footerReference r:id="rId9" w:type="default"/>
      <w:pgSz w:h="16838" w:w="11906" w:orient="portrait"/>
      <w:pgMar w:bottom="568" w:top="567" w:left="720" w:right="566"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Arial Unicode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A2">
    <w:pPr>
      <w:pBdr>
        <w:top w:color="000000" w:space="1" w:sz="4" w:val="single"/>
        <w:left w:space="0" w:sz="0" w:val="nil"/>
        <w:bottom w:space="0" w:sz="0" w:val="nil"/>
        <w:right w:space="0" w:sz="0" w:val="nil"/>
        <w:between w:space="0" w:sz="0" w:val="nil"/>
      </w:pBdr>
      <w:tabs>
        <w:tab w:val="center" w:leader="none" w:pos="4536"/>
        <w:tab w:val="right" w:leader="none" w:pos="9072"/>
      </w:tabs>
      <w:spacing w:after="0" w:line="240" w:lineRule="auto"/>
      <w:rPr>
        <w:color w:val="000000"/>
      </w:rPr>
    </w:pPr>
    <w:r w:rsidDel="00000000" w:rsidR="00000000" w:rsidRPr="00000000">
      <w:rPr>
        <w:b w:val="1"/>
        <w:color w:val="404040"/>
        <w:rtl w:val="0"/>
      </w:rPr>
      <w:t xml:space="preserve">03.03.2025 </w:t>
      <w:tab/>
      <w:t xml:space="preserve">                  Le tutorat est gratuit. Toute reproduction ou vente est interdite. </w:t>
      <w:tab/>
      <w:tab/>
    </w:r>
    <w:r w:rsidDel="00000000" w:rsidR="00000000" w:rsidRPr="00000000">
      <w:rPr>
        <w:color w:val="404040"/>
        <w:rtl w:val="0"/>
      </w:rPr>
      <w:t xml:space="preserve">Page </w:t>
    </w:r>
    <w:r w:rsidDel="00000000" w:rsidR="00000000" w:rsidRPr="00000000">
      <w:rPr>
        <w:b w:val="1"/>
        <w:color w:val="404040"/>
      </w:rPr>
      <w:fldChar w:fldCharType="begin"/>
      <w:instrText xml:space="preserve">PAGE</w:instrText>
      <w:fldChar w:fldCharType="separate"/>
      <w:fldChar w:fldCharType="end"/>
    </w:r>
    <w:r w:rsidDel="00000000" w:rsidR="00000000" w:rsidRPr="00000000">
      <w:rPr>
        <w:color w:val="404040"/>
        <w:rtl w:val="0"/>
      </w:rPr>
      <w:t xml:space="preserve"> sur </w:t>
    </w:r>
    <w:r w:rsidDel="00000000" w:rsidR="00000000" w:rsidRPr="00000000">
      <w:rPr>
        <w:b w:val="1"/>
        <w:color w:val="404040"/>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1A3">
    <w:pPr>
      <w:pBdr>
        <w:top w:space="0" w:sz="0" w:val="nil"/>
        <w:left w:space="0" w:sz="0" w:val="nil"/>
        <w:bottom w:space="0" w:sz="0" w:val="nil"/>
        <w:right w:space="0" w:sz="0" w:val="nil"/>
        <w:between w:space="0" w:sz="0" w:val="nil"/>
      </w:pBdr>
      <w:tabs>
        <w:tab w:val="center" w:leader="none" w:pos="4536"/>
        <w:tab w:val="right" w:leader="none" w:pos="9072"/>
      </w:tabs>
      <w:spacing w:after="0" w:line="240" w:lineRule="auto"/>
      <w:jc w:val="center"/>
      <w:rPr>
        <w:color w:val="000000"/>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fr-FR"/>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AA5B9A"/>
    <w:rPr>
      <w:lang w:eastAsia="en-US"/>
    </w:rPr>
  </w:style>
  <w:style w:type="paragraph" w:styleId="Titre1">
    <w:name w:val="heading 1"/>
    <w:basedOn w:val="Normal"/>
    <w:next w:val="Normal"/>
    <w:uiPriority w:val="9"/>
    <w:qFormat w:val="1"/>
    <w:pPr>
      <w:keepNext w:val="1"/>
      <w:keepLines w:val="1"/>
      <w:spacing w:after="120" w:before="480"/>
      <w:outlineLvl w:val="0"/>
    </w:pPr>
    <w:rPr>
      <w:b w:val="1"/>
      <w:sz w:val="48"/>
      <w:szCs w:val="48"/>
    </w:rPr>
  </w:style>
  <w:style w:type="paragraph" w:styleId="Titre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Titre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Titre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Titre5">
    <w:name w:val="heading 5"/>
    <w:basedOn w:val="Normal"/>
    <w:next w:val="Normal"/>
    <w:uiPriority w:val="9"/>
    <w:semiHidden w:val="1"/>
    <w:unhideWhenUsed w:val="1"/>
    <w:qFormat w:val="1"/>
    <w:pPr>
      <w:keepNext w:val="1"/>
      <w:keepLines w:val="1"/>
      <w:spacing w:after="40" w:before="220"/>
      <w:outlineLvl w:val="4"/>
    </w:pPr>
    <w:rPr>
      <w:b w:val="1"/>
    </w:rPr>
  </w:style>
  <w:style w:type="paragraph" w:styleId="Titre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Policepardfaut" w:default="1">
    <w:name w:val="Default Paragraph Font"/>
    <w:uiPriority w:val="1"/>
    <w:semiHidden w:val="1"/>
    <w:unhideWhenUsed w:val="1"/>
  </w:style>
  <w:style w:type="table" w:styleId="Tableau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Aucuneliste"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itre">
    <w:name w:val="Title"/>
    <w:basedOn w:val="Normal"/>
    <w:next w:val="Normal"/>
    <w:uiPriority w:val="10"/>
    <w:qFormat w:val="1"/>
    <w:pPr>
      <w:keepNext w:val="1"/>
      <w:keepLines w:val="1"/>
      <w:spacing w:after="120" w:before="480"/>
    </w:pPr>
    <w:rPr>
      <w:b w:val="1"/>
      <w:sz w:val="72"/>
      <w:szCs w:val="72"/>
    </w:rPr>
  </w:style>
  <w:style w:type="table" w:styleId="TableNormal0" w:customStyle="1">
    <w:name w:val="Table Normal"/>
    <w:tblPr>
      <w:tblCellMar>
        <w:top w:w="0.0" w:type="dxa"/>
        <w:left w:w="0.0" w:type="dxa"/>
        <w:bottom w:w="0.0" w:type="dxa"/>
        <w:right w:w="0.0" w:type="dxa"/>
      </w:tblCellMar>
    </w:tblPr>
  </w:style>
  <w:style w:type="paragraph" w:styleId="Pieddepage">
    <w:name w:val="footer"/>
    <w:basedOn w:val="Normal"/>
    <w:link w:val="PieddepageCar"/>
    <w:uiPriority w:val="99"/>
    <w:unhideWhenUsed w:val="1"/>
    <w:rsid w:val="0055059B"/>
    <w:pPr>
      <w:tabs>
        <w:tab w:val="center" w:pos="4536"/>
        <w:tab w:val="right" w:pos="9072"/>
      </w:tabs>
      <w:spacing w:after="0" w:line="240" w:lineRule="auto"/>
    </w:pPr>
    <w:rPr>
      <w:rFonts w:eastAsia="Times New Roman"/>
    </w:rPr>
  </w:style>
  <w:style w:type="character" w:styleId="PieddepageCar" w:customStyle="1">
    <w:name w:val="Pied de page Car"/>
    <w:link w:val="Pieddepage"/>
    <w:uiPriority w:val="99"/>
    <w:rsid w:val="0055059B"/>
    <w:rPr>
      <w:rFonts w:cs="Times New Roman" w:eastAsia="Times New Roman"/>
    </w:rPr>
  </w:style>
  <w:style w:type="paragraph" w:styleId="Grillemoyenne21" w:customStyle="1">
    <w:name w:val="Grille moyenne 21"/>
    <w:aliases w:val="qcm"/>
    <w:uiPriority w:val="1"/>
    <w:qFormat w:val="1"/>
    <w:rsid w:val="009F37EE"/>
    <w:rPr>
      <w:lang w:eastAsia="en-US"/>
    </w:rPr>
  </w:style>
  <w:style w:type="paragraph" w:styleId="En-tte">
    <w:name w:val="header"/>
    <w:basedOn w:val="Normal"/>
    <w:link w:val="En-tteCar"/>
    <w:uiPriority w:val="99"/>
    <w:unhideWhenUsed w:val="1"/>
    <w:rsid w:val="00BA2273"/>
    <w:pPr>
      <w:tabs>
        <w:tab w:val="center" w:pos="4536"/>
        <w:tab w:val="right" w:pos="9072"/>
      </w:tabs>
      <w:spacing w:after="0" w:line="240" w:lineRule="auto"/>
    </w:pPr>
  </w:style>
  <w:style w:type="character" w:styleId="En-tteCar" w:customStyle="1">
    <w:name w:val="En-tête Car"/>
    <w:basedOn w:val="Policepardfaut"/>
    <w:link w:val="En-tte"/>
    <w:uiPriority w:val="99"/>
    <w:rsid w:val="00BA2273"/>
  </w:style>
  <w:style w:type="paragraph" w:styleId="Textedebulles">
    <w:name w:val="Balloon Text"/>
    <w:basedOn w:val="Normal"/>
    <w:link w:val="TextedebullesCar"/>
    <w:uiPriority w:val="99"/>
    <w:semiHidden w:val="1"/>
    <w:unhideWhenUsed w:val="1"/>
    <w:rsid w:val="008D6206"/>
    <w:pPr>
      <w:spacing w:after="0" w:line="240" w:lineRule="auto"/>
    </w:pPr>
    <w:rPr>
      <w:rFonts w:ascii="Tahoma" w:cs="Tahoma" w:hAnsi="Tahoma"/>
      <w:sz w:val="16"/>
      <w:szCs w:val="16"/>
    </w:rPr>
  </w:style>
  <w:style w:type="character" w:styleId="TextedebullesCar" w:customStyle="1">
    <w:name w:val="Texte de bulles Car"/>
    <w:link w:val="Textedebulles"/>
    <w:uiPriority w:val="99"/>
    <w:semiHidden w:val="1"/>
    <w:rsid w:val="008D6206"/>
    <w:rPr>
      <w:rFonts w:ascii="Tahoma" w:cs="Tahoma" w:hAnsi="Tahoma"/>
      <w:sz w:val="16"/>
      <w:szCs w:val="16"/>
    </w:rPr>
  </w:style>
  <w:style w:type="character" w:styleId="lang-el" w:customStyle="1">
    <w:name w:val="lang-el"/>
    <w:basedOn w:val="Policepardfaut"/>
    <w:rsid w:val="008D6206"/>
  </w:style>
  <w:style w:type="paragraph" w:styleId="Listecouleur-Accent11" w:customStyle="1">
    <w:name w:val="Liste couleur - Accent 11"/>
    <w:basedOn w:val="Normal"/>
    <w:uiPriority w:val="34"/>
    <w:qFormat w:val="1"/>
    <w:rsid w:val="001A0C88"/>
    <w:pPr>
      <w:ind w:left="720"/>
      <w:contextualSpacing w:val="1"/>
    </w:pPr>
  </w:style>
  <w:style w:type="paragraph" w:styleId="NormalWeb">
    <w:name w:val="Normal (Web)"/>
    <w:basedOn w:val="Normal"/>
    <w:uiPriority w:val="99"/>
    <w:unhideWhenUsed w:val="1"/>
    <w:rsid w:val="00E25260"/>
    <w:pPr>
      <w:spacing w:after="119" w:before="100" w:beforeAutospacing="1" w:line="240" w:lineRule="auto"/>
    </w:pPr>
    <w:rPr>
      <w:rFonts w:ascii="Times New Roman" w:eastAsia="Times New Roman" w:hAnsi="Times New Roman"/>
      <w:sz w:val="24"/>
      <w:szCs w:val="24"/>
      <w:lang w:eastAsia="fr-FR"/>
    </w:rPr>
  </w:style>
  <w:style w:type="paragraph" w:styleId="Standard" w:customStyle="1">
    <w:name w:val="Standard"/>
    <w:rsid w:val="00E25260"/>
    <w:pPr>
      <w:widowControl w:val="0"/>
      <w:suppressAutoHyphens w:val="1"/>
      <w:autoSpaceDN w:val="0"/>
    </w:pPr>
    <w:rPr>
      <w:rFonts w:ascii="Times New Roman" w:cs="Mangal" w:eastAsia="SimSun" w:hAnsi="Times New Roman"/>
      <w:kern w:val="3"/>
      <w:sz w:val="24"/>
      <w:szCs w:val="24"/>
      <w:lang w:bidi="hi-IN" w:eastAsia="zh-CN"/>
    </w:rPr>
  </w:style>
  <w:style w:type="paragraph" w:styleId="Sous-titr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xQJXHZuartCdHBVdo7/uZUyFA==">CgMxLjAaJAoBMBIfCh0IB0IZCgVBcmlhbBIQQXJpYWwgVW5pY29kZSBNUzgAciExaGNjZjNfVXBrOVBtU2JwSGtQbDRVcjJHdnhxV3VOZEQ=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2025-02-26T22:36:00Z</dcterms:created>
  <dc:creator>Anne</dc:creator>
</cp:coreProperties>
</file>