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CB0" w:rsidRDefault="00524CB0" w:rsidP="00524CB0">
      <w:pPr>
        <w:spacing w:after="0"/>
        <w:jc w:val="center"/>
        <w:rPr>
          <w:b/>
          <w:color w:val="D99594" w:themeColor="accent2" w:themeTint="99"/>
          <w:sz w:val="36"/>
          <w:szCs w:val="36"/>
        </w:rPr>
      </w:pPr>
      <w:r w:rsidRPr="00155195">
        <w:rPr>
          <w:b/>
          <w:color w:val="D99594" w:themeColor="accent2" w:themeTint="99"/>
          <w:sz w:val="36"/>
          <w:szCs w:val="36"/>
        </w:rPr>
        <w:t>DM UE8: Vrai / Faux</w:t>
      </w:r>
    </w:p>
    <w:p w:rsidR="00524CB0" w:rsidRPr="00155195" w:rsidRDefault="00524CB0" w:rsidP="00524CB0">
      <w:pPr>
        <w:spacing w:after="0"/>
        <w:jc w:val="center"/>
        <w:rPr>
          <w:b/>
          <w:color w:val="D99594" w:themeColor="accent2" w:themeTint="99"/>
        </w:rPr>
      </w:pPr>
    </w:p>
    <w:tbl>
      <w:tblPr>
        <w:tblStyle w:val="Grilledutableau"/>
        <w:tblW w:w="9166" w:type="dxa"/>
        <w:tblLook w:val="04A0"/>
      </w:tblPr>
      <w:tblGrid>
        <w:gridCol w:w="5467"/>
        <w:gridCol w:w="3699"/>
      </w:tblGrid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 diagnostique d’hydramnios est une appréciation subjective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L’hydramnios concerne plus de 10% des grossesses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Devant un hydramnios on peut diagnostiquer une macrosomie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Les anomalies de résorption dans l’hydramnios sont essentiellement d’origine membranaire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Les excès de production de LA par l’amnios sont dû à des phénomènes inflammatoires ou infectieux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L’hydramnios précoce apparaît entre 12 et 16 SA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Les 2 étiologies habituelles d’un hydramnios aigu sont le diabète gestationnelle et un kyste de l’ovaire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L’hydramnios chronique est plus fréquent et survient plus tardivement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3 pathologies reviennent fréquemment dans l’étiologie de l’hydramnios chronique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L’hypoplasie pulmonaire peut être la conséquence d’un oligoamnios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 diagnostique de l’oligoamnios est difficile à faire car la mère se sent souvent mieux et ne voit pas l’intérêt d’aller consulter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L’oligoamnios est le plus souvent dû au tabagisme maternel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On peut confondre un oligoamnios avec une rupture prématuré des membranes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 problème du diagnostique de l’oligoamnios à l’échographie est la mauvaise échogénicité dû à la faible quantité de liquide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50%  des oligoamnios sont de causes indéterminées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Devant un risque d’accouchement prématuré, on injecte des corticoïdes pour accélérer la maturation pulmonaire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On peut traiter des oligoamnios sévère par </w:t>
            </w:r>
            <w:proofErr w:type="spellStart"/>
            <w:r>
              <w:t>amnioinfusion</w:t>
            </w:r>
            <w:proofErr w:type="spellEnd"/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La procidence du cordon est la chute du cordon au devant de la présentation avant la rupture des </w:t>
            </w:r>
            <w:proofErr w:type="spellStart"/>
            <w:r>
              <w:t>membrannes</w:t>
            </w:r>
            <w:proofErr w:type="spellEnd"/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La procidence du cordon est une urgence relative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La procidence du cordon c’est lorsque la tête du bébé n’appuie pas suffisamment sur le segment inférieur et que son cordon se loge dans l’espace libre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 cordon peut avoir une anomalie de constitution comme la brièveté de longueur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 xml:space="preserve">L’artère ombilicale unique expose à l’hypertrophie fœtale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Le risque de procidence du cordon est multiplié par 40 en cas de présentation par le siège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147"/>
        </w:trPr>
        <w:tc>
          <w:tcPr>
            <w:tcW w:w="5467" w:type="dxa"/>
          </w:tcPr>
          <w:p w:rsidR="00524CB0" w:rsidRDefault="00524CB0" w:rsidP="00A360F1">
            <w:r>
              <w:t>Lors de grossesses gémellaires, la procidence est de 25%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Devant une artère ombilicale unique il faut chercher une malformation fœtale, en particulier digestive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Une procidence dite </w:t>
            </w:r>
            <w:proofErr w:type="spellStart"/>
            <w:r>
              <w:t>latérocidence</w:t>
            </w:r>
            <w:proofErr w:type="spellEnd"/>
            <w:r>
              <w:t xml:space="preserve"> est un cordon placé latéralement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50"/>
        </w:trPr>
        <w:tc>
          <w:tcPr>
            <w:tcW w:w="5467" w:type="dxa"/>
          </w:tcPr>
          <w:p w:rsidR="00524CB0" w:rsidRDefault="00524CB0" w:rsidP="00A360F1">
            <w:r>
              <w:lastRenderedPageBreak/>
              <w:t xml:space="preserve">Une circulaire du cordon en écharpe peut entraîner une altération du rythme cardiaque fœtal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820"/>
        </w:trPr>
        <w:tc>
          <w:tcPr>
            <w:tcW w:w="5467" w:type="dxa"/>
          </w:tcPr>
          <w:p w:rsidR="00524CB0" w:rsidRDefault="00524CB0" w:rsidP="00A360F1">
            <w:r>
              <w:t xml:space="preserve">La disproportion </w:t>
            </w:r>
            <w:proofErr w:type="spellStart"/>
            <w:r>
              <w:t>foeto</w:t>
            </w:r>
            <w:proofErr w:type="spellEnd"/>
            <w:r>
              <w:t>-pelvienne et la primiparité sont des facteurs de risque maternels pour une éventuelle procidence du cordon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Le risque de procidence est multiplié par 3 lorsque la longueur du cordon est supérieure à 75cm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Une rupture artificielle des membranes faite trop tôt ou mal faite peut être source de procidence du cordon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La procidence du cordon peut entrainer une dissection du cordon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Le fait de toucher le cordon avec les doigts peut entrainer une mort reflexe </w:t>
            </w:r>
            <w:proofErr w:type="spellStart"/>
            <w:r>
              <w:t>foetal</w:t>
            </w:r>
            <w:proofErr w:type="spellEnd"/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Devant une procidence du cordon il faut prévenir l’anoxie fœtale en levant la compression funiculaire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On ne fait pas de césarienne devant un </w:t>
            </w:r>
            <w:proofErr w:type="spellStart"/>
            <w:r>
              <w:t>procubitus</w:t>
            </w:r>
            <w:proofErr w:type="spellEnd"/>
            <w:r>
              <w:t xml:space="preserve"> </w:t>
            </w:r>
            <w:proofErr w:type="spellStart"/>
            <w:r>
              <w:t>cordonnal</w:t>
            </w:r>
            <w:proofErr w:type="spellEnd"/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808"/>
        </w:trPr>
        <w:tc>
          <w:tcPr>
            <w:tcW w:w="5467" w:type="dxa"/>
          </w:tcPr>
          <w:p w:rsidR="00524CB0" w:rsidRDefault="00524CB0" w:rsidP="00A360F1">
            <w:r>
              <w:t>En cas de présentation par l’épaule, la souffrance fœtale est rapidement irréversible conduisant aux gestes de sauvetage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50"/>
        </w:trPr>
        <w:tc>
          <w:tcPr>
            <w:tcW w:w="5467" w:type="dxa"/>
          </w:tcPr>
          <w:p w:rsidR="00524CB0" w:rsidRDefault="00524CB0" w:rsidP="00A360F1">
            <w:r>
              <w:t xml:space="preserve">La pré éclampsie apparaît après 20 SA, PAS &gt; </w:t>
            </w:r>
            <w:proofErr w:type="gramStart"/>
            <w:r>
              <w:t>140 ,</w:t>
            </w:r>
            <w:proofErr w:type="gramEnd"/>
            <w:r>
              <w:t xml:space="preserve"> PAD &gt; 90 , protéinurie &gt; 300g/24h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50"/>
        </w:trPr>
        <w:tc>
          <w:tcPr>
            <w:tcW w:w="5467" w:type="dxa"/>
          </w:tcPr>
          <w:p w:rsidR="00524CB0" w:rsidRDefault="00524CB0" w:rsidP="00A360F1">
            <w:r>
              <w:t>Le traitement devant un HRP, HELLP syndrome ou une éclampsie est simplement médicamenteux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La forme tardive de pré éclampsie a un pronostic plus sombre que la précoce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La forme tardive est vue lorsqu’il y a une altération initiale du réseau vasculaire maternel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50"/>
        </w:trPr>
        <w:tc>
          <w:tcPr>
            <w:tcW w:w="5467" w:type="dxa"/>
          </w:tcPr>
          <w:p w:rsidR="00524CB0" w:rsidRDefault="00524CB0" w:rsidP="00A360F1">
            <w:r>
              <w:t>Les facteurs favorisant la forme tardive sont le diabète l’HTA, l’obésité, l’âge maternel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Dans la forme précoce l’unité </w:t>
            </w:r>
            <w:proofErr w:type="spellStart"/>
            <w:r>
              <w:t>foeto</w:t>
            </w:r>
            <w:proofErr w:type="spellEnd"/>
            <w:r>
              <w:t xml:space="preserve"> placentaire est en relative hypoxie dès le 2</w:t>
            </w:r>
            <w:r w:rsidRPr="00071EA0">
              <w:rPr>
                <w:vertAlign w:val="superscript"/>
              </w:rPr>
              <w:t>e</w:t>
            </w:r>
            <w:r>
              <w:t xml:space="preserve"> mois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820"/>
        </w:trPr>
        <w:tc>
          <w:tcPr>
            <w:tcW w:w="5467" w:type="dxa"/>
          </w:tcPr>
          <w:p w:rsidR="00524CB0" w:rsidRDefault="00524CB0" w:rsidP="00A360F1">
            <w:r>
              <w:t xml:space="preserve">Les signes clinique </w:t>
            </w:r>
            <w:proofErr w:type="gramStart"/>
            <w:r>
              <w:t>de la</w:t>
            </w:r>
            <w:proofErr w:type="gramEnd"/>
            <w:r>
              <w:t xml:space="preserve"> pré éclampsie sont dû à une inflammation généralisé de l’endothélium et une atteinte </w:t>
            </w:r>
            <w:proofErr w:type="spellStart"/>
            <w:r>
              <w:t>mutliviscérale</w:t>
            </w:r>
            <w:proofErr w:type="spellEnd"/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Une HRP est un accident obstétrical ne mettant pas en jeu le pronostic fœtal et maternel  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Le HRP est souvent la conséquence d’une complication d’une toxémie gravidique sévère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269"/>
        </w:trPr>
        <w:tc>
          <w:tcPr>
            <w:tcW w:w="5467" w:type="dxa"/>
          </w:tcPr>
          <w:p w:rsidR="00524CB0" w:rsidRDefault="00524CB0" w:rsidP="00A360F1">
            <w:r>
              <w:t>Le risque de l’HRP est un décollement du cordon ombilical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 xml:space="preserve">L’HRP n’entraine jamais une interruption des échanges </w:t>
            </w:r>
            <w:proofErr w:type="spellStart"/>
            <w:r>
              <w:t>foeto</w:t>
            </w:r>
            <w:proofErr w:type="spellEnd"/>
            <w:r>
              <w:t xml:space="preserve"> placentaires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39"/>
        </w:trPr>
        <w:tc>
          <w:tcPr>
            <w:tcW w:w="5467" w:type="dxa"/>
          </w:tcPr>
          <w:p w:rsidR="00524CB0" w:rsidRDefault="00524CB0" w:rsidP="00A360F1">
            <w:r>
              <w:t>L’HTA gravidique, le tabagisme, les dépassements de termes sont des facteurs de risque d’HRP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550"/>
        </w:trPr>
        <w:tc>
          <w:tcPr>
            <w:tcW w:w="5467" w:type="dxa"/>
          </w:tcPr>
          <w:p w:rsidR="00524CB0" w:rsidRDefault="00524CB0" w:rsidP="00A360F1">
            <w:r>
              <w:t>La multiparité, les carences nutritionnelles, les anomalies funiculaires sont des facteurs de risque de l’HRP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269"/>
        </w:trPr>
        <w:tc>
          <w:tcPr>
            <w:tcW w:w="5467" w:type="dxa"/>
          </w:tcPr>
          <w:p w:rsidR="00524CB0" w:rsidRDefault="00524CB0" w:rsidP="00A360F1">
            <w:r>
              <w:t>La lésion de base de l’HRP est l’hématome décidual basal</w:t>
            </w:r>
          </w:p>
        </w:tc>
        <w:tc>
          <w:tcPr>
            <w:tcW w:w="3699" w:type="dxa"/>
          </w:tcPr>
          <w:p w:rsidR="00524CB0" w:rsidRDefault="00524CB0" w:rsidP="00A360F1"/>
        </w:tc>
      </w:tr>
      <w:tr w:rsidR="00524CB0" w:rsidTr="00A360F1">
        <w:trPr>
          <w:trHeight w:val="832"/>
        </w:trPr>
        <w:tc>
          <w:tcPr>
            <w:tcW w:w="5467" w:type="dxa"/>
          </w:tcPr>
          <w:p w:rsidR="00524CB0" w:rsidRDefault="00524CB0" w:rsidP="00A360F1">
            <w:r>
              <w:t xml:space="preserve">On peut observer une apoplexie utéro placentaire dans un HRP si l’utérus est bleu, </w:t>
            </w:r>
            <w:proofErr w:type="spellStart"/>
            <w:r>
              <w:t>échymotique</w:t>
            </w:r>
            <w:proofErr w:type="spellEnd"/>
            <w:r>
              <w:t xml:space="preserve"> étendu aux annexes et au péritoine</w:t>
            </w:r>
          </w:p>
        </w:tc>
        <w:tc>
          <w:tcPr>
            <w:tcW w:w="3699" w:type="dxa"/>
          </w:tcPr>
          <w:p w:rsidR="00524CB0" w:rsidRDefault="00524CB0" w:rsidP="00A360F1"/>
        </w:tc>
      </w:tr>
    </w:tbl>
    <w:p w:rsidR="00524CB0" w:rsidRDefault="00524CB0" w:rsidP="00524CB0"/>
    <w:tbl>
      <w:tblPr>
        <w:tblStyle w:val="Grilledutableau"/>
        <w:tblW w:w="0" w:type="auto"/>
        <w:tblLook w:val="04A0"/>
      </w:tblPr>
      <w:tblGrid>
        <w:gridCol w:w="5495"/>
        <w:gridCol w:w="3717"/>
      </w:tblGrid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Dans l’HRP, en périphérie du caillot on peut voir un infiltrat leucocytaire et une réaction </w:t>
            </w:r>
            <w:proofErr w:type="spellStart"/>
            <w:r>
              <w:t>macrophagienne</w:t>
            </w:r>
            <w:proofErr w:type="spellEnd"/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Dans 70 à 80% des HRP, l’ouverture de l’hématome dans la chambre </w:t>
            </w:r>
            <w:proofErr w:type="spellStart"/>
            <w:r>
              <w:t>intervilleuse</w:t>
            </w:r>
            <w:proofErr w:type="spellEnd"/>
            <w:r>
              <w:t xml:space="preserve"> entraine une défibrination locale + ou - intense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Dans l’HRP le pronostic fœtal est rarement mis en cause tandis que celui de la mère l’est (30 à 50% de mortalité)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Un placenta est dit praevia lorsqu’il s’insert en totalité ou en partie sur le fond utérin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 risque du placenta praevia lors des contractions utérines est un décollement partiel entrainant une hémorragie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 diagnostique du placenta praevia se fait le plus souvent devant une clinique évidente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 diagnostique peut être fait en post partum lors de l’étude du placenta devant un petit coté des membranes inférieur à 3,5cm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La fréquence du p praevia augmente avec la multiparité, un utérus cicatriciel, une grossesse gémellaire, l’obésité 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 placenta praevia peut être du à une implantation primitive au niveau du segment inférieur ou secondaire par extension progressive vers le segment inférieur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Les 3 risques principaux du p praevia sont la prématurité, l’hypoxie, et le traumatisme obstétrical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En cas de placenta praevia central (placenta inséré sur le col) une hémorragie peut être provoquée par un rapport sexuel voire par des touchers vaginaux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La prise en charge du placenta praevia nécessite une maternité de niveau 3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Le placenta a le même caryotype que le </w:t>
            </w:r>
            <w:proofErr w:type="spellStart"/>
            <w:r>
              <w:t>foetus</w:t>
            </w:r>
            <w:proofErr w:type="spellEnd"/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Dans la monosomie (45, X0) les villosités du placenta sont hypertrophiques et œdémateuses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Une monosomie 45</w:t>
            </w:r>
            <w:proofErr w:type="gramStart"/>
            <w:r>
              <w:t>,XO</w:t>
            </w:r>
            <w:proofErr w:type="gramEnd"/>
            <w:r>
              <w:t xml:space="preserve"> peut entrainer une fausse couche spontanée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Il existe des formes peu sévère de monosomie où le bébé survie : syndrome de Turner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Un bébé trisomique 18 présente une hypotrophie </w:t>
            </w:r>
            <w:proofErr w:type="spellStart"/>
            <w:r>
              <w:t>foetoplacentaire</w:t>
            </w:r>
            <w:proofErr w:type="spellEnd"/>
            <w:r>
              <w:t xml:space="preserve"> avec souvent 2 veines ombilicales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Les triploïdies ou môles partielles sont des accidents fréquents qui peuvent évoluer jusqu’au 1</w:t>
            </w:r>
            <w:r w:rsidRPr="00941BF8">
              <w:rPr>
                <w:vertAlign w:val="superscript"/>
              </w:rPr>
              <w:t>er</w:t>
            </w:r>
            <w:r>
              <w:t xml:space="preserve"> trimestre inclus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Concernant les môles partielles, le placenta est de type tempête de neige à l’écho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Devant une môle incomplète, il faut procéder à un curetage, surveiller les béta-</w:t>
            </w:r>
            <w:proofErr w:type="spellStart"/>
            <w:r>
              <w:t>hCG</w:t>
            </w:r>
            <w:proofErr w:type="spellEnd"/>
            <w:r>
              <w:t xml:space="preserve"> et parfois faire une chimiothérapie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La môle </w:t>
            </w:r>
            <w:proofErr w:type="spellStart"/>
            <w:r>
              <w:t>hydatiforme</w:t>
            </w:r>
            <w:proofErr w:type="spellEnd"/>
            <w:r>
              <w:t xml:space="preserve"> (incomplète), présente des villosités dentelées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La môle </w:t>
            </w:r>
            <w:proofErr w:type="spellStart"/>
            <w:r>
              <w:t>hydatiforme</w:t>
            </w:r>
            <w:proofErr w:type="spellEnd"/>
            <w:r>
              <w:t xml:space="preserve"> peut se compliquer en môle invasive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Dans un placenta, des vésicules en aspect « grappe de </w:t>
            </w:r>
            <w:r>
              <w:lastRenderedPageBreak/>
              <w:t>raisin » sont caractéristiques d’une môle complète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lastRenderedPageBreak/>
              <w:t>La môle partielle résulte d’une fécondation d’un ovocyte sans noyau par 2 spermatozoïdes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Une môle complète est diagnostiquée tardivement devant des saignements vaginaux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Une môle partielle est diagnostiquée dès les premières semaines d’aménorrhées devant des signes échographiques évocateurs</w:t>
            </w:r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 xml:space="preserve">Le </w:t>
            </w:r>
            <w:proofErr w:type="spellStart"/>
            <w:r>
              <w:t>choriocarcinome</w:t>
            </w:r>
            <w:proofErr w:type="spellEnd"/>
            <w:r>
              <w:t xml:space="preserve"> est une tumeur hautement maligne qui entraine une augmentation du taux de </w:t>
            </w:r>
            <w:r>
              <w:rPr>
                <w:rFonts w:cstheme="minorHAnsi"/>
              </w:rPr>
              <w:t>β</w:t>
            </w:r>
            <w:r>
              <w:t>-</w:t>
            </w:r>
            <w:proofErr w:type="spellStart"/>
            <w:r>
              <w:t>hCG</w:t>
            </w:r>
            <w:proofErr w:type="spellEnd"/>
          </w:p>
        </w:tc>
        <w:tc>
          <w:tcPr>
            <w:tcW w:w="3717" w:type="dxa"/>
          </w:tcPr>
          <w:p w:rsidR="00524CB0" w:rsidRDefault="00524CB0" w:rsidP="00A360F1"/>
        </w:tc>
      </w:tr>
      <w:tr w:rsidR="00524CB0" w:rsidTr="00A360F1">
        <w:tc>
          <w:tcPr>
            <w:tcW w:w="5495" w:type="dxa"/>
          </w:tcPr>
          <w:p w:rsidR="00524CB0" w:rsidRDefault="00524CB0" w:rsidP="00A360F1">
            <w:r>
              <w:t>La mosaïque confinée au placenta est une discordance entre le caryotype maternel et placentaire</w:t>
            </w:r>
          </w:p>
        </w:tc>
        <w:tc>
          <w:tcPr>
            <w:tcW w:w="3717" w:type="dxa"/>
          </w:tcPr>
          <w:p w:rsidR="00524CB0" w:rsidRDefault="00524CB0" w:rsidP="00524CB0"/>
        </w:tc>
      </w:tr>
    </w:tbl>
    <w:p w:rsidR="00405327" w:rsidRDefault="00405327"/>
    <w:sectPr w:rsidR="00405327" w:rsidSect="00405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24CB0"/>
    <w:rsid w:val="00405327"/>
    <w:rsid w:val="0052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C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24C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</dc:creator>
  <cp:lastModifiedBy>Alexia</cp:lastModifiedBy>
  <cp:revision>1</cp:revision>
  <dcterms:created xsi:type="dcterms:W3CDTF">2012-04-21T12:43:00Z</dcterms:created>
  <dcterms:modified xsi:type="dcterms:W3CDTF">2012-04-21T12:47:00Z</dcterms:modified>
</cp:coreProperties>
</file>