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142" w:firstLine="0"/>
        <w:rPr>
          <w:b w:val="1"/>
          <w:sz w:val="40"/>
          <w:szCs w:val="40"/>
        </w:rPr>
      </w:pPr>
      <w:r w:rsidDel="00000000" w:rsidR="00000000" w:rsidRPr="00000000">
        <w:rPr/>
        <w:drawing>
          <wp:anchor allowOverlap="1" behindDoc="0" distB="0" distT="0" distL="114300" distR="114300" hidden="0" layoutInCell="1" locked="0" relativeHeight="0" simplePos="0">
            <wp:simplePos x="0" y="0"/>
            <wp:positionH relativeFrom="margin">
              <wp:posOffset>5968365</wp:posOffset>
            </wp:positionH>
            <wp:positionV relativeFrom="margin">
              <wp:posOffset>-90165</wp:posOffset>
            </wp:positionV>
            <wp:extent cx="792480" cy="810895"/>
            <wp:effectExtent b="0" l="0" r="0" t="0"/>
            <wp:wrapSquare wrapText="bothSides" distB="0" distT="0" distL="114300" distR="114300"/>
            <wp:docPr id="10" name="image1.png"/>
            <a:graphic>
              <a:graphicData uri="http://schemas.openxmlformats.org/drawingml/2006/picture">
                <pic:pic>
                  <pic:nvPicPr>
                    <pic:cNvPr id="0" name="image1.png"/>
                    <pic:cNvPicPr preferRelativeResize="0"/>
                  </pic:nvPicPr>
                  <pic:blipFill>
                    <a:blip r:embed="rId7"/>
                    <a:srcRect b="0" l="0" r="-62" t="0"/>
                    <a:stretch>
                      <a:fillRect/>
                    </a:stretch>
                  </pic:blipFill>
                  <pic:spPr>
                    <a:xfrm>
                      <a:off x="0" y="0"/>
                      <a:ext cx="792480" cy="810895"/>
                    </a:xfrm>
                    <a:prstGeom prst="rect"/>
                    <a:ln/>
                  </pic:spPr>
                </pic:pic>
              </a:graphicData>
            </a:graphic>
          </wp:anchor>
        </w:drawing>
      </w:r>
      <w:r w:rsidDel="00000000" w:rsidR="00000000" w:rsidRPr="00000000">
        <w:rPr>
          <w:b w:val="1"/>
          <w:i w:val="1"/>
          <w:sz w:val="40"/>
          <w:szCs w:val="40"/>
          <w:rtl w:val="0"/>
        </w:rPr>
        <w:t xml:space="preserve">DM Pré EB n°2</w:t>
      </w:r>
      <w:r w:rsidDel="00000000" w:rsidR="00000000" w:rsidRPr="00000000">
        <w:rPr>
          <w:b w:val="1"/>
          <w:i w:val="1"/>
          <w:sz w:val="40"/>
          <w:szCs w:val="40"/>
          <w:rtl w:val="0"/>
        </w:rPr>
        <w:t xml:space="preserve"> </w:t>
      </w:r>
      <w:r w:rsidDel="00000000" w:rsidR="00000000" w:rsidRPr="00000000">
        <w:rPr>
          <w:b w:val="1"/>
          <w:sz w:val="40"/>
          <w:szCs w:val="40"/>
          <w:rtl w:val="0"/>
        </w:rPr>
        <w:t xml:space="preserve">: </w:t>
      </w:r>
      <w:r w:rsidDel="00000000" w:rsidR="00000000" w:rsidRPr="00000000">
        <w:rPr>
          <w:sz w:val="40"/>
          <w:szCs w:val="40"/>
          <w:rtl w:val="0"/>
        </w:rPr>
        <w:t xml:space="preserve">Épreuve</w:t>
      </w:r>
      <w:r w:rsidDel="00000000" w:rsidR="00000000" w:rsidRPr="00000000">
        <w:rPr>
          <w:b w:val="1"/>
          <w:sz w:val="40"/>
          <w:szCs w:val="40"/>
          <w:rtl w:val="0"/>
        </w:rPr>
        <w:t xml:space="preserve"> ECUE 1 - – Biologie cellulaire, biologie moléculaire, génétique, biologie de la reproduction </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-76198</wp:posOffset>
                </wp:positionH>
                <wp:positionV relativeFrom="paragraph">
                  <wp:posOffset>-114298</wp:posOffset>
                </wp:positionV>
                <wp:extent cx="6915150" cy="1559243"/>
                <wp:effectExtent b="0" l="0" r="0" t="0"/>
                <wp:wrapNone/>
                <wp:docPr id="9" name=""/>
                <a:graphic>
                  <a:graphicData uri="http://schemas.microsoft.com/office/word/2010/wordprocessingShape">
                    <wps:wsp>
                      <wps:cNvSpPr/>
                      <wps:cNvPr id="2" name="Shape 2"/>
                      <wps:spPr>
                        <a:xfrm>
                          <a:off x="1938908" y="3373600"/>
                          <a:ext cx="6814185" cy="812800"/>
                        </a:xfrm>
                        <a:prstGeom prst="rect">
                          <a:avLst/>
                        </a:prstGeom>
                        <a:noFill/>
                        <a:ln cap="flat" cmpd="sng" w="25400">
                          <a:solidFill>
                            <a:srgbClr val="A6A6A6"/>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-76198</wp:posOffset>
                </wp:positionH>
                <wp:positionV relativeFrom="paragraph">
                  <wp:posOffset>-114298</wp:posOffset>
                </wp:positionV>
                <wp:extent cx="6915150" cy="1559243"/>
                <wp:effectExtent b="0" l="0" r="0" t="0"/>
                <wp:wrapNone/>
                <wp:docPr id="9"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915150" cy="1559243"/>
                        </a:xfrm>
                        <a:prstGeom prst="rect"/>
                        <a:ln/>
                      </pic:spPr>
                    </pic:pic>
                  </a:graphicData>
                </a:graphic>
              </wp:anchor>
            </w:drawing>
          </mc:Fallback>
        </mc:AlternateContent>
      </w:r>
    </w:p>
    <w:p w:rsidR="00000000" w:rsidDel="00000000" w:rsidP="00000000" w:rsidRDefault="00000000" w:rsidRPr="00000000" w14:paraId="00000002">
      <w:pPr>
        <w:spacing w:after="0" w:line="240" w:lineRule="auto"/>
        <w:ind w:left="0" w:firstLine="0"/>
        <w:rPr>
          <w:sz w:val="28"/>
          <w:szCs w:val="28"/>
        </w:rPr>
      </w:pPr>
      <w:r w:rsidDel="00000000" w:rsidR="00000000" w:rsidRPr="00000000">
        <w:rPr>
          <w:b w:val="1"/>
          <w:sz w:val="40"/>
          <w:szCs w:val="40"/>
          <w:rtl w:val="0"/>
        </w:rPr>
        <w:t xml:space="preserve"> </w:t>
      </w:r>
      <w:r w:rsidDel="00000000" w:rsidR="00000000" w:rsidRPr="00000000">
        <w:rPr>
          <w:sz w:val="36"/>
          <w:szCs w:val="36"/>
          <w:rtl w:val="0"/>
        </w:rPr>
        <w:t xml:space="preserve">Tutorat 2025-2026 :</w:t>
      </w:r>
      <w:r w:rsidDel="00000000" w:rsidR="00000000" w:rsidRPr="00000000">
        <w:rPr>
          <w:b w:val="1"/>
          <w:sz w:val="20"/>
          <w:szCs w:val="20"/>
          <w:rtl w:val="0"/>
        </w:rPr>
        <w:t xml:space="preserve"> </w:t>
      </w:r>
      <w:r w:rsidDel="00000000" w:rsidR="00000000" w:rsidRPr="00000000">
        <w:rPr>
          <w:b w:val="1"/>
          <w:sz w:val="28"/>
          <w:szCs w:val="28"/>
          <w:rtl w:val="0"/>
        </w:rPr>
        <w:t xml:space="preserve">60</w:t>
      </w:r>
      <w:r w:rsidDel="00000000" w:rsidR="00000000" w:rsidRPr="00000000">
        <w:rPr>
          <w:b w:val="1"/>
          <w:color w:val="ff0000"/>
          <w:sz w:val="28"/>
          <w:szCs w:val="28"/>
          <w:rtl w:val="0"/>
        </w:rPr>
        <w:t xml:space="preserve"> </w:t>
      </w:r>
      <w:r w:rsidDel="00000000" w:rsidR="00000000" w:rsidRPr="00000000">
        <w:rPr>
          <w:b w:val="1"/>
          <w:sz w:val="28"/>
          <w:szCs w:val="28"/>
          <w:rtl w:val="0"/>
        </w:rPr>
        <w:t xml:space="preserve">QCMS – Durée : 60 min – Code épreuve : 1001</w:t>
      </w: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1020"/>
        </w:tabs>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5">
      <w:pPr>
        <w:spacing w:after="120" w:line="276"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w:t>
      </w:r>
      <w:r w:rsidDel="00000000" w:rsidR="00000000" w:rsidRPr="00000000">
        <w:rPr>
          <w:rFonts w:ascii="Arial" w:cs="Arial" w:eastAsia="Arial" w:hAnsi="Arial"/>
          <w:b w:val="1"/>
          <w:sz w:val="20"/>
          <w:szCs w:val="20"/>
          <w:rtl w:val="0"/>
        </w:rPr>
        <w:t xml:space="preserve"> : À propos du cycle cellulaire, indiquez la (les) proposition(s) exacte(s) :</w:t>
      </w:r>
    </w:p>
    <w:p w:rsidR="00000000" w:rsidDel="00000000" w:rsidP="00000000" w:rsidRDefault="00000000" w:rsidRPr="00000000" w14:paraId="00000006">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Suite à une irradiation, une cellule mutée du gène RAD9 finira par mourir par excès de dommages  </w:t>
      </w:r>
    </w:p>
    <w:p w:rsidR="00000000" w:rsidDel="00000000" w:rsidP="00000000" w:rsidRDefault="00000000" w:rsidRPr="00000000" w14:paraId="00000007">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mécanismes liés aux checkpoints sont universels, quel que soit le type de dommage ou de transition </w:t>
      </w:r>
    </w:p>
    <w:p w:rsidR="00000000" w:rsidDel="00000000" w:rsidP="00000000" w:rsidRDefault="00000000" w:rsidRPr="00000000" w14:paraId="00000008">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transition G1/S est dépendante de l’hyperphosphorylation de pRb réalisée successivement par le couple </w:t>
      </w:r>
    </w:p>
    <w:p w:rsidR="00000000" w:rsidDel="00000000" w:rsidP="00000000" w:rsidRDefault="00000000" w:rsidRPr="00000000" w14:paraId="00000009">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cycline D/CDK-2 puis par le couple cycline E/CDK-4 </w:t>
      </w:r>
    </w:p>
    <w:p w:rsidR="00000000" w:rsidDel="00000000" w:rsidP="00000000" w:rsidRDefault="00000000" w:rsidRPr="00000000" w14:paraId="0000000A">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voie d’activation par modification post-traductionnelle de p53 est permise grâce à sa phosphorylation par deux couples de kinases effectrices </w:t>
      </w:r>
    </w:p>
    <w:p w:rsidR="00000000" w:rsidDel="00000000" w:rsidP="00000000" w:rsidRDefault="00000000" w:rsidRPr="00000000" w14:paraId="0000000B">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0C">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0D">
      <w:pPr>
        <w:spacing w:after="120" w:line="276"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w:t>
      </w:r>
      <w:r w:rsidDel="00000000" w:rsidR="00000000" w:rsidRPr="00000000">
        <w:rPr>
          <w:rFonts w:ascii="Arial" w:cs="Arial" w:eastAsia="Arial" w:hAnsi="Arial"/>
          <w:b w:val="1"/>
          <w:sz w:val="20"/>
          <w:szCs w:val="20"/>
          <w:rtl w:val="0"/>
        </w:rPr>
        <w:t xml:space="preserve"> : À propos du cycle cellulaire, indiquez la (les) proposition(s) exacte(s) :</w:t>
      </w:r>
    </w:p>
    <w:p w:rsidR="00000000" w:rsidDel="00000000" w:rsidP="00000000" w:rsidRDefault="00000000" w:rsidRPr="00000000" w14:paraId="0000000E">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progression du cancer est favorisée par une sur-activation de la protéine rétinoblastome </w:t>
      </w:r>
    </w:p>
    <w:p w:rsidR="00000000" w:rsidDel="00000000" w:rsidP="00000000" w:rsidRDefault="00000000" w:rsidRPr="00000000" w14:paraId="0000000F">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cellules eucaryotes humaines utilisent toujours la même origine de réplication </w:t>
      </w:r>
    </w:p>
    <w:p w:rsidR="00000000" w:rsidDel="00000000" w:rsidP="00000000" w:rsidRDefault="00000000" w:rsidRPr="00000000" w14:paraId="00000010">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Il est possible de cartographier les séquences consensus de nos cellules eucaryotes </w:t>
      </w:r>
    </w:p>
    <w:p w:rsidR="00000000" w:rsidDel="00000000" w:rsidP="00000000" w:rsidRDefault="00000000" w:rsidRPr="00000000" w14:paraId="00000011">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Un excès de géminine est en faveur de la multiplication cancéreuse </w:t>
      </w:r>
    </w:p>
    <w:p w:rsidR="00000000" w:rsidDel="00000000" w:rsidP="00000000" w:rsidRDefault="00000000" w:rsidRPr="00000000" w14:paraId="00000012">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13">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14">
      <w:pPr>
        <w:spacing w:after="120" w:line="276"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w:t>
      </w:r>
      <w:r w:rsidDel="00000000" w:rsidR="00000000" w:rsidRPr="00000000">
        <w:rPr>
          <w:rFonts w:ascii="Arial" w:cs="Arial" w:eastAsia="Arial" w:hAnsi="Arial"/>
          <w:b w:val="1"/>
          <w:sz w:val="20"/>
          <w:szCs w:val="20"/>
          <w:rtl w:val="0"/>
        </w:rPr>
        <w:t xml:space="preserve"> : À propos de l’observation microscopique ci-dessous, indiquez la (les) proposition(s) exacte(s) :</w:t>
      </w:r>
    </w:p>
    <w:p w:rsidR="00000000" w:rsidDel="00000000" w:rsidP="00000000" w:rsidRDefault="00000000" w:rsidRPr="00000000" w14:paraId="00000015">
      <w:pPr>
        <w:spacing w:after="0"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1681008" cy="1833013"/>
            <wp:effectExtent b="0" l="0" r="0" t="0"/>
            <wp:docPr id="1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681008" cy="1833013"/>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Les cellules de l’image 1 et 2 ont été observées par un microscope électronique à transmission </w:t>
      </w:r>
    </w:p>
    <w:p w:rsidR="00000000" w:rsidDel="00000000" w:rsidP="00000000" w:rsidRDefault="00000000" w:rsidRPr="00000000" w14:paraId="00000017">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Si la cellule de l’image 1 reçoit des signaux extérieurs pour la faire mourir, les récepteurs intervenant sont ceux appartenant à la super-famille TNF (Fas/CD95) </w:t>
      </w:r>
    </w:p>
    <w:p w:rsidR="00000000" w:rsidDel="00000000" w:rsidP="00000000" w:rsidRDefault="00000000" w:rsidRPr="00000000" w14:paraId="00000018">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cellule de l’image 3 peut naturellement fixer de l’iodure de propidium </w:t>
      </w:r>
    </w:p>
    <w:p w:rsidR="00000000" w:rsidDel="00000000" w:rsidP="00000000" w:rsidRDefault="00000000" w:rsidRPr="00000000" w14:paraId="00000019">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cellule de l’image 4 est en train de mourir par le biais de mécanismes ATP-indépendants </w:t>
      </w:r>
    </w:p>
    <w:p w:rsidR="00000000" w:rsidDel="00000000" w:rsidP="00000000" w:rsidRDefault="00000000" w:rsidRPr="00000000" w14:paraId="0000001A">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1B">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1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w:t>
      </w:r>
      <w:r w:rsidDel="00000000" w:rsidR="00000000" w:rsidRPr="00000000">
        <w:rPr>
          <w:rFonts w:ascii="Arial" w:cs="Arial" w:eastAsia="Arial" w:hAnsi="Arial"/>
          <w:b w:val="1"/>
          <w:sz w:val="20"/>
          <w:szCs w:val="20"/>
          <w:rtl w:val="0"/>
        </w:rPr>
        <w:t xml:space="preserve"> : À propos de la mitose, indiquez la (les) proposition(s) exacte(s) : </w:t>
      </w:r>
    </w:p>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En prométaphase, le complexe cohésine est persistant au niveau de la constriction primaire </w:t>
      </w:r>
    </w:p>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Il y a une coordination entre la mise en place du fuseau mitotique et la rupture de la membrane nucléaire </w:t>
      </w:r>
    </w:p>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chromosomes qui sont tractés aux pôles cellulaires sont des chromosomes à deux chromatides </w:t>
      </w:r>
    </w:p>
    <w:p w:rsidR="00000000" w:rsidDel="00000000" w:rsidP="00000000" w:rsidRDefault="00000000" w:rsidRPr="00000000" w14:paraId="0000002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Si la cellule rencontre un problème d’attachement de chromosomes à la plaque équatoriale, elle restera bloquée en anaphase </w:t>
      </w:r>
    </w:p>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w:t>
      </w:r>
      <w:r w:rsidDel="00000000" w:rsidR="00000000" w:rsidRPr="00000000">
        <w:rPr>
          <w:rFonts w:ascii="Arial" w:cs="Arial" w:eastAsia="Arial" w:hAnsi="Arial"/>
          <w:b w:val="1"/>
          <w:sz w:val="20"/>
          <w:szCs w:val="20"/>
          <w:rtl w:val="0"/>
        </w:rPr>
        <w:t xml:space="preserve"> : À propos de la mitose, indiquez la (les) proposition(s) exacte(s) :</w:t>
      </w:r>
    </w:p>
    <w:p w:rsidR="00000000" w:rsidDel="00000000" w:rsidP="00000000" w:rsidRDefault="00000000" w:rsidRPr="00000000" w14:paraId="0000002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Lors de la prométaphase, les chromosomes peuvent être attachés de manière unipolaire ou bipolaire </w:t>
      </w:r>
    </w:p>
    <w:p w:rsidR="00000000" w:rsidDel="00000000" w:rsidP="00000000" w:rsidRDefault="00000000" w:rsidRPr="00000000" w14:paraId="0000002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complexe APC-CDC20 phosphorylé entraîne la destruction de la sécurine </w:t>
      </w:r>
    </w:p>
    <w:p w:rsidR="00000000" w:rsidDel="00000000" w:rsidP="00000000" w:rsidRDefault="00000000" w:rsidRPr="00000000" w14:paraId="0000002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Lors de la télophase, la membrane nucléaire commence à se réformer </w:t>
      </w:r>
    </w:p>
    <w:p w:rsidR="00000000" w:rsidDel="00000000" w:rsidP="00000000" w:rsidRDefault="00000000" w:rsidRPr="00000000" w14:paraId="0000002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L’aspect condensé des chromosomes métaphasiques est dû à l’action des cohésines et condensines </w:t>
      </w:r>
    </w:p>
    <w:p w:rsidR="00000000" w:rsidDel="00000000" w:rsidP="00000000" w:rsidRDefault="00000000" w:rsidRPr="00000000" w14:paraId="0000002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2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6</w:t>
      </w:r>
      <w:r w:rsidDel="00000000" w:rsidR="00000000" w:rsidRPr="00000000">
        <w:rPr>
          <w:rFonts w:ascii="Arial" w:cs="Arial" w:eastAsia="Arial" w:hAnsi="Arial"/>
          <w:b w:val="1"/>
          <w:sz w:val="20"/>
          <w:szCs w:val="20"/>
          <w:rtl w:val="0"/>
        </w:rPr>
        <w:t xml:space="preserve"> : À propos des microfilaments, indiquez la (les) proposition(s) exacte(s) : </w:t>
      </w:r>
    </w:p>
    <w:p w:rsidR="00000000" w:rsidDel="00000000" w:rsidP="00000000" w:rsidRDefault="00000000" w:rsidRPr="00000000" w14:paraId="0000002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filament d’actine est statique dans le cytosol </w:t>
      </w:r>
    </w:p>
    <w:p w:rsidR="00000000" w:rsidDel="00000000" w:rsidP="00000000" w:rsidRDefault="00000000" w:rsidRPr="00000000" w14:paraId="0000002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Ces filaments sont polarisés du fait de la présence d’un pôle “+” où la polymérisation est plus rapide et d’un pôle “-” où la dépolymérisation est plus rapide </w:t>
      </w:r>
    </w:p>
    <w:p w:rsidR="00000000" w:rsidDel="00000000" w:rsidP="00000000" w:rsidRDefault="00000000" w:rsidRPr="00000000" w14:paraId="0000002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dépolymérisation fait en sorte que l’actine G se transforme en actine F</w:t>
      </w:r>
    </w:p>
    <w:p w:rsidR="00000000" w:rsidDel="00000000" w:rsidP="00000000" w:rsidRDefault="00000000" w:rsidRPr="00000000" w14:paraId="0000002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Même si la polymérisation de l’actine est dite « spontanée », elle nécessite quand même de l’ATP</w:t>
      </w:r>
    </w:p>
    <w:p w:rsidR="00000000" w:rsidDel="00000000" w:rsidP="00000000" w:rsidRDefault="00000000" w:rsidRPr="00000000" w14:paraId="0000002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3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7</w:t>
      </w:r>
      <w:r w:rsidDel="00000000" w:rsidR="00000000" w:rsidRPr="00000000">
        <w:rPr>
          <w:rFonts w:ascii="Arial" w:cs="Arial" w:eastAsia="Arial" w:hAnsi="Arial"/>
          <w:b w:val="1"/>
          <w:sz w:val="20"/>
          <w:szCs w:val="20"/>
          <w:rtl w:val="0"/>
        </w:rPr>
        <w:t xml:space="preserve"> : À propos de la locomotion cellulaire, indiquez la (les) proposition(s) exacte(s) : </w:t>
      </w:r>
    </w:p>
    <w:p w:rsidR="00000000" w:rsidDel="00000000" w:rsidP="00000000" w:rsidRDefault="00000000" w:rsidRPr="00000000" w14:paraId="0000003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front de migration est permis par une intense activité de dépolymérisation</w:t>
      </w:r>
    </w:p>
    <w:p w:rsidR="00000000" w:rsidDel="00000000" w:rsidP="00000000" w:rsidRDefault="00000000" w:rsidRPr="00000000" w14:paraId="000000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myosines 1 poussent les molécules d’actine vers le front de migration </w:t>
      </w:r>
    </w:p>
    <w:p w:rsidR="00000000" w:rsidDel="00000000" w:rsidP="00000000" w:rsidRDefault="00000000" w:rsidRPr="00000000" w14:paraId="0000003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myosines 2 jouent le rôle de « mini-muscles » squelettique déplaçant la partie antérieure de la cellule </w:t>
      </w:r>
    </w:p>
    <w:p w:rsidR="00000000" w:rsidDel="00000000" w:rsidP="00000000" w:rsidRDefault="00000000" w:rsidRPr="00000000" w14:paraId="0000003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cellule va chercher à avoir des contacts avec le milieu extracellulaire : ce sont des adhésions focales </w:t>
      </w:r>
    </w:p>
    <w:p w:rsidR="00000000" w:rsidDel="00000000" w:rsidP="00000000" w:rsidRDefault="00000000" w:rsidRPr="00000000" w14:paraId="0000003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3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8</w:t>
      </w:r>
      <w:r w:rsidDel="00000000" w:rsidR="00000000" w:rsidRPr="00000000">
        <w:rPr>
          <w:rFonts w:ascii="Arial" w:cs="Arial" w:eastAsia="Arial" w:hAnsi="Arial"/>
          <w:b w:val="1"/>
          <w:sz w:val="20"/>
          <w:szCs w:val="20"/>
          <w:rtl w:val="0"/>
        </w:rPr>
        <w:t xml:space="preserve"> : À propos de la tubuline, indiquez la (les) proposition(s) exacte(s) : </w:t>
      </w:r>
    </w:p>
    <w:p w:rsidR="00000000" w:rsidDel="00000000" w:rsidP="00000000" w:rsidRDefault="00000000" w:rsidRPr="00000000" w14:paraId="0000003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L’assemblage d’un protofilament nécessite l’hydrolyse du GTP </w:t>
      </w:r>
    </w:p>
    <w:p w:rsidR="00000000" w:rsidDel="00000000" w:rsidP="00000000" w:rsidRDefault="00000000" w:rsidRPr="00000000" w14:paraId="0000003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microtubules sont formés à partir de monomères particuliers </w:t>
      </w:r>
    </w:p>
    <w:p w:rsidR="00000000" w:rsidDel="00000000" w:rsidP="00000000" w:rsidRDefault="00000000" w:rsidRPr="00000000" w14:paraId="0000003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pôle négatif du microtubule est sensible à la dépolymérisation </w:t>
      </w:r>
    </w:p>
    <w:p w:rsidR="00000000" w:rsidDel="00000000" w:rsidP="00000000" w:rsidRDefault="00000000" w:rsidRPr="00000000" w14:paraId="0000003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transition entre tubuline β-GTP et la tubuline β-GDP se fait vers l'extrémité “-“</w:t>
      </w:r>
    </w:p>
    <w:p w:rsidR="00000000" w:rsidDel="00000000" w:rsidP="00000000" w:rsidRDefault="00000000" w:rsidRPr="00000000" w14:paraId="0000003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3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9</w:t>
      </w:r>
      <w:r w:rsidDel="00000000" w:rsidR="00000000" w:rsidRPr="00000000">
        <w:rPr>
          <w:rFonts w:ascii="Arial" w:cs="Arial" w:eastAsia="Arial" w:hAnsi="Arial"/>
          <w:b w:val="1"/>
          <w:sz w:val="20"/>
          <w:szCs w:val="20"/>
          <w:rtl w:val="0"/>
        </w:rPr>
        <w:t xml:space="preserve"> : À propos des filaments intermédiaires, indiquez la (les) proposition(s) exacte(s) : </w:t>
      </w:r>
    </w:p>
    <w:p w:rsidR="00000000" w:rsidDel="00000000" w:rsidP="00000000" w:rsidRDefault="00000000" w:rsidRPr="00000000" w14:paraId="0000004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Suite à la formation complète du filament intermédiaire, on peut observer 32 monomères sur une coupe transversale</w:t>
      </w:r>
    </w:p>
    <w:p w:rsidR="00000000" w:rsidDel="00000000" w:rsidP="00000000" w:rsidRDefault="00000000" w:rsidRPr="00000000" w14:paraId="0000004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L’orientation des monomères des filaments intermédiaires est peu importante </w:t>
      </w:r>
    </w:p>
    <w:p w:rsidR="00000000" w:rsidDel="00000000" w:rsidP="00000000" w:rsidRDefault="00000000" w:rsidRPr="00000000" w14:paraId="0000004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monomère constitutif des filaments intermédiaires est une protéine globulaire </w:t>
      </w:r>
    </w:p>
    <w:p w:rsidR="00000000" w:rsidDel="00000000" w:rsidP="00000000" w:rsidRDefault="00000000" w:rsidRPr="00000000" w14:paraId="0000004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Ces monomères sont différents selon le filament intermédiaire </w:t>
      </w:r>
    </w:p>
    <w:p w:rsidR="00000000" w:rsidDel="00000000" w:rsidP="00000000" w:rsidRDefault="00000000" w:rsidRPr="00000000" w14:paraId="0000004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4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6">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10</w:t>
      </w:r>
      <w:r w:rsidDel="00000000" w:rsidR="00000000" w:rsidRPr="00000000">
        <w:rPr>
          <w:rFonts w:ascii="Arial" w:cs="Arial" w:eastAsia="Arial" w:hAnsi="Arial"/>
          <w:b w:val="1"/>
          <w:sz w:val="20"/>
          <w:szCs w:val="20"/>
          <w:rtl w:val="0"/>
        </w:rPr>
        <w:t xml:space="preserve"> : Concernant l’expression des gènes, indiquez la ou les proposition(s) exacte(s) : </w:t>
      </w:r>
    </w:p>
    <w:p w:rsidR="00000000" w:rsidDel="00000000" w:rsidP="00000000" w:rsidRDefault="00000000" w:rsidRPr="00000000" w14:paraId="0000004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Les gènes s‘expriment lorsque la chromatine est ouverte et les facteur de remodelage activés</w:t>
      </w:r>
    </w:p>
    <w:p w:rsidR="00000000" w:rsidDel="00000000" w:rsidP="00000000" w:rsidRDefault="00000000" w:rsidRPr="00000000" w14:paraId="0000004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séquence TATA box permet à l’ADNpolymérase de se fixer à l’ARN pour commencer la transcription</w:t>
      </w:r>
    </w:p>
    <w:p w:rsidR="00000000" w:rsidDel="00000000" w:rsidP="00000000" w:rsidRDefault="00000000" w:rsidRPr="00000000" w14:paraId="0000004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médiateur se fixe aux facteurs de transcription pour stabiliser le promoteur </w:t>
      </w:r>
    </w:p>
    <w:p w:rsidR="00000000" w:rsidDel="00000000" w:rsidP="00000000" w:rsidRDefault="00000000" w:rsidRPr="00000000" w14:paraId="0000004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éléments non régulateurs sont appelés insulateurs et permettent de bloquer l’action des enhancers/silencers</w:t>
      </w:r>
    </w:p>
    <w:p w:rsidR="00000000" w:rsidDel="00000000" w:rsidP="00000000" w:rsidRDefault="00000000" w:rsidRPr="00000000" w14:paraId="0000004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4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D">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11</w:t>
      </w:r>
      <w:r w:rsidDel="00000000" w:rsidR="00000000" w:rsidRPr="00000000">
        <w:rPr>
          <w:rFonts w:ascii="Arial" w:cs="Arial" w:eastAsia="Arial" w:hAnsi="Arial"/>
          <w:b w:val="1"/>
          <w:sz w:val="20"/>
          <w:szCs w:val="20"/>
          <w:rtl w:val="0"/>
        </w:rPr>
        <w:t xml:space="preserve"> : À propos de la structure de la chromatine, indiquez la ou les propositions exactes :</w:t>
      </w:r>
    </w:p>
    <w:p w:rsidR="00000000" w:rsidDel="00000000" w:rsidP="00000000" w:rsidRDefault="00000000" w:rsidRPr="00000000" w14:paraId="0000004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Il y a 3 protéines qui permettent l’organisation de l’expression des gènes, elles assurent d’écrire le code histone, de le lire et de l’effacer</w:t>
      </w:r>
    </w:p>
    <w:p w:rsidR="00000000" w:rsidDel="00000000" w:rsidP="00000000" w:rsidRDefault="00000000" w:rsidRPr="00000000" w14:paraId="0000004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L’histone H1 permet de faire la transition entre la fibre nucléosomale et le nucléosome</w:t>
      </w:r>
    </w:p>
    <w:p w:rsidR="00000000" w:rsidDel="00000000" w:rsidP="00000000" w:rsidRDefault="00000000" w:rsidRPr="00000000" w14:paraId="0000005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méthylation des lysines 9 induit une interaction avec les protéines à chromodomaines comme HP1</w:t>
      </w:r>
    </w:p>
    <w:p w:rsidR="00000000" w:rsidDel="00000000" w:rsidP="00000000" w:rsidRDefault="00000000" w:rsidRPr="00000000" w14:paraId="0000005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À l’état sauvage, En(var) permet la propagation de l’hétérochromatine renforçant la variégation </w:t>
      </w:r>
    </w:p>
    <w:p w:rsidR="00000000" w:rsidDel="00000000" w:rsidP="00000000" w:rsidRDefault="00000000" w:rsidRPr="00000000" w14:paraId="0000005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5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4">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12</w:t>
      </w:r>
      <w:r w:rsidDel="00000000" w:rsidR="00000000" w:rsidRPr="00000000">
        <w:rPr>
          <w:rFonts w:ascii="Arial" w:cs="Arial" w:eastAsia="Arial" w:hAnsi="Arial"/>
          <w:b w:val="1"/>
          <w:sz w:val="20"/>
          <w:szCs w:val="20"/>
          <w:rtl w:val="0"/>
        </w:rPr>
        <w:t xml:space="preserve"> : À propos de l’endocytose, indiquez la ou les proposition(s) exacte(s) : </w:t>
      </w:r>
    </w:p>
    <w:p w:rsidR="00000000" w:rsidDel="00000000" w:rsidP="00000000" w:rsidRDefault="00000000" w:rsidRPr="00000000" w14:paraId="0000005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clathrine est une protéine ayant des propriétés d’auto-assemblage mais ne permet pas la déformation de la membrane</w:t>
      </w:r>
    </w:p>
    <w:p w:rsidR="00000000" w:rsidDel="00000000" w:rsidP="00000000" w:rsidRDefault="00000000" w:rsidRPr="00000000" w14:paraId="0000005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cavéoline est une protéine qui a besoin d’être démantelée pour continuer son trajet grâce à HSP70</w:t>
      </w:r>
    </w:p>
    <w:p w:rsidR="00000000" w:rsidDel="00000000" w:rsidP="00000000" w:rsidRDefault="00000000" w:rsidRPr="00000000" w14:paraId="0000005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Il y a 3 types d’endocytose : l’absorption, la transcytose et le stockage</w:t>
      </w:r>
    </w:p>
    <w:p w:rsidR="00000000" w:rsidDel="00000000" w:rsidP="00000000" w:rsidRDefault="00000000" w:rsidRPr="00000000" w14:paraId="0000005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L’endocytose est une invagination de la membrane plasmique permettant la capture des constituants extracellulaires</w:t>
      </w:r>
    </w:p>
    <w:p w:rsidR="00000000" w:rsidDel="00000000" w:rsidP="00000000" w:rsidRDefault="00000000" w:rsidRPr="00000000" w14:paraId="0000005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et C sont fausses</w:t>
      </w:r>
    </w:p>
    <w:p w:rsidR="00000000" w:rsidDel="00000000" w:rsidP="00000000" w:rsidRDefault="00000000" w:rsidRPr="00000000" w14:paraId="0000005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B">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13</w:t>
      </w:r>
      <w:r w:rsidDel="00000000" w:rsidR="00000000" w:rsidRPr="00000000">
        <w:rPr>
          <w:rFonts w:ascii="Arial" w:cs="Arial" w:eastAsia="Arial" w:hAnsi="Arial"/>
          <w:b w:val="1"/>
          <w:sz w:val="20"/>
          <w:szCs w:val="20"/>
          <w:rtl w:val="0"/>
        </w:rPr>
        <w:t xml:space="preserve"> : À propos du système endomembranaire, indiquez la ou les proposition(s) exacte(s) :</w:t>
      </w:r>
    </w:p>
    <w:p w:rsidR="00000000" w:rsidDel="00000000" w:rsidP="00000000" w:rsidRDefault="00000000" w:rsidRPr="00000000" w14:paraId="0000005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Les mitochondries possèdent un génome mitochondrial dit extra-nucléaire codant pour très peu de protéines mitochondriales</w:t>
      </w:r>
    </w:p>
    <w:p w:rsidR="00000000" w:rsidDel="00000000" w:rsidP="00000000" w:rsidRDefault="00000000" w:rsidRPr="00000000" w14:paraId="0000005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lysosomes sont des compartiments de pH acide, de forme hétérogène et se forment par endocytose, phagocytose ou autophagie </w:t>
      </w:r>
    </w:p>
    <w:p w:rsidR="00000000" w:rsidDel="00000000" w:rsidP="00000000" w:rsidRDefault="00000000" w:rsidRPr="00000000" w14:paraId="0000005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peroxysomes, contrairement aux mitochondries ne possèdent pas de gènes et ne possèdent qu’une seule membrane </w:t>
      </w:r>
    </w:p>
    <w:p w:rsidR="00000000" w:rsidDel="00000000" w:rsidP="00000000" w:rsidRDefault="00000000" w:rsidRPr="00000000" w14:paraId="0000005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modifications retrouvées dans l’appareil de Golgi sont O-glycosylations, modifications des chaînes oligosaccharidiques (liste non exhaustive)</w:t>
      </w:r>
    </w:p>
    <w:p w:rsidR="00000000" w:rsidDel="00000000" w:rsidP="00000000" w:rsidRDefault="00000000" w:rsidRPr="00000000" w14:paraId="0000006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6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14</w:t>
      </w:r>
      <w:r w:rsidDel="00000000" w:rsidR="00000000" w:rsidRPr="00000000">
        <w:rPr>
          <w:rFonts w:ascii="Arial" w:cs="Arial" w:eastAsia="Arial" w:hAnsi="Arial"/>
          <w:b w:val="1"/>
          <w:sz w:val="20"/>
          <w:szCs w:val="20"/>
          <w:rtl w:val="0"/>
        </w:rPr>
        <w:t xml:space="preserve"> : À propos de la composition des lipides, indiquez la ou les proposition(s) exacte(s) : </w:t>
      </w:r>
    </w:p>
    <w:p w:rsidR="00000000" w:rsidDel="00000000" w:rsidP="00000000" w:rsidRDefault="00000000" w:rsidRPr="00000000" w14:paraId="0000006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98% de la membrane plasmique est composé de lipides ce qui représente environ 50% de son poids</w:t>
      </w:r>
    </w:p>
    <w:p w:rsidR="00000000" w:rsidDel="00000000" w:rsidP="00000000" w:rsidRDefault="00000000" w:rsidRPr="00000000" w14:paraId="0000006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50% de la membrane plasmique est composée de protéines représentant 70% de son poids</w:t>
      </w:r>
    </w:p>
    <w:p w:rsidR="00000000" w:rsidDel="00000000" w:rsidP="00000000" w:rsidRDefault="00000000" w:rsidRPr="00000000" w14:paraId="0000006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Il existe 3 grands types de lipides amphiphathiques : les phospholipides, les glycolipides et le cholestérol</w:t>
      </w:r>
    </w:p>
    <w:p w:rsidR="00000000" w:rsidDel="00000000" w:rsidP="00000000" w:rsidRDefault="00000000" w:rsidRPr="00000000" w14:paraId="0000006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glycosyl-phosphatidyl-inositols sont ancré dans la membrane plasmique grâce à deux acides gras</w:t>
      </w:r>
    </w:p>
    <w:p w:rsidR="00000000" w:rsidDel="00000000" w:rsidP="00000000" w:rsidRDefault="00000000" w:rsidRPr="00000000" w14:paraId="0000006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6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15</w:t>
      </w:r>
      <w:r w:rsidDel="00000000" w:rsidR="00000000" w:rsidRPr="00000000">
        <w:rPr>
          <w:rFonts w:ascii="Arial" w:cs="Arial" w:eastAsia="Arial" w:hAnsi="Arial"/>
          <w:b w:val="1"/>
          <w:sz w:val="20"/>
          <w:szCs w:val="20"/>
          <w:rtl w:val="0"/>
        </w:rPr>
        <w:t xml:space="preserve"> : À propos de la composition des protéines, indiquez la ou les proposition(s) exacte(s) : </w:t>
      </w:r>
    </w:p>
    <w:p w:rsidR="00000000" w:rsidDel="00000000" w:rsidP="00000000" w:rsidRDefault="00000000" w:rsidRPr="00000000" w14:paraId="0000006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On retrouve 2 types de protéines associées à la membrane plasmique : les protéines transmembranaires et ancrées à un lipide </w:t>
      </w:r>
    </w:p>
    <w:p w:rsidR="00000000" w:rsidDel="00000000" w:rsidP="00000000" w:rsidRDefault="00000000" w:rsidRPr="00000000" w14:paraId="0000006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protéines single path possèdent 2 pôles hydrophiles et une hélice alpha hydrophobe et souvent utilisées comme récepteurs membranaires</w:t>
      </w:r>
    </w:p>
    <w:p w:rsidR="00000000" w:rsidDel="00000000" w:rsidP="00000000" w:rsidRDefault="00000000" w:rsidRPr="00000000" w14:paraId="0000006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palmitoylation s’effectue en même temps que la traduction, on parle de fixation co-traductionnelle</w:t>
      </w:r>
    </w:p>
    <w:p w:rsidR="00000000" w:rsidDel="00000000" w:rsidP="00000000" w:rsidRDefault="00000000" w:rsidRPr="00000000" w14:paraId="0000006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molécule d’adhésion CAM permet une interaction entre deux protéines de deux cellules différentes </w:t>
      </w:r>
    </w:p>
    <w:p w:rsidR="00000000" w:rsidDel="00000000" w:rsidP="00000000" w:rsidRDefault="00000000" w:rsidRPr="00000000" w14:paraId="0000006F">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E) Les propositions A, B, C et D sont fausses</w:t>
        <w:br w:type="textWrapping"/>
        <w:br w:type="textWrapping"/>
      </w:r>
      <w:r w:rsidDel="00000000" w:rsidR="00000000" w:rsidRPr="00000000">
        <w:rPr>
          <w:rFonts w:ascii="Arial" w:cs="Arial" w:eastAsia="Arial" w:hAnsi="Arial"/>
          <w:b w:val="1"/>
          <w:sz w:val="20"/>
          <w:szCs w:val="20"/>
          <w:u w:val="single"/>
          <w:rtl w:val="0"/>
        </w:rPr>
        <w:t xml:space="preserve">QCM 16</w:t>
      </w:r>
      <w:r w:rsidDel="00000000" w:rsidR="00000000" w:rsidRPr="00000000">
        <w:rPr>
          <w:rFonts w:ascii="Arial" w:cs="Arial" w:eastAsia="Arial" w:hAnsi="Arial"/>
          <w:b w:val="1"/>
          <w:sz w:val="20"/>
          <w:szCs w:val="20"/>
          <w:rtl w:val="0"/>
        </w:rPr>
        <w:t xml:space="preserve"> : À propos de la biosynthèse des protéines, indiquez la ou les proposition(s) exacte(s) : </w:t>
      </w:r>
    </w:p>
    <w:p w:rsidR="00000000" w:rsidDel="00000000" w:rsidP="00000000" w:rsidRDefault="00000000" w:rsidRPr="00000000" w14:paraId="00000070">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synthèse s’effectue grâce au système endomembranaire au niveau du réticulum endoplasmique lisse</w:t>
      </w:r>
    </w:p>
    <w:p w:rsidR="00000000" w:rsidDel="00000000" w:rsidP="00000000" w:rsidRDefault="00000000" w:rsidRPr="00000000" w14:paraId="00000071">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Il y a 2 types de ribosomes : ceux liés au réticulum endoplasmique et les libres </w:t>
      </w:r>
    </w:p>
    <w:p w:rsidR="00000000" w:rsidDel="00000000" w:rsidP="00000000" w:rsidRDefault="00000000" w:rsidRPr="00000000" w14:paraId="00000072">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Lorsque les protéines sont synthétisées sans réticulum endoplasmique, il leur est impossible d’être ensuite associées avec celui-ci</w:t>
      </w:r>
    </w:p>
    <w:p w:rsidR="00000000" w:rsidDel="00000000" w:rsidP="00000000" w:rsidRDefault="00000000" w:rsidRPr="00000000" w14:paraId="00000073">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réticulum endoplasmique va capturer les protéines solubles destinées à la membrane plasmique  </w:t>
      </w:r>
    </w:p>
    <w:p w:rsidR="00000000" w:rsidDel="00000000" w:rsidP="00000000" w:rsidRDefault="00000000" w:rsidRPr="00000000" w14:paraId="00000074">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75">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6">
      <w:pPr>
        <w:spacing w:after="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17</w:t>
      </w:r>
      <w:r w:rsidDel="00000000" w:rsidR="00000000" w:rsidRPr="00000000">
        <w:rPr>
          <w:rFonts w:ascii="Arial" w:cs="Arial" w:eastAsia="Arial" w:hAnsi="Arial"/>
          <w:b w:val="1"/>
          <w:sz w:val="20"/>
          <w:szCs w:val="20"/>
          <w:rtl w:val="0"/>
        </w:rPr>
        <w:t xml:space="preserve"> : À propos du système endomembranaire, indiquez la ou les proposition(s) exacte(s) : </w:t>
      </w:r>
    </w:p>
    <w:p w:rsidR="00000000" w:rsidDel="00000000" w:rsidP="00000000" w:rsidRDefault="00000000" w:rsidRPr="00000000" w14:paraId="00000077">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système endomembranaire est relié à la membrane plasmique et fait partie du système endomembranaire malgré le fait que ce ne soit pas un organite </w:t>
      </w:r>
    </w:p>
    <w:p w:rsidR="00000000" w:rsidDel="00000000" w:rsidP="00000000" w:rsidRDefault="00000000" w:rsidRPr="00000000" w14:paraId="00000078">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système endomembranaire constitue ce qu’on appelle le flux membranaire vectoriel permanent donnant une orientation à la synthèse des protéines</w:t>
      </w:r>
    </w:p>
    <w:p w:rsidR="00000000" w:rsidDel="00000000" w:rsidP="00000000" w:rsidRDefault="00000000" w:rsidRPr="00000000" w14:paraId="00000079">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début du système endomembranaire n’est pas le noyau</w:t>
      </w:r>
    </w:p>
    <w:p w:rsidR="00000000" w:rsidDel="00000000" w:rsidP="00000000" w:rsidRDefault="00000000" w:rsidRPr="00000000" w14:paraId="0000007A">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Pour communiquer entre chaque organite composant le système endomembranaire, il y a des vésicules transportant les protéines </w:t>
      </w:r>
    </w:p>
    <w:p w:rsidR="00000000" w:rsidDel="00000000" w:rsidP="00000000" w:rsidRDefault="00000000" w:rsidRPr="00000000" w14:paraId="0000007B">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7C">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7D">
      <w:pPr>
        <w:spacing w:after="120"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18</w:t>
      </w:r>
      <w:r w:rsidDel="00000000" w:rsidR="00000000" w:rsidRPr="00000000">
        <w:rPr>
          <w:rFonts w:ascii="Arial" w:cs="Arial" w:eastAsia="Arial" w:hAnsi="Arial"/>
          <w:b w:val="1"/>
          <w:sz w:val="20"/>
          <w:szCs w:val="20"/>
          <w:rtl w:val="0"/>
        </w:rPr>
        <w:t xml:space="preserve"> : À propos des compartiments membranaires, indiquez la ou les proposition(s) exacte(s) : </w:t>
      </w:r>
    </w:p>
    <w:p w:rsidR="00000000" w:rsidDel="00000000" w:rsidP="00000000" w:rsidRDefault="00000000" w:rsidRPr="00000000" w14:paraId="0000007E">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transport antérograde est dans le sens du flux membranaire vectoriel permanent tandis que le transport rétrograde est le sens inverse du système endomembranaire</w:t>
      </w:r>
    </w:p>
    <w:p w:rsidR="00000000" w:rsidDel="00000000" w:rsidP="00000000" w:rsidRDefault="00000000" w:rsidRPr="00000000" w14:paraId="0000007F">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queue des lipides n’a aucune affinité avec l’eau : on parle d’hydrophobie ou apolaire</w:t>
      </w:r>
    </w:p>
    <w:p w:rsidR="00000000" w:rsidDel="00000000" w:rsidP="00000000" w:rsidRDefault="00000000" w:rsidRPr="00000000" w14:paraId="00000080">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insaturations des lipides permettent de faciliter la fluidité des membranes</w:t>
      </w:r>
    </w:p>
    <w:p w:rsidR="00000000" w:rsidDel="00000000" w:rsidP="00000000" w:rsidRDefault="00000000" w:rsidRPr="00000000" w14:paraId="00000081">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Pour que la protéine en cours de synthèse puisse rentrer dans le réticulum endoplasmique, il y a besoin de couper le peptide sgnal</w:t>
      </w:r>
    </w:p>
    <w:p w:rsidR="00000000" w:rsidDel="00000000" w:rsidP="00000000" w:rsidRDefault="00000000" w:rsidRPr="00000000" w14:paraId="00000082">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83">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84">
      <w:pPr>
        <w:spacing w:after="120"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19</w:t>
      </w:r>
      <w:r w:rsidDel="00000000" w:rsidR="00000000" w:rsidRPr="00000000">
        <w:rPr>
          <w:rFonts w:ascii="Arial" w:cs="Arial" w:eastAsia="Arial" w:hAnsi="Arial"/>
          <w:b w:val="1"/>
          <w:sz w:val="20"/>
          <w:szCs w:val="20"/>
          <w:rtl w:val="0"/>
        </w:rPr>
        <w:t xml:space="preserve"> : À propos du cours sur les méthodes d’études de la cellule, indiquez-la(les) proposition(s) exacte(s) :</w:t>
      </w:r>
    </w:p>
    <w:p w:rsidR="00000000" w:rsidDel="00000000" w:rsidP="00000000" w:rsidRDefault="00000000" w:rsidRPr="00000000" w14:paraId="00000085">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microscopie confocale est un outil d’exploration tridimensionnelle des cellules et des tissus</w:t>
      </w:r>
    </w:p>
    <w:p w:rsidR="00000000" w:rsidDel="00000000" w:rsidP="00000000" w:rsidRDefault="00000000" w:rsidRPr="00000000" w14:paraId="00000086">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microscopie confocale à une meilleure résolution que la microscopie électronique </w:t>
      </w:r>
    </w:p>
    <w:p w:rsidR="00000000" w:rsidDel="00000000" w:rsidP="00000000" w:rsidRDefault="00000000" w:rsidRPr="00000000" w14:paraId="00000087">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microscopie confocale permet d’examiner seulement des échantillons fins</w:t>
      </w:r>
    </w:p>
    <w:p w:rsidR="00000000" w:rsidDel="00000000" w:rsidP="00000000" w:rsidRDefault="00000000" w:rsidRPr="00000000" w14:paraId="00000088">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microscopie confocale implique l’utilisation de particules chargés ne passant à travers un diaphragme seulement s’ils proviennent spécifiquement du plan focal analysé</w:t>
      </w:r>
    </w:p>
    <w:p w:rsidR="00000000" w:rsidDel="00000000" w:rsidP="00000000" w:rsidRDefault="00000000" w:rsidRPr="00000000" w14:paraId="00000089">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8A">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8B">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20</w:t>
      </w:r>
      <w:r w:rsidDel="00000000" w:rsidR="00000000" w:rsidRPr="00000000">
        <w:rPr>
          <w:rFonts w:ascii="Arial" w:cs="Arial" w:eastAsia="Arial" w:hAnsi="Arial"/>
          <w:b w:val="1"/>
          <w:sz w:val="20"/>
          <w:szCs w:val="20"/>
          <w:rtl w:val="0"/>
        </w:rPr>
        <w:t xml:space="preserve"> : À propos du cours sur les méthodes d’études de la cellule, indiquez-la(les) proposition(s) exacte(s) :</w:t>
      </w:r>
    </w:p>
    <w:p w:rsidR="00000000" w:rsidDel="00000000" w:rsidP="00000000" w:rsidRDefault="00000000" w:rsidRPr="00000000" w14:paraId="0000008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technique FISH permet de visualiser certaines séquences d’ADN ou d’ARN</w:t>
      </w:r>
    </w:p>
    <w:p w:rsidR="00000000" w:rsidDel="00000000" w:rsidP="00000000" w:rsidRDefault="00000000" w:rsidRPr="00000000" w14:paraId="0000008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technique FLIP se fait sur 1 site d’étude de la cellule</w:t>
      </w:r>
    </w:p>
    <w:p w:rsidR="00000000" w:rsidDel="00000000" w:rsidP="00000000" w:rsidRDefault="00000000" w:rsidRPr="00000000" w14:paraId="0000008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technique FRAP se fait sur 2 sites d’études de la cellule</w:t>
      </w:r>
    </w:p>
    <w:p w:rsidR="00000000" w:rsidDel="00000000" w:rsidP="00000000" w:rsidRDefault="00000000" w:rsidRPr="00000000" w14:paraId="0000008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Nous pouvons mesurer le temps de réapparition de la molécule lorsque la technique FRAP est utilisée </w:t>
      </w:r>
    </w:p>
    <w:p w:rsidR="00000000" w:rsidDel="00000000" w:rsidP="00000000" w:rsidRDefault="00000000" w:rsidRPr="00000000" w14:paraId="0000009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9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21</w:t>
      </w:r>
      <w:r w:rsidDel="00000000" w:rsidR="00000000" w:rsidRPr="00000000">
        <w:rPr>
          <w:rFonts w:ascii="Arial" w:cs="Arial" w:eastAsia="Arial" w:hAnsi="Arial"/>
          <w:b w:val="1"/>
          <w:sz w:val="20"/>
          <w:szCs w:val="20"/>
          <w:rtl w:val="0"/>
        </w:rPr>
        <w:t xml:space="preserve"> : À propos des avantages de la GFP, indiquez-la(les) proposition(s) exacte(s) :</w:t>
      </w:r>
    </w:p>
    <w:p w:rsidR="00000000" w:rsidDel="00000000" w:rsidP="00000000" w:rsidRDefault="00000000" w:rsidRPr="00000000" w14:paraId="0000009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Elle permet de travailler sur des cellules mortes </w:t>
      </w:r>
    </w:p>
    <w:p w:rsidR="00000000" w:rsidDel="00000000" w:rsidP="00000000" w:rsidRDefault="00000000" w:rsidRPr="00000000" w14:paraId="0000009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Il est impossible de visualiser tous les compartiments de la cellule</w:t>
      </w:r>
    </w:p>
    <w:p w:rsidR="00000000" w:rsidDel="00000000" w:rsidP="00000000" w:rsidRDefault="00000000" w:rsidRPr="00000000" w14:paraId="0000009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Possible d’étudier des phénomènes complexes </w:t>
      </w:r>
    </w:p>
    <w:p w:rsidR="00000000" w:rsidDel="00000000" w:rsidP="00000000" w:rsidRDefault="00000000" w:rsidRPr="00000000" w14:paraId="0000009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Peut être utilisé avec les techniques FRET, FRAP, FLIP</w:t>
      </w:r>
    </w:p>
    <w:p w:rsidR="00000000" w:rsidDel="00000000" w:rsidP="00000000" w:rsidRDefault="00000000" w:rsidRPr="00000000" w14:paraId="0000009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9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22</w:t>
      </w:r>
      <w:r w:rsidDel="00000000" w:rsidR="00000000" w:rsidRPr="00000000">
        <w:rPr>
          <w:rFonts w:ascii="Arial" w:cs="Arial" w:eastAsia="Arial" w:hAnsi="Arial"/>
          <w:b w:val="1"/>
          <w:sz w:val="20"/>
          <w:szCs w:val="20"/>
          <w:rtl w:val="0"/>
        </w:rPr>
        <w:t xml:space="preserve"> : À propos de la Fluorescence induite, indiquez-la(les) proposition(s) exacte(s) :</w:t>
      </w:r>
    </w:p>
    <w:p w:rsidR="00000000" w:rsidDel="00000000" w:rsidP="00000000" w:rsidRDefault="00000000" w:rsidRPr="00000000" w14:paraId="0000009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fluorescence induite correspond à des molécules qui deviennent fluorescentes lorsqu’elles sont fixées à une molécule particulière</w:t>
      </w:r>
    </w:p>
    <w:p w:rsidR="00000000" w:rsidDel="00000000" w:rsidP="00000000" w:rsidRDefault="00000000" w:rsidRPr="00000000" w14:paraId="0000009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On les utilise pour visualiser l’ADN par exemple</w:t>
      </w:r>
    </w:p>
    <w:p w:rsidR="00000000" w:rsidDel="00000000" w:rsidP="00000000" w:rsidRDefault="00000000" w:rsidRPr="00000000" w14:paraId="0000009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Hoechst et le DAPI se fixent spécifiquement sur les paires de bases A-T de l’ADN </w:t>
      </w:r>
    </w:p>
    <w:p w:rsidR="00000000" w:rsidDel="00000000" w:rsidP="00000000" w:rsidRDefault="00000000" w:rsidRPr="00000000" w14:paraId="000000A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bromure d’éthidium et l’iodure de propidium sont des agents intercalants</w:t>
      </w:r>
    </w:p>
    <w:p w:rsidR="00000000" w:rsidDel="00000000" w:rsidP="00000000" w:rsidRDefault="00000000" w:rsidRPr="00000000" w14:paraId="000000A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A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23</w:t>
      </w:r>
      <w:r w:rsidDel="00000000" w:rsidR="00000000" w:rsidRPr="00000000">
        <w:rPr>
          <w:rFonts w:ascii="Arial" w:cs="Arial" w:eastAsia="Arial" w:hAnsi="Arial"/>
          <w:b w:val="1"/>
          <w:sz w:val="20"/>
          <w:szCs w:val="20"/>
          <w:rtl w:val="0"/>
        </w:rPr>
        <w:t xml:space="preserve"> : À propos des notions de cellules souches, indiquez-la(les) proposition(s) exacte(s) :</w:t>
      </w:r>
    </w:p>
    <w:p w:rsidR="00000000" w:rsidDel="00000000" w:rsidP="00000000" w:rsidRDefault="00000000" w:rsidRPr="00000000" w14:paraId="000000A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notion de cellule souche résulte du premier principe de la théorie cellulaire </w:t>
      </w:r>
    </w:p>
    <w:p w:rsidR="00000000" w:rsidDel="00000000" w:rsidP="00000000" w:rsidRDefault="00000000" w:rsidRPr="00000000" w14:paraId="000000A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cellules souches ne sont pas complètement différenciées </w:t>
      </w:r>
    </w:p>
    <w:p w:rsidR="00000000" w:rsidDel="00000000" w:rsidP="00000000" w:rsidRDefault="00000000" w:rsidRPr="00000000" w14:paraId="000000A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Leur division est symétrique</w:t>
      </w:r>
    </w:p>
    <w:p w:rsidR="00000000" w:rsidDel="00000000" w:rsidP="00000000" w:rsidRDefault="00000000" w:rsidRPr="00000000" w14:paraId="000000A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Elles se différencient à la demande</w:t>
      </w:r>
    </w:p>
    <w:p w:rsidR="00000000" w:rsidDel="00000000" w:rsidP="00000000" w:rsidRDefault="00000000" w:rsidRPr="00000000" w14:paraId="000000A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A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24</w:t>
      </w:r>
      <w:r w:rsidDel="00000000" w:rsidR="00000000" w:rsidRPr="00000000">
        <w:rPr>
          <w:rFonts w:ascii="Arial" w:cs="Arial" w:eastAsia="Arial" w:hAnsi="Arial"/>
          <w:b w:val="1"/>
          <w:sz w:val="20"/>
          <w:szCs w:val="20"/>
          <w:rtl w:val="0"/>
        </w:rPr>
        <w:t xml:space="preserve"> : À propos des classement des organismes, indiquez-la(les) proposition(s) exacte(s) :</w:t>
      </w:r>
    </w:p>
    <w:p w:rsidR="00000000" w:rsidDel="00000000" w:rsidP="00000000" w:rsidRDefault="00000000" w:rsidRPr="00000000" w14:paraId="000000A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cellule est l’unité d’organisation du vivant </w:t>
      </w:r>
    </w:p>
    <w:p w:rsidR="00000000" w:rsidDel="00000000" w:rsidP="00000000" w:rsidRDefault="00000000" w:rsidRPr="00000000" w14:paraId="000000A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transcription se fait au sein du noyau</w:t>
      </w:r>
    </w:p>
    <w:p w:rsidR="00000000" w:rsidDel="00000000" w:rsidP="00000000" w:rsidRDefault="00000000" w:rsidRPr="00000000" w14:paraId="000000A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traduction et la transcription sont découplées</w:t>
      </w:r>
    </w:p>
    <w:p w:rsidR="00000000" w:rsidDel="00000000" w:rsidP="00000000" w:rsidRDefault="00000000" w:rsidRPr="00000000" w14:paraId="000000A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L’ARN est une molécule transitoire, cousine de l’ADN </w:t>
      </w:r>
    </w:p>
    <w:p w:rsidR="00000000" w:rsidDel="00000000" w:rsidP="00000000" w:rsidRDefault="00000000" w:rsidRPr="00000000" w14:paraId="000000A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B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25</w:t>
      </w:r>
      <w:r w:rsidDel="00000000" w:rsidR="00000000" w:rsidRPr="00000000">
        <w:rPr>
          <w:rFonts w:ascii="Arial" w:cs="Arial" w:eastAsia="Arial" w:hAnsi="Arial"/>
          <w:b w:val="1"/>
          <w:sz w:val="20"/>
          <w:szCs w:val="20"/>
          <w:rtl w:val="0"/>
        </w:rPr>
        <w:t xml:space="preserve"> : À propos des compléments récents à la théorie cellulaire, indiquez-la(les) proposition(s) exacte(s) :</w:t>
      </w:r>
    </w:p>
    <w:p w:rsidR="00000000" w:rsidDel="00000000" w:rsidP="00000000" w:rsidRDefault="00000000" w:rsidRPr="00000000" w14:paraId="000000B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premier complément est la division du vivant </w:t>
      </w:r>
    </w:p>
    <w:p w:rsidR="00000000" w:rsidDel="00000000" w:rsidP="00000000" w:rsidRDefault="00000000" w:rsidRPr="00000000" w14:paraId="000000B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19"/>
          <w:szCs w:val="19"/>
          <w:rtl w:val="0"/>
        </w:rPr>
        <w:t xml:space="preserve">Carbone, hydrogène, oxygène et azote (CHON) sont rares dans la matière inerte</w:t>
      </w:r>
      <w:r w:rsidDel="00000000" w:rsidR="00000000" w:rsidRPr="00000000">
        <w:rPr>
          <w:rtl w:val="0"/>
        </w:rPr>
      </w:r>
    </w:p>
    <w:p w:rsidR="00000000" w:rsidDel="00000000" w:rsidP="00000000" w:rsidRDefault="00000000" w:rsidRPr="00000000" w14:paraId="000000B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techniques de clonage sont utilisés pour les animaux et les Hommes rarement </w:t>
      </w:r>
    </w:p>
    <w:p w:rsidR="00000000" w:rsidDel="00000000" w:rsidP="00000000" w:rsidRDefault="00000000" w:rsidRPr="00000000" w14:paraId="000000B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vision traditionnel de l’invdividu est celle de l’holobionte </w:t>
      </w:r>
    </w:p>
    <w:p w:rsidR="00000000" w:rsidDel="00000000" w:rsidP="00000000" w:rsidRDefault="00000000" w:rsidRPr="00000000" w14:paraId="000000B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B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26</w:t>
      </w:r>
      <w:r w:rsidDel="00000000" w:rsidR="00000000" w:rsidRPr="00000000">
        <w:rPr>
          <w:rFonts w:ascii="Arial" w:cs="Arial" w:eastAsia="Arial" w:hAnsi="Arial"/>
          <w:b w:val="1"/>
          <w:sz w:val="20"/>
          <w:szCs w:val="20"/>
          <w:rtl w:val="0"/>
        </w:rPr>
        <w:t xml:space="preserve"> : À propos des hypothèses sur l’origine des cellules, indiquez-la(les) proposition(s) exacte(s) :</w:t>
      </w:r>
    </w:p>
    <w:p w:rsidR="00000000" w:rsidDel="00000000" w:rsidP="00000000" w:rsidRDefault="00000000" w:rsidRPr="00000000" w14:paraId="000000B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L’hypothèse qui stipule que la molécule d’ARN était la principale forme de vie avant l’émergence de la molécule d’ADN est la moins en accord avec les observations dont nous disposons</w:t>
      </w:r>
    </w:p>
    <w:p w:rsidR="00000000" w:rsidDel="00000000" w:rsidP="00000000" w:rsidRDefault="00000000" w:rsidRPr="00000000" w14:paraId="000000B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L’hypothèse qui stipule que la molécule d’ARN était la principale forme de vie avant l’émergence de la molécule d’ADN est la plus en accord avec les observations dont nous disposons</w:t>
      </w:r>
    </w:p>
    <w:p w:rsidR="00000000" w:rsidDel="00000000" w:rsidP="00000000" w:rsidRDefault="00000000" w:rsidRPr="00000000" w14:paraId="000000B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théorie dominante au sujet de l’apparition des eucaryotes est celle de l’endosymbionte</w:t>
      </w:r>
    </w:p>
    <w:p w:rsidR="00000000" w:rsidDel="00000000" w:rsidP="00000000" w:rsidRDefault="00000000" w:rsidRPr="00000000" w14:paraId="000000B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transcription inverse correspond à la synthèse d’ADN à partir d’ARN grâce à une enzyme appelée la reverse transcriptase </w:t>
      </w:r>
    </w:p>
    <w:p w:rsidR="00000000" w:rsidDel="00000000" w:rsidP="00000000" w:rsidRDefault="00000000" w:rsidRPr="00000000" w14:paraId="000000B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B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27</w:t>
      </w:r>
      <w:r w:rsidDel="00000000" w:rsidR="00000000" w:rsidRPr="00000000">
        <w:rPr>
          <w:rFonts w:ascii="Arial" w:cs="Arial" w:eastAsia="Arial" w:hAnsi="Arial"/>
          <w:b w:val="1"/>
          <w:sz w:val="20"/>
          <w:szCs w:val="20"/>
          <w:rtl w:val="0"/>
        </w:rPr>
        <w:t xml:space="preserve"> : À propos de la structure des acides nucléiques : (Relu et corrigé par le Pr. Naïmi)</w:t>
      </w:r>
    </w:p>
    <w:p w:rsidR="00000000" w:rsidDel="00000000" w:rsidP="00000000" w:rsidRDefault="00000000" w:rsidRPr="00000000" w14:paraId="000000C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L’ensemble des pentoses reliés entre eux par les groupes phosphates forme le squelette sucre-phosphate</w:t>
      </w:r>
    </w:p>
    <w:p w:rsidR="00000000" w:rsidDel="00000000" w:rsidP="00000000" w:rsidRDefault="00000000" w:rsidRPr="00000000" w14:paraId="000000C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On lit les brins </w:t>
      </w:r>
      <w:r w:rsidDel="00000000" w:rsidR="00000000" w:rsidRPr="00000000">
        <w:rPr>
          <w:rFonts w:ascii="Arial" w:cs="Arial" w:eastAsia="Arial" w:hAnsi="Arial"/>
          <w:sz w:val="20"/>
          <w:szCs w:val="20"/>
          <w:rtl w:val="0"/>
        </w:rPr>
        <w:t xml:space="preserve">de la double hélice d’ADN </w:t>
      </w:r>
      <w:r w:rsidDel="00000000" w:rsidR="00000000" w:rsidRPr="00000000">
        <w:rPr>
          <w:rFonts w:ascii="Arial" w:cs="Arial" w:eastAsia="Arial" w:hAnsi="Arial"/>
          <w:sz w:val="20"/>
          <w:szCs w:val="20"/>
          <w:rtl w:val="0"/>
        </w:rPr>
        <w:t xml:space="preserve">en sens inverse. Un brin sera lu de 5’ en 3’ et l’autre de 3’ en 5’</w:t>
      </w:r>
    </w:p>
    <w:p w:rsidR="00000000" w:rsidDel="00000000" w:rsidP="00000000" w:rsidRDefault="00000000" w:rsidRPr="00000000" w14:paraId="000000C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Il n’existe pas de nomenclature particulière permettant de nommer et différencier les nucléosides des nucléotides</w:t>
      </w:r>
    </w:p>
    <w:p w:rsidR="00000000" w:rsidDel="00000000" w:rsidP="00000000" w:rsidRDefault="00000000" w:rsidRPr="00000000" w14:paraId="000000C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L’enchaînement des bases le long de l’ADN ou de l’ARN forme un message</w:t>
      </w:r>
    </w:p>
    <w:p w:rsidR="00000000" w:rsidDel="00000000" w:rsidP="00000000" w:rsidRDefault="00000000" w:rsidRPr="00000000" w14:paraId="000000C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C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6">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28</w:t>
      </w:r>
      <w:r w:rsidDel="00000000" w:rsidR="00000000" w:rsidRPr="00000000">
        <w:rPr>
          <w:rFonts w:ascii="Arial" w:cs="Arial" w:eastAsia="Arial" w:hAnsi="Arial"/>
          <w:b w:val="1"/>
          <w:sz w:val="20"/>
          <w:szCs w:val="20"/>
          <w:rtl w:val="0"/>
        </w:rPr>
        <w:t xml:space="preserve"> : Parmi les réponses suivantes cochez la ou les bonne(s) réponse(s) : (Relu et corrigé par le Pr. Naïmi)</w:t>
      </w:r>
    </w:p>
    <w:p w:rsidR="00000000" w:rsidDel="00000000" w:rsidP="00000000" w:rsidRDefault="00000000" w:rsidRPr="00000000" w14:paraId="000000C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Il existe 3 mécanismes permettant d’assurer la fidélité de la réplication</w:t>
      </w:r>
    </w:p>
    <w:p w:rsidR="00000000" w:rsidDel="00000000" w:rsidP="00000000" w:rsidRDefault="00000000" w:rsidRPr="00000000" w14:paraId="000000C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primase et l’ADN polymérase vont sélectionner de façon très stricte les bases</w:t>
      </w:r>
    </w:p>
    <w:p w:rsidR="00000000" w:rsidDel="00000000" w:rsidP="00000000" w:rsidRDefault="00000000" w:rsidRPr="00000000" w14:paraId="000000C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Certaines enzymes sont dot</w:t>
      </w:r>
      <w:r w:rsidDel="00000000" w:rsidR="00000000" w:rsidRPr="00000000">
        <w:rPr>
          <w:rFonts w:ascii="Arial" w:cs="Arial" w:eastAsia="Arial" w:hAnsi="Arial"/>
          <w:sz w:val="20"/>
          <w:szCs w:val="20"/>
          <w:rtl w:val="0"/>
        </w:rPr>
        <w:t xml:space="preserve">ées</w:t>
      </w:r>
      <w:r w:rsidDel="00000000" w:rsidR="00000000" w:rsidRPr="00000000">
        <w:rPr>
          <w:rFonts w:ascii="Arial" w:cs="Arial" w:eastAsia="Arial" w:hAnsi="Arial"/>
          <w:sz w:val="20"/>
          <w:szCs w:val="20"/>
          <w:rtl w:val="0"/>
        </w:rPr>
        <w:t xml:space="preserve"> d’une activité 3’-5’ exonucléasique (ce n’est pas le cas de l’ADN polymérase delta)</w:t>
      </w:r>
    </w:p>
    <w:p w:rsidR="00000000" w:rsidDel="00000000" w:rsidP="00000000" w:rsidRDefault="00000000" w:rsidRPr="00000000" w14:paraId="000000C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système MMR possède une activité endonucléasique</w:t>
      </w:r>
    </w:p>
    <w:p w:rsidR="00000000" w:rsidDel="00000000" w:rsidP="00000000" w:rsidRDefault="00000000" w:rsidRPr="00000000" w14:paraId="000000C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C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29</w:t>
      </w:r>
      <w:r w:rsidDel="00000000" w:rsidR="00000000" w:rsidRPr="00000000">
        <w:rPr>
          <w:rFonts w:ascii="Arial" w:cs="Arial" w:eastAsia="Arial" w:hAnsi="Arial"/>
          <w:b w:val="1"/>
          <w:sz w:val="20"/>
          <w:szCs w:val="20"/>
          <w:rtl w:val="0"/>
        </w:rPr>
        <w:t xml:space="preserve"> : À propos de la réplication : (Relu et corrigé par le Pr. Naïmi)</w:t>
      </w:r>
    </w:p>
    <w:p w:rsidR="00000000" w:rsidDel="00000000" w:rsidP="00000000" w:rsidRDefault="00000000" w:rsidRPr="00000000" w14:paraId="000000D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Lors de la réplication de l’ADN, </w:t>
      </w:r>
      <w:r w:rsidDel="00000000" w:rsidR="00000000" w:rsidRPr="00000000">
        <w:rPr>
          <w:rFonts w:ascii="Arial" w:cs="Arial" w:eastAsia="Arial" w:hAnsi="Arial"/>
          <w:sz w:val="20"/>
          <w:szCs w:val="20"/>
          <w:rtl w:val="0"/>
        </w:rPr>
        <w:t xml:space="preserve">des</w:t>
      </w:r>
      <w:r w:rsidDel="00000000" w:rsidR="00000000" w:rsidRPr="00000000">
        <w:rPr>
          <w:rFonts w:ascii="Arial" w:cs="Arial" w:eastAsia="Arial" w:hAnsi="Arial"/>
          <w:sz w:val="20"/>
          <w:szCs w:val="20"/>
          <w:rtl w:val="0"/>
        </w:rPr>
        <w:t xml:space="preserve"> protéine</w:t>
      </w:r>
      <w:r w:rsidDel="00000000" w:rsidR="00000000" w:rsidRPr="00000000">
        <w:rPr>
          <w:rFonts w:ascii="Arial" w:cs="Arial" w:eastAsia="Arial" w:hAnsi="Arial"/>
          <w:sz w:val="20"/>
          <w:szCs w:val="20"/>
          <w:rtl w:val="0"/>
        </w:rPr>
        <w:t xml:space="preserve">s</w:t>
      </w:r>
      <w:r w:rsidDel="00000000" w:rsidR="00000000" w:rsidRPr="00000000">
        <w:rPr>
          <w:rFonts w:ascii="Arial" w:cs="Arial" w:eastAsia="Arial" w:hAnsi="Arial"/>
          <w:sz w:val="20"/>
          <w:szCs w:val="20"/>
          <w:rtl w:val="0"/>
        </w:rPr>
        <w:t xml:space="preserve"> permet</w:t>
      </w:r>
      <w:r w:rsidDel="00000000" w:rsidR="00000000" w:rsidRPr="00000000">
        <w:rPr>
          <w:rFonts w:ascii="Arial" w:cs="Arial" w:eastAsia="Arial" w:hAnsi="Arial"/>
          <w:sz w:val="20"/>
          <w:szCs w:val="20"/>
          <w:rtl w:val="0"/>
        </w:rPr>
        <w:t xml:space="preserve">tent </w:t>
      </w:r>
      <w:r w:rsidDel="00000000" w:rsidR="00000000" w:rsidRPr="00000000">
        <w:rPr>
          <w:rFonts w:ascii="Arial" w:cs="Arial" w:eastAsia="Arial" w:hAnsi="Arial"/>
          <w:sz w:val="20"/>
          <w:szCs w:val="20"/>
          <w:rtl w:val="0"/>
        </w:rPr>
        <w:t xml:space="preserve">de stabiliser et de maintenir les brins dissociés</w:t>
      </w:r>
    </w:p>
    <w:p w:rsidR="00000000" w:rsidDel="00000000" w:rsidP="00000000" w:rsidRDefault="00000000" w:rsidRPr="00000000" w14:paraId="000000D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Dans la plupart des cellules</w:t>
      </w:r>
      <w:r w:rsidDel="00000000" w:rsidR="00000000" w:rsidRPr="00000000">
        <w:rPr>
          <w:rFonts w:ascii="Arial" w:cs="Arial" w:eastAsia="Arial" w:hAnsi="Arial"/>
          <w:color w:val="ff0000"/>
          <w:sz w:val="20"/>
          <w:szCs w:val="20"/>
          <w:rtl w:val="0"/>
        </w:rPr>
        <w:t xml:space="preserve">, </w:t>
      </w:r>
      <w:r w:rsidDel="00000000" w:rsidR="00000000" w:rsidRPr="00000000">
        <w:rPr>
          <w:rFonts w:ascii="Arial" w:cs="Arial" w:eastAsia="Arial" w:hAnsi="Arial"/>
          <w:sz w:val="20"/>
          <w:szCs w:val="20"/>
          <w:rtl w:val="0"/>
        </w:rPr>
        <w:t xml:space="preserve">la réplication est parfaitement complète</w:t>
      </w:r>
    </w:p>
    <w:p w:rsidR="00000000" w:rsidDel="00000000" w:rsidP="00000000" w:rsidRDefault="00000000" w:rsidRPr="00000000" w14:paraId="000000D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Il faudra dégrader les amorces uniquement sur le brin tardif qui en contient de </w:t>
      </w:r>
      <w:r w:rsidDel="00000000" w:rsidR="00000000" w:rsidRPr="00000000">
        <w:rPr>
          <w:rFonts w:ascii="Arial" w:cs="Arial" w:eastAsia="Arial" w:hAnsi="Arial"/>
          <w:sz w:val="20"/>
          <w:szCs w:val="20"/>
          <w:rtl w:val="0"/>
        </w:rPr>
        <w:t xml:space="preserve">multiples</w:t>
      </w:r>
      <w:r w:rsidDel="00000000" w:rsidR="00000000" w:rsidRPr="00000000">
        <w:rPr>
          <w:rtl w:val="0"/>
        </w:rPr>
      </w:r>
    </w:p>
    <w:p w:rsidR="00000000" w:rsidDel="00000000" w:rsidP="00000000" w:rsidRDefault="00000000" w:rsidRPr="00000000" w14:paraId="000000D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Durant la réplication, l’ADN polymérase sélectionne de façon aléatoire les nucléotides</w:t>
      </w:r>
    </w:p>
    <w:p w:rsidR="00000000" w:rsidDel="00000000" w:rsidP="00000000" w:rsidRDefault="00000000" w:rsidRPr="00000000" w14:paraId="000000D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D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30</w:t>
      </w:r>
      <w:r w:rsidDel="00000000" w:rsidR="00000000" w:rsidRPr="00000000">
        <w:rPr>
          <w:rFonts w:ascii="Arial" w:cs="Arial" w:eastAsia="Arial" w:hAnsi="Arial"/>
          <w:b w:val="1"/>
          <w:sz w:val="20"/>
          <w:szCs w:val="20"/>
          <w:rtl w:val="0"/>
        </w:rPr>
        <w:t xml:space="preserve"> : À propos des ARNs de transfert : (Relu et corrigé par le Pr. Naïmi)</w:t>
      </w:r>
    </w:p>
    <w:p w:rsidR="00000000" w:rsidDel="00000000" w:rsidP="00000000" w:rsidRDefault="00000000" w:rsidRPr="00000000" w14:paraId="000000D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rtl w:val="0"/>
        </w:rPr>
        <w:t xml:space="preserve">Ils</w:t>
      </w:r>
      <w:r w:rsidDel="00000000" w:rsidR="00000000" w:rsidRPr="00000000">
        <w:rPr>
          <w:rFonts w:ascii="Arial" w:cs="Arial" w:eastAsia="Arial" w:hAnsi="Arial"/>
          <w:sz w:val="20"/>
          <w:szCs w:val="20"/>
          <w:rtl w:val="0"/>
        </w:rPr>
        <w:t xml:space="preserve"> permet</w:t>
      </w:r>
      <w:r w:rsidDel="00000000" w:rsidR="00000000" w:rsidRPr="00000000">
        <w:rPr>
          <w:rFonts w:ascii="Arial" w:cs="Arial" w:eastAsia="Arial" w:hAnsi="Arial"/>
          <w:sz w:val="20"/>
          <w:szCs w:val="20"/>
          <w:rtl w:val="0"/>
        </w:rPr>
        <w:t xml:space="preserve">tent</w:t>
      </w:r>
      <w:r w:rsidDel="00000000" w:rsidR="00000000" w:rsidRPr="00000000">
        <w:rPr>
          <w:rFonts w:ascii="Arial" w:cs="Arial" w:eastAsia="Arial" w:hAnsi="Arial"/>
          <w:sz w:val="20"/>
          <w:szCs w:val="20"/>
          <w:rtl w:val="0"/>
        </w:rPr>
        <w:t xml:space="preserve"> d’apporter les acides nucléiques au ribosome</w:t>
      </w:r>
    </w:p>
    <w:p w:rsidR="00000000" w:rsidDel="00000000" w:rsidP="00000000" w:rsidRDefault="00000000" w:rsidRPr="00000000" w14:paraId="000000D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L’ARN de transfert est formé d’une tige et de trois boucles</w:t>
      </w:r>
    </w:p>
    <w:p w:rsidR="00000000" w:rsidDel="00000000" w:rsidP="00000000" w:rsidRDefault="00000000" w:rsidRPr="00000000" w14:paraId="000000D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L’anticodon retrouvé sur l’ARN de transfert permet de se fixer par complémentarité au codon de l’ARN messager</w:t>
      </w:r>
    </w:p>
    <w:p w:rsidR="00000000" w:rsidDel="00000000" w:rsidP="00000000" w:rsidRDefault="00000000" w:rsidRPr="00000000" w14:paraId="000000D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wobble est un phénomène d’appariement flexible entre codon et anticodon</w:t>
      </w:r>
    </w:p>
    <w:p w:rsidR="00000000" w:rsidDel="00000000" w:rsidP="00000000" w:rsidRDefault="00000000" w:rsidRPr="00000000" w14:paraId="000000D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D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31</w:t>
      </w:r>
      <w:r w:rsidDel="00000000" w:rsidR="00000000" w:rsidRPr="00000000">
        <w:rPr>
          <w:rFonts w:ascii="Arial" w:cs="Arial" w:eastAsia="Arial" w:hAnsi="Arial"/>
          <w:b w:val="1"/>
          <w:sz w:val="20"/>
          <w:szCs w:val="20"/>
          <w:rtl w:val="0"/>
        </w:rPr>
        <w:t xml:space="preserve"> : Parmi les </w:t>
      </w:r>
      <w:r w:rsidDel="00000000" w:rsidR="00000000" w:rsidRPr="00000000">
        <w:rPr>
          <w:rFonts w:ascii="Arial" w:cs="Arial" w:eastAsia="Arial" w:hAnsi="Arial"/>
          <w:b w:val="1"/>
          <w:sz w:val="20"/>
          <w:szCs w:val="20"/>
          <w:rtl w:val="0"/>
        </w:rPr>
        <w:t xml:space="preserve">acteurs </w:t>
      </w:r>
      <w:r w:rsidDel="00000000" w:rsidR="00000000" w:rsidRPr="00000000">
        <w:rPr>
          <w:rFonts w:ascii="Arial" w:cs="Arial" w:eastAsia="Arial" w:hAnsi="Arial"/>
          <w:b w:val="1"/>
          <w:sz w:val="20"/>
          <w:szCs w:val="20"/>
          <w:rtl w:val="0"/>
        </w:rPr>
        <w:t xml:space="preserve">de la réplication cochez la (ou les) bonne(s) proposition(s) :(Relu et corrigé par le Pr. Naïmi)</w:t>
      </w:r>
    </w:p>
    <w:p w:rsidR="00000000" w:rsidDel="00000000" w:rsidP="00000000" w:rsidRDefault="00000000" w:rsidRPr="00000000" w14:paraId="000000E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complexe Médiator est un ensemble de multiples sous unités interchangeables qui joue le rôle d'intermédiaire entre les facteurs de transcription spécifiques et la machinerie transcriptionnelle</w:t>
      </w:r>
    </w:p>
    <w:p w:rsidR="00000000" w:rsidDel="00000000" w:rsidP="00000000" w:rsidRDefault="00000000" w:rsidRPr="00000000" w14:paraId="000000E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facteurs de transcription qu'on appelle spécifiques sont ceux qui se fixent aux séquences régulatrices propres à chaque gène</w:t>
      </w:r>
    </w:p>
    <w:p w:rsidR="00000000" w:rsidDel="00000000" w:rsidP="00000000" w:rsidRDefault="00000000" w:rsidRPr="00000000" w14:paraId="000000E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Un gène s’exprimera à un niveau faible si seul</w:t>
      </w:r>
      <w:r w:rsidDel="00000000" w:rsidR="00000000" w:rsidRPr="00000000">
        <w:rPr>
          <w:rFonts w:ascii="Arial" w:cs="Arial" w:eastAsia="Arial" w:hAnsi="Arial"/>
          <w:sz w:val="20"/>
          <w:szCs w:val="20"/>
          <w:rtl w:val="0"/>
        </w:rPr>
        <w:t xml:space="preserve">s</w:t>
      </w:r>
      <w:r w:rsidDel="00000000" w:rsidR="00000000" w:rsidRPr="00000000">
        <w:rPr>
          <w:rFonts w:ascii="Arial" w:cs="Arial" w:eastAsia="Arial" w:hAnsi="Arial"/>
          <w:sz w:val="20"/>
          <w:szCs w:val="20"/>
          <w:rtl w:val="0"/>
        </w:rPr>
        <w:t xml:space="preserve"> les facteurs de transcription généraux sont présents</w:t>
      </w:r>
    </w:p>
    <w:p w:rsidR="00000000" w:rsidDel="00000000" w:rsidP="00000000" w:rsidRDefault="00000000" w:rsidRPr="00000000" w14:paraId="000000E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Un gène s’exprimera de façon élevée si à ces facteurs généraux s’ajoute un facteur de transcription spécifique activateur (Enhancer)</w:t>
      </w:r>
    </w:p>
    <w:p w:rsidR="00000000" w:rsidDel="00000000" w:rsidP="00000000" w:rsidRDefault="00000000" w:rsidRPr="00000000" w14:paraId="000000E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E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6">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32</w:t>
      </w:r>
      <w:r w:rsidDel="00000000" w:rsidR="00000000" w:rsidRPr="00000000">
        <w:rPr>
          <w:rFonts w:ascii="Arial" w:cs="Arial" w:eastAsia="Arial" w:hAnsi="Arial"/>
          <w:b w:val="1"/>
          <w:sz w:val="20"/>
          <w:szCs w:val="20"/>
          <w:rtl w:val="0"/>
        </w:rPr>
        <w:t xml:space="preserve"> : Parmi les réponses suivantes cochez la ou les bonne(s) réponse(s) : (Relu et corrigé par le Pr. Naïmi)</w:t>
      </w:r>
    </w:p>
    <w:p w:rsidR="00000000" w:rsidDel="00000000" w:rsidP="00000000" w:rsidRDefault="00000000" w:rsidRPr="00000000" w14:paraId="000000E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Il existe en pratique trois cadres de lecture aboutissant à une protéine fonctionnelle</w:t>
      </w:r>
    </w:p>
    <w:p w:rsidR="00000000" w:rsidDel="00000000" w:rsidP="00000000" w:rsidRDefault="00000000" w:rsidRPr="00000000" w14:paraId="000000E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cadre de lecture utilisé est appelé CRF (Closed Reading Frame)</w:t>
      </w:r>
    </w:p>
    <w:p w:rsidR="00000000" w:rsidDel="00000000" w:rsidP="00000000" w:rsidRDefault="00000000" w:rsidRPr="00000000" w14:paraId="000000E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séquence spécifique reconnu par le ribosome est la même chez les eucaryotes et les procaryotes</w:t>
      </w:r>
    </w:p>
    <w:p w:rsidR="00000000" w:rsidDel="00000000" w:rsidP="00000000" w:rsidRDefault="00000000" w:rsidRPr="00000000" w14:paraId="000000E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Les autres cadres théoriques sont bloqués car ils contiennent généralement un codon stop prématuré</w:t>
      </w:r>
    </w:p>
    <w:p w:rsidR="00000000" w:rsidDel="00000000" w:rsidP="00000000" w:rsidRDefault="00000000" w:rsidRPr="00000000" w14:paraId="000000E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EC">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br w:type="textWrapping"/>
      </w:r>
      <w:r w:rsidDel="00000000" w:rsidR="00000000" w:rsidRPr="00000000">
        <w:rPr>
          <w:rFonts w:ascii="Arial" w:cs="Arial" w:eastAsia="Arial" w:hAnsi="Arial"/>
          <w:b w:val="1"/>
          <w:sz w:val="20"/>
          <w:szCs w:val="20"/>
          <w:u w:val="single"/>
          <w:rtl w:val="0"/>
        </w:rPr>
        <w:t xml:space="preserve">QCM 33</w:t>
      </w:r>
      <w:r w:rsidDel="00000000" w:rsidR="00000000" w:rsidRPr="00000000">
        <w:rPr>
          <w:rFonts w:ascii="Arial" w:cs="Arial" w:eastAsia="Arial" w:hAnsi="Arial"/>
          <w:b w:val="1"/>
          <w:sz w:val="20"/>
          <w:szCs w:val="20"/>
          <w:rtl w:val="0"/>
        </w:rPr>
        <w:t xml:space="preserve"> : Parmi les réponses suivantes cochez la ou les bonne(s) réponse(s) : </w:t>
      </w:r>
    </w:p>
    <w:p w:rsidR="00000000" w:rsidDel="00000000" w:rsidP="00000000" w:rsidRDefault="00000000" w:rsidRPr="00000000" w14:paraId="000000ED">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trisomie 21 est la moins fréquente des trisomies mais la plus viable</w:t>
      </w:r>
    </w:p>
    <w:p w:rsidR="00000000" w:rsidDel="00000000" w:rsidP="00000000" w:rsidRDefault="00000000" w:rsidRPr="00000000" w14:paraId="000000EE">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aneuploïdies qui concernent les autosomes sont moins sévères que celles concernant les gonosomes</w:t>
      </w:r>
    </w:p>
    <w:p w:rsidR="00000000" w:rsidDel="00000000" w:rsidP="00000000" w:rsidRDefault="00000000" w:rsidRPr="00000000" w14:paraId="000000EF">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Dans le syndrome de Turner on retrouve une diminution de l’intelligence comme symptôme</w:t>
      </w:r>
    </w:p>
    <w:p w:rsidR="00000000" w:rsidDel="00000000" w:rsidP="00000000" w:rsidRDefault="00000000" w:rsidRPr="00000000" w14:paraId="000000F0">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syndrome de Turner est caractérisé par un chromosome X surnuméraire</w:t>
      </w:r>
    </w:p>
    <w:p w:rsidR="00000000" w:rsidDel="00000000" w:rsidP="00000000" w:rsidRDefault="00000000" w:rsidRPr="00000000" w14:paraId="000000F1">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F2">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F3">
      <w:pPr>
        <w:spacing w:after="120"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34</w:t>
      </w:r>
      <w:r w:rsidDel="00000000" w:rsidR="00000000" w:rsidRPr="00000000">
        <w:rPr>
          <w:rFonts w:ascii="Arial" w:cs="Arial" w:eastAsia="Arial" w:hAnsi="Arial"/>
          <w:b w:val="1"/>
          <w:sz w:val="20"/>
          <w:szCs w:val="20"/>
          <w:rtl w:val="0"/>
        </w:rPr>
        <w:t xml:space="preserve"> : À propos de la méiose :</w:t>
      </w:r>
    </w:p>
    <w:p w:rsidR="00000000" w:rsidDel="00000000" w:rsidP="00000000" w:rsidRDefault="00000000" w:rsidRPr="00000000" w14:paraId="000000F4">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Elle permet permet de mixer le patrimoine génétique de deux individus pour former un nouvel individu génétiquement identique</w:t>
      </w:r>
    </w:p>
    <w:p w:rsidR="00000000" w:rsidDel="00000000" w:rsidP="00000000" w:rsidRDefault="00000000" w:rsidRPr="00000000" w14:paraId="000000F5">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méiose s’oppose à la reproduction asexuée</w:t>
      </w:r>
    </w:p>
    <w:p w:rsidR="00000000" w:rsidDel="00000000" w:rsidP="00000000" w:rsidRDefault="00000000" w:rsidRPr="00000000" w14:paraId="000000F6">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À l’issus de la méiose on obtient des cellules diploïdes appelé les cellules germinales</w:t>
      </w:r>
    </w:p>
    <w:p w:rsidR="00000000" w:rsidDel="00000000" w:rsidP="00000000" w:rsidRDefault="00000000" w:rsidRPr="00000000" w14:paraId="000000F7">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méiose va permettre de réduire de moitié le nombre de jeux de chromosomes</w:t>
      </w:r>
    </w:p>
    <w:p w:rsidR="00000000" w:rsidDel="00000000" w:rsidP="00000000" w:rsidRDefault="00000000" w:rsidRPr="00000000" w14:paraId="000000F8">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0F9">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FA">
      <w:pPr>
        <w:spacing w:after="120"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35</w:t>
      </w:r>
      <w:r w:rsidDel="00000000" w:rsidR="00000000" w:rsidRPr="00000000">
        <w:rPr>
          <w:rFonts w:ascii="Arial" w:cs="Arial" w:eastAsia="Arial" w:hAnsi="Arial"/>
          <w:b w:val="1"/>
          <w:sz w:val="20"/>
          <w:szCs w:val="20"/>
          <w:rtl w:val="0"/>
        </w:rPr>
        <w:t xml:space="preserve"> : Parmi les réponses suivantes cochez la ou les bonne(s) réponse(s) :</w:t>
      </w:r>
    </w:p>
    <w:p w:rsidR="00000000" w:rsidDel="00000000" w:rsidP="00000000" w:rsidRDefault="00000000" w:rsidRPr="00000000" w14:paraId="000000FB">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crossing-over survient en méiose II</w:t>
      </w:r>
    </w:p>
    <w:p w:rsidR="00000000" w:rsidDel="00000000" w:rsidP="00000000" w:rsidRDefault="00000000" w:rsidRPr="00000000" w14:paraId="000000FC">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Lors de la prophase de méiose I les chromosomes vont s’apparier physiquement et former des tétrades</w:t>
      </w:r>
    </w:p>
    <w:p w:rsidR="00000000" w:rsidDel="00000000" w:rsidP="00000000" w:rsidRDefault="00000000" w:rsidRPr="00000000" w14:paraId="000000FD">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Pour qualifier le crossing-over on parle aussi de brassage intrachromosomique</w:t>
      </w:r>
    </w:p>
    <w:p w:rsidR="00000000" w:rsidDel="00000000" w:rsidP="00000000" w:rsidRDefault="00000000" w:rsidRPr="00000000" w14:paraId="000000FE">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En prophase de méiose I un second brassage qu’on appelle l’assortiment indépendant des</w:t>
      </w:r>
    </w:p>
    <w:p w:rsidR="00000000" w:rsidDel="00000000" w:rsidP="00000000" w:rsidRDefault="00000000" w:rsidRPr="00000000" w14:paraId="000000FF">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00">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1">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2">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3">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4">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5">
      <w:pPr>
        <w:spacing w:after="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6">
      <w:pPr>
        <w:spacing w:after="120" w:line="240" w:lineRule="auto"/>
        <w:ind w:right="120"/>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107">
      <w:pPr>
        <w:spacing w:after="120" w:line="240"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36</w:t>
      </w:r>
      <w:r w:rsidDel="00000000" w:rsidR="00000000" w:rsidRPr="00000000">
        <w:rPr>
          <w:rFonts w:ascii="Arial" w:cs="Arial" w:eastAsia="Arial" w:hAnsi="Arial"/>
          <w:b w:val="1"/>
          <w:sz w:val="20"/>
          <w:szCs w:val="20"/>
          <w:rtl w:val="0"/>
        </w:rPr>
        <w:t xml:space="preserve"> : Vous voyez en consultation les parents d’un petit garçon atteint d’achondroplasie. Indiquez-la (les) proposition(s) exacte(s) (inspiré d’annales) :</w:t>
      </w:r>
    </w:p>
    <w:p w:rsidR="00000000" w:rsidDel="00000000" w:rsidP="00000000" w:rsidRDefault="00000000" w:rsidRPr="00000000" w14:paraId="00000108">
      <w:pPr>
        <w:spacing w:after="120" w:line="240" w:lineRule="auto"/>
        <w:ind w:right="120"/>
        <w:rPr>
          <w:rFonts w:ascii="Arial" w:cs="Arial" w:eastAsia="Arial" w:hAnsi="Arial"/>
          <w:sz w:val="20"/>
          <w:szCs w:val="20"/>
        </w:rPr>
      </w:pPr>
      <w:r w:rsidDel="00000000" w:rsidR="00000000" w:rsidRPr="00000000">
        <w:rPr>
          <w:rFonts w:ascii="Arial" w:cs="Arial" w:eastAsia="Arial" w:hAnsi="Arial"/>
          <w:sz w:val="20"/>
          <w:szCs w:val="20"/>
          <w:rtl w:val="0"/>
        </w:rPr>
        <w:t xml:space="preserve">A) Vous leur dites qu’il ne s’agit pas d’une maladie génétique puisqu’il n’y a aucun antécédent familial</w:t>
        <w:br w:type="textWrapping"/>
        <w:t xml:space="preserve">B) Vous leur dites qu’ils n’ont pas de risque d’avoir un nouvel enfant atteint de cette maladie lors d’une prochaine grossesse</w:t>
        <w:br w:type="textWrapping"/>
        <w:t xml:space="preserve">C) Vous leur dites qu’ils n’ont pas transmis cette maladie à leur enfant puisque tous les 2 sont de taille normal</w:t>
        <w:br w:type="textWrapping"/>
        <w:t xml:space="preserve">D) Vous leur dites que, de toute manière, il n’y avait aucun moyen de dépister la maladie pendant la grossesse</w:t>
        <w:br w:type="textWrapping"/>
        <w:t xml:space="preserve">E) Les propositions A, B, C et D sont fausses</w:t>
        <w:br w:type="textWrapping"/>
      </w:r>
    </w:p>
    <w:p w:rsidR="00000000" w:rsidDel="00000000" w:rsidP="00000000" w:rsidRDefault="00000000" w:rsidRPr="00000000" w14:paraId="00000109">
      <w:pPr>
        <w:spacing w:after="120" w:line="240" w:lineRule="auto"/>
        <w:ind w:right="120"/>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QCM 37</w:t>
      </w:r>
      <w:r w:rsidDel="00000000" w:rsidR="00000000" w:rsidRPr="00000000">
        <w:rPr>
          <w:rFonts w:ascii="Arial" w:cs="Arial" w:eastAsia="Arial" w:hAnsi="Arial"/>
          <w:b w:val="1"/>
          <w:sz w:val="20"/>
          <w:szCs w:val="20"/>
          <w:rtl w:val="0"/>
        </w:rPr>
        <w:t xml:space="preserve"> : Concernant les enjeux liés à la génétique médicale, indiquez-la (les) proposition(s) exacte(s) :</w:t>
        <w:br w:type="textWrapping"/>
        <w:br w:type="textWrapping"/>
      </w:r>
      <w:r w:rsidDel="00000000" w:rsidR="00000000" w:rsidRPr="00000000">
        <w:rPr>
          <w:rFonts w:ascii="Arial" w:cs="Arial" w:eastAsia="Arial" w:hAnsi="Arial"/>
          <w:sz w:val="20"/>
          <w:szCs w:val="20"/>
          <w:rtl w:val="0"/>
        </w:rPr>
        <w:t xml:space="preserve">A) Les organismes privés qui propose de la génétique récréative pour savoir avoir nos origines ne représente aucun danger notable</w:t>
        <w:br w:type="textWrapping"/>
        <w:t xml:space="preserve">B) Les algorithmes bio-informatiques sont indispensables à l’interprétation des résultats issus de la biologie moléculaire</w:t>
        <w:br w:type="textWrapping"/>
        <w:t xml:space="preserve">C) La médecine génomique rend possible le développement de thérapies ciblées.</w:t>
        <w:br w:type="textWrapping"/>
        <w:t xml:space="preserve">D) La répartition des équipements de biologie moléculaire est homogène sur tout le territoire</w:t>
        <w:br w:type="textWrapping"/>
        <w:t xml:space="preserve">E) Les propositions A, B, C et D sont fausses</w:t>
        <w:br w:type="textWrapping"/>
        <w:br w:type="textWrapping"/>
      </w:r>
      <w:r w:rsidDel="00000000" w:rsidR="00000000" w:rsidRPr="00000000">
        <w:rPr>
          <w:rFonts w:ascii="Arial" w:cs="Arial" w:eastAsia="Arial" w:hAnsi="Arial"/>
          <w:b w:val="1"/>
          <w:sz w:val="20"/>
          <w:szCs w:val="20"/>
          <w:u w:val="single"/>
          <w:rtl w:val="0"/>
        </w:rPr>
        <w:t xml:space="preserve">QCM 38</w:t>
      </w:r>
      <w:r w:rsidDel="00000000" w:rsidR="00000000" w:rsidRPr="00000000">
        <w:rPr>
          <w:rFonts w:ascii="Arial" w:cs="Arial" w:eastAsia="Arial" w:hAnsi="Arial"/>
          <w:b w:val="1"/>
          <w:sz w:val="20"/>
          <w:szCs w:val="20"/>
          <w:rtl w:val="0"/>
        </w:rPr>
        <w:t xml:space="preserve"> : Vous êtes gynécologue médicale, vous recevez en consultation une femme de 38 ans et enceinte. Lors de l’échographie du 1ᵉʳ trimestre, certains signes morphologiques font suspecter une trisomie 21 chez le fœtus. Indiquez-la (les) proposition(s) exacte(s) :</w:t>
        <w:br w:type="textWrapping"/>
        <w:br w:type="textWrapping"/>
      </w:r>
      <w:r w:rsidDel="00000000" w:rsidR="00000000" w:rsidRPr="00000000">
        <w:rPr>
          <w:rFonts w:ascii="Arial" w:cs="Arial" w:eastAsia="Arial" w:hAnsi="Arial"/>
          <w:sz w:val="20"/>
          <w:szCs w:val="20"/>
          <w:rtl w:val="0"/>
        </w:rPr>
        <w:t xml:space="preserve">A) La trisomie 21 est une maladie génique due à une mutation ponctuelle</w:t>
        <w:br w:type="textWrapping"/>
        <w:t xml:space="preserve">B) Le diagnostic repose sur une analyse cytogénétique du nombre de chromosomes</w:t>
        <w:br w:type="textWrapping"/>
        <w:t xml:space="preserve">C) La trisomie 21 correspond à une maladie chromosomique due à un chromosome 21 supplémentaire</w:t>
        <w:br w:type="textWrapping"/>
        <w:t xml:space="preserve">D) La génétique moléculaire est la technique de référence pour confirmer une trisomie 21</w:t>
        <w:br w:type="textWrapping"/>
        <w:t xml:space="preserve">E) Les propositions A, B, C et D sont fausses</w:t>
        <w:br w:type="textWrapping"/>
      </w:r>
      <w:r w:rsidDel="00000000" w:rsidR="00000000" w:rsidRPr="00000000">
        <w:rPr>
          <w:rtl w:val="0"/>
        </w:rPr>
      </w:r>
    </w:p>
    <w:p w:rsidR="00000000" w:rsidDel="00000000" w:rsidP="00000000" w:rsidRDefault="00000000" w:rsidRPr="00000000" w14:paraId="0000010A">
      <w:pPr>
        <w:spacing w:after="120" w:line="240"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39</w:t>
      </w:r>
      <w:r w:rsidDel="00000000" w:rsidR="00000000" w:rsidRPr="00000000">
        <w:rPr>
          <w:rFonts w:ascii="Arial" w:cs="Arial" w:eastAsia="Arial" w:hAnsi="Arial"/>
          <w:b w:val="1"/>
          <w:sz w:val="20"/>
          <w:szCs w:val="20"/>
          <w:rtl w:val="0"/>
        </w:rPr>
        <w:t xml:space="preserve"> : Concernant l’extraction de l’ADN,</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indiquez-la(les) proposition(s) vraie(s) :</w:t>
      </w:r>
    </w:p>
    <w:p w:rsidR="00000000" w:rsidDel="00000000" w:rsidP="00000000" w:rsidRDefault="00000000" w:rsidRPr="00000000" w14:paraId="0000010B">
      <w:pPr>
        <w:spacing w:after="120" w:line="240" w:lineRule="auto"/>
        <w:ind w:right="120"/>
        <w:rPr>
          <w:rFonts w:ascii="Arial" w:cs="Arial" w:eastAsia="Arial" w:hAnsi="Arial"/>
          <w:sz w:val="20"/>
          <w:szCs w:val="20"/>
        </w:rPr>
      </w:pPr>
      <w:r w:rsidDel="00000000" w:rsidR="00000000" w:rsidRPr="00000000">
        <w:rPr>
          <w:rFonts w:ascii="Arial" w:cs="Arial" w:eastAsia="Arial" w:hAnsi="Arial"/>
          <w:sz w:val="20"/>
          <w:szCs w:val="20"/>
          <w:rtl w:val="0"/>
        </w:rPr>
        <w:t xml:space="preserve">A) Pour extraire l’ADN, l’héparine est préférée à l’EDTA car elle n’inhibe pas les étapes suivant cette extraction (telle que la PCR par exemple)</w:t>
        <w:br w:type="textWrapping"/>
        <w:t xml:space="preserve">B) Les globules rouges sont détruits par une solution hypotonique car ils n’ont pas de noyau, et ne contiennent donc pas d’ADN</w:t>
        <w:br w:type="textWrapping"/>
        <w:t xml:space="preserve">C) On utilise de la DNAse pour protéger l’ADN contre sa dégradation spontanée lors de l’extraction</w:t>
        <w:br w:type="textWrapping"/>
        <w:t xml:space="preserve">D) L’ADN précipite sous forme de « méduse » après ajout d’éthanol froid et de sels.</w:t>
        <w:br w:type="textWrapping"/>
        <w:t xml:space="preserve">E) Les propositions A, B, C et D sont fausses</w:t>
        <w:br w:type="textWrapping"/>
      </w:r>
    </w:p>
    <w:p w:rsidR="00000000" w:rsidDel="00000000" w:rsidP="00000000" w:rsidRDefault="00000000" w:rsidRPr="00000000" w14:paraId="0000010C">
      <w:pPr>
        <w:spacing w:after="120" w:line="240"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40</w:t>
      </w:r>
      <w:r w:rsidDel="00000000" w:rsidR="00000000" w:rsidRPr="00000000">
        <w:rPr>
          <w:rFonts w:ascii="Arial" w:cs="Arial" w:eastAsia="Arial" w:hAnsi="Arial"/>
          <w:b w:val="1"/>
          <w:sz w:val="20"/>
          <w:szCs w:val="20"/>
          <w:rtl w:val="0"/>
        </w:rPr>
        <w:t xml:space="preserve"> : Concernant les propriétés de l’ADN,</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0"/>
          <w:szCs w:val="20"/>
          <w:rtl w:val="0"/>
        </w:rPr>
        <w:t xml:space="preserve">indiquez-la(les) proposition(s) vraie(s) :</w:t>
      </w:r>
    </w:p>
    <w:p w:rsidR="00000000" w:rsidDel="00000000" w:rsidP="00000000" w:rsidRDefault="00000000" w:rsidRPr="00000000" w14:paraId="0000010D">
      <w:pPr>
        <w:spacing w:after="120" w:line="240" w:lineRule="auto"/>
        <w:ind w:right="120"/>
        <w:rPr>
          <w:rFonts w:ascii="Arial" w:cs="Arial" w:eastAsia="Arial" w:hAnsi="Arial"/>
          <w:b w:val="1"/>
          <w:sz w:val="20"/>
          <w:szCs w:val="20"/>
        </w:rPr>
      </w:pPr>
      <w:r w:rsidDel="00000000" w:rsidR="00000000" w:rsidRPr="00000000">
        <w:rPr>
          <w:rFonts w:ascii="Arial" w:cs="Arial" w:eastAsia="Arial" w:hAnsi="Arial"/>
          <w:sz w:val="20"/>
          <w:szCs w:val="20"/>
          <w:rtl w:val="0"/>
        </w:rPr>
        <w:t xml:space="preserve">A) À 95°C, les deux brins d’ADN se séparent, l’ADN double brin est donc dénaturé en ADN simple brin</w:t>
        <w:br w:type="textWrapping"/>
        <w:t xml:space="preserve">B) À 4°C, un ADN simple brin peut s’hybrider rapidement avec un autre brin d’ADN</w:t>
        <w:br w:type="textWrapping"/>
        <w:t xml:space="preserve">C) La migration électrophorétique sépare les fragments d’ADN selon leur taille</w:t>
        <w:br w:type="textWrapping"/>
        <w:t xml:space="preserve">D) La Taq polymérase fonctionne uniquement à des températures très hautes, autour de 300°C</w:t>
        <w:br w:type="textWrapping"/>
        <w:t xml:space="preserve">E) Les propositions A, B, C et D sont fausses</w:t>
        <w:br w:type="textWrapping"/>
        <w:br w:type="textWrapping"/>
      </w:r>
      <w:r w:rsidDel="00000000" w:rsidR="00000000" w:rsidRPr="00000000">
        <w:rPr>
          <w:rFonts w:ascii="Arial" w:cs="Arial" w:eastAsia="Arial" w:hAnsi="Arial"/>
          <w:b w:val="1"/>
          <w:sz w:val="20"/>
          <w:szCs w:val="20"/>
          <w:u w:val="single"/>
          <w:rtl w:val="0"/>
        </w:rPr>
        <w:t xml:space="preserve">QCM 41</w:t>
      </w:r>
      <w:r w:rsidDel="00000000" w:rsidR="00000000" w:rsidRPr="00000000">
        <w:rPr>
          <w:rFonts w:ascii="Arial" w:cs="Arial" w:eastAsia="Arial" w:hAnsi="Arial"/>
          <w:b w:val="1"/>
          <w:sz w:val="20"/>
          <w:szCs w:val="20"/>
          <w:rtl w:val="0"/>
        </w:rPr>
        <w:t xml:space="preserve"> : Concernant les enzymes de restriction, indiquez-la(les) proposition(s) vraie(s) :</w:t>
      </w:r>
    </w:p>
    <w:p w:rsidR="00000000" w:rsidDel="00000000" w:rsidP="00000000" w:rsidRDefault="00000000" w:rsidRPr="00000000" w14:paraId="0000010E">
      <w:pPr>
        <w:spacing w:after="120" w:line="240" w:lineRule="auto"/>
        <w:ind w:right="120"/>
        <w:rPr>
          <w:rFonts w:ascii="Arial" w:cs="Arial" w:eastAsia="Arial" w:hAnsi="Arial"/>
          <w:sz w:val="20"/>
          <w:szCs w:val="20"/>
        </w:rPr>
      </w:pPr>
      <w:r w:rsidDel="00000000" w:rsidR="00000000" w:rsidRPr="00000000">
        <w:rPr>
          <w:rFonts w:ascii="Arial" w:cs="Arial" w:eastAsia="Arial" w:hAnsi="Arial"/>
          <w:sz w:val="20"/>
          <w:szCs w:val="20"/>
          <w:rtl w:val="0"/>
        </w:rPr>
        <w:t xml:space="preserve">A) Les séquences reconnues par les enzymes de restriction sont annagramiques</w:t>
        <w:br w:type="textWrapping"/>
        <w:t xml:space="preserve">B) Les isoschizomères reconnaissent des séquences différentes mais issues de la même bactérie</w:t>
        <w:br w:type="textWrapping"/>
        <w:t xml:space="preserve">C) Les coupures à bouts francs sont plus simples à ligaturer que les bouts cohésifs</w:t>
        <w:br w:type="textWrapping"/>
        <w:t xml:space="preserve">D) EcoRI est une enzyme de restriction de type II</w:t>
        <w:br w:type="textWrapping"/>
        <w:t xml:space="preserve">E) Les propositions A, B, C et D sont fausses</w:t>
      </w:r>
    </w:p>
    <w:p w:rsidR="00000000" w:rsidDel="00000000" w:rsidP="00000000" w:rsidRDefault="00000000" w:rsidRPr="00000000" w14:paraId="0000010F">
      <w:pPr>
        <w:spacing w:after="120" w:line="240" w:lineRule="auto"/>
        <w:ind w:right="120"/>
        <w:rPr>
          <w:rFonts w:ascii="Arial" w:cs="Arial" w:eastAsia="Arial" w:hAnsi="Arial"/>
          <w:sz w:val="20"/>
          <w:szCs w:val="20"/>
        </w:rPr>
      </w:pPr>
      <w:r w:rsidDel="00000000" w:rsidR="00000000" w:rsidRPr="00000000">
        <w:rPr>
          <w:rFonts w:ascii="Arial" w:cs="Arial" w:eastAsia="Arial" w:hAnsi="Arial"/>
          <w:b w:val="1"/>
          <w:sz w:val="20"/>
          <w:szCs w:val="20"/>
          <w:u w:val="single"/>
          <w:rtl w:val="0"/>
        </w:rPr>
        <w:t xml:space="preserve">QCM 42</w:t>
      </w:r>
      <w:r w:rsidDel="00000000" w:rsidR="00000000" w:rsidRPr="00000000">
        <w:rPr>
          <w:rFonts w:ascii="Arial" w:cs="Arial" w:eastAsia="Arial" w:hAnsi="Arial"/>
          <w:b w:val="1"/>
          <w:sz w:val="20"/>
          <w:szCs w:val="20"/>
          <w:rtl w:val="0"/>
        </w:rPr>
        <w:t xml:space="preserve"> : Concernant la qPCR (PCR en temps réel), indiquez-la (les) proposition(s) vraie(s) :</w:t>
        <w:br w:type="textWrapping"/>
        <w:br w:type="textWrapping"/>
      </w:r>
      <w:r w:rsidDel="00000000" w:rsidR="00000000" w:rsidRPr="00000000">
        <w:rPr>
          <w:rFonts w:ascii="Arial" w:cs="Arial" w:eastAsia="Arial" w:hAnsi="Arial"/>
          <w:sz w:val="20"/>
          <w:szCs w:val="20"/>
          <w:rtl w:val="0"/>
        </w:rPr>
        <w:t xml:space="preserve">A) Le SYBR Green est fluorescent lorsqu’il s’intercale dans l’ADN double brin</w:t>
        <w:br w:type="textWrapping"/>
        <w:t xml:space="preserve">B) Le Ct (cycle threshold) est défini comme le cycle à partir duquel la fluorescence dépasse un seuil prédéfini, donc juste au début de la phase exponentielle détectable</w:t>
        <w:br w:type="textWrapping"/>
        <w:t xml:space="preserve">C) Pour 10 fois plus d’ADN initial, le Ct est atteint environ 1 cycle plus tôt</w:t>
        <w:br w:type="textWrapping"/>
        <w:t xml:space="preserve">D) La qPCR permet de quantifier la charge virale d’un patient</w:t>
        <w:br w:type="textWrapping"/>
        <w:t xml:space="preserve">E) Les propositions A, B, C et D sont fausses.</w:t>
      </w:r>
    </w:p>
    <w:p w:rsidR="00000000" w:rsidDel="00000000" w:rsidP="00000000" w:rsidRDefault="00000000" w:rsidRPr="00000000" w14:paraId="00000110">
      <w:pPr>
        <w:spacing w:after="120" w:line="240" w:lineRule="auto"/>
        <w:ind w:right="1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1">
      <w:pPr>
        <w:spacing w:after="120" w:line="240" w:lineRule="auto"/>
        <w:ind w:right="120"/>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43</w:t>
      </w:r>
      <w:r w:rsidDel="00000000" w:rsidR="00000000" w:rsidRPr="00000000">
        <w:rPr>
          <w:rFonts w:ascii="Arial" w:cs="Arial" w:eastAsia="Arial" w:hAnsi="Arial"/>
          <w:b w:val="1"/>
          <w:sz w:val="20"/>
          <w:szCs w:val="20"/>
          <w:rtl w:val="0"/>
        </w:rPr>
        <w:t xml:space="preserve"> : A propos des généralités sur la reproduction, indiquez la (les) proposition(s) exacte(s) :</w:t>
      </w:r>
    </w:p>
    <w:p w:rsidR="00000000" w:rsidDel="00000000" w:rsidP="00000000" w:rsidRDefault="00000000" w:rsidRPr="00000000" w14:paraId="0000011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L’ovocyte à la fonction de mobilité</w:t>
      </w:r>
    </w:p>
    <w:p w:rsidR="00000000" w:rsidDel="00000000" w:rsidP="00000000" w:rsidRDefault="00000000" w:rsidRPr="00000000" w14:paraId="0000011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spermatozoïde a la fonction de nutrition</w:t>
      </w:r>
    </w:p>
    <w:p w:rsidR="00000000" w:rsidDel="00000000" w:rsidP="00000000" w:rsidRDefault="00000000" w:rsidRPr="00000000" w14:paraId="0000011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L’ovocyte a un coût de fabrication raisonnable</w:t>
      </w:r>
    </w:p>
    <w:p w:rsidR="00000000" w:rsidDel="00000000" w:rsidP="00000000" w:rsidRDefault="00000000" w:rsidRPr="00000000" w14:paraId="0000011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notion de répartition des tâches entre les deux gamètes se nomment l’anisogamie</w:t>
      </w:r>
    </w:p>
    <w:p w:rsidR="00000000" w:rsidDel="00000000" w:rsidP="00000000" w:rsidRDefault="00000000" w:rsidRPr="00000000" w14:paraId="00000118">
      <w:pPr>
        <w:spacing w:after="0" w:line="240" w:lineRule="auto"/>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E) Les propositions A, B, C et D sont fausses</w:t>
      </w:r>
      <w:r w:rsidDel="00000000" w:rsidR="00000000" w:rsidRPr="00000000">
        <w:rPr>
          <w:rtl w:val="0"/>
        </w:rPr>
      </w:r>
    </w:p>
    <w:p w:rsidR="00000000" w:rsidDel="00000000" w:rsidP="00000000" w:rsidRDefault="00000000" w:rsidRPr="00000000" w14:paraId="00000119">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11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44</w:t>
      </w:r>
      <w:r w:rsidDel="00000000" w:rsidR="00000000" w:rsidRPr="00000000">
        <w:rPr>
          <w:rFonts w:ascii="Arial" w:cs="Arial" w:eastAsia="Arial" w:hAnsi="Arial"/>
          <w:b w:val="1"/>
          <w:sz w:val="20"/>
          <w:szCs w:val="20"/>
          <w:rtl w:val="0"/>
        </w:rPr>
        <w:t xml:space="preserve"> : A propos des généralités sur la reproduction, indiquez la (les) proposition(s) exacte(s) :</w:t>
      </w:r>
    </w:p>
    <w:p w:rsidR="00000000" w:rsidDel="00000000" w:rsidP="00000000" w:rsidRDefault="00000000" w:rsidRPr="00000000" w14:paraId="0000011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reproduction sexuée joue un rôle indispensable dans la survie et l'évolution des espèces</w:t>
      </w:r>
    </w:p>
    <w:p w:rsidR="00000000" w:rsidDel="00000000" w:rsidP="00000000" w:rsidRDefault="00000000" w:rsidRPr="00000000" w14:paraId="0000011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Elle permet un brassage génétique très important</w:t>
      </w:r>
    </w:p>
    <w:p w:rsidR="00000000" w:rsidDel="00000000" w:rsidP="00000000" w:rsidRDefault="00000000" w:rsidRPr="00000000" w14:paraId="0000011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Elle permet également la diversité au sein d'une même espèce</w:t>
      </w:r>
    </w:p>
    <w:p w:rsidR="00000000" w:rsidDel="00000000" w:rsidP="00000000" w:rsidRDefault="00000000" w:rsidRPr="00000000" w14:paraId="0000011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fraisier utilise les deux modes de reproduction</w:t>
      </w:r>
    </w:p>
    <w:p w:rsidR="00000000" w:rsidDel="00000000" w:rsidP="00000000" w:rsidRDefault="00000000" w:rsidRPr="00000000" w14:paraId="0000011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2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45</w:t>
      </w:r>
      <w:r w:rsidDel="00000000" w:rsidR="00000000" w:rsidRPr="00000000">
        <w:rPr>
          <w:rFonts w:ascii="Arial" w:cs="Arial" w:eastAsia="Arial" w:hAnsi="Arial"/>
          <w:b w:val="1"/>
          <w:sz w:val="20"/>
          <w:szCs w:val="20"/>
          <w:rtl w:val="0"/>
        </w:rPr>
        <w:t xml:space="preserve"> : A propos de l’ovogenèse, dans l’ordre :</w:t>
      </w:r>
    </w:p>
    <w:p w:rsidR="00000000" w:rsidDel="00000000" w:rsidP="00000000" w:rsidRDefault="00000000" w:rsidRPr="00000000" w14:paraId="000001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Début à la 12e semaine de développement - 1er blocage en métaphase I - reprise à la puberté - 2e blocage en prophase II </w:t>
      </w:r>
    </w:p>
    <w:p w:rsidR="00000000" w:rsidDel="00000000" w:rsidP="00000000" w:rsidRDefault="00000000" w:rsidRPr="00000000" w14:paraId="0000012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Début à la naissance - 1er blocage en métaphase II - reprise à la puberté - 2e blocage en prophase I </w:t>
      </w:r>
    </w:p>
    <w:p w:rsidR="00000000" w:rsidDel="00000000" w:rsidP="00000000" w:rsidRDefault="00000000" w:rsidRPr="00000000" w14:paraId="0000012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Début à la 12e semaine de développement - 1er blocage en prophase I - reprise à la puberté - 2e blocage en métaphase II </w:t>
      </w:r>
    </w:p>
    <w:p w:rsidR="00000000" w:rsidDel="00000000" w:rsidP="00000000" w:rsidRDefault="00000000" w:rsidRPr="00000000" w14:paraId="0000012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Début à la 20e semaine de développement - 1er blocage en prophase I - reprise à la puberté - 2e blocage en métaphase II </w:t>
      </w:r>
    </w:p>
    <w:p w:rsidR="00000000" w:rsidDel="00000000" w:rsidP="00000000" w:rsidRDefault="00000000" w:rsidRPr="00000000" w14:paraId="0000012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2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46</w:t>
      </w:r>
      <w:r w:rsidDel="00000000" w:rsidR="00000000" w:rsidRPr="00000000">
        <w:rPr>
          <w:rFonts w:ascii="Arial" w:cs="Arial" w:eastAsia="Arial" w:hAnsi="Arial"/>
          <w:b w:val="1"/>
          <w:sz w:val="20"/>
          <w:szCs w:val="20"/>
          <w:rtl w:val="0"/>
        </w:rPr>
        <w:t xml:space="preserve"> : A propos de l’appareil génital féminin, indiquez la (les) fonctions que l’utérus n’exerce(nt) PAS :</w:t>
      </w:r>
    </w:p>
    <w:p w:rsidR="00000000" w:rsidDel="00000000" w:rsidP="00000000" w:rsidRDefault="00000000" w:rsidRPr="00000000" w14:paraId="0000012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capacitation des spermatozoïdes</w:t>
      </w:r>
    </w:p>
    <w:p w:rsidR="00000000" w:rsidDel="00000000" w:rsidP="00000000" w:rsidRDefault="00000000" w:rsidRPr="00000000" w14:paraId="0000012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Un verrou semi-contraceptif grâce à la glaire cervicale</w:t>
      </w:r>
    </w:p>
    <w:p w:rsidR="00000000" w:rsidDel="00000000" w:rsidP="00000000" w:rsidRDefault="00000000" w:rsidRPr="00000000" w14:paraId="0000012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développement embryonnaire</w:t>
      </w:r>
    </w:p>
    <w:p w:rsidR="00000000" w:rsidDel="00000000" w:rsidP="00000000" w:rsidRDefault="00000000" w:rsidRPr="00000000" w14:paraId="0000012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production de gamètes</w:t>
      </w:r>
    </w:p>
    <w:p w:rsidR="00000000" w:rsidDel="00000000" w:rsidP="00000000" w:rsidRDefault="00000000" w:rsidRPr="00000000" w14:paraId="0000012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2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47</w:t>
      </w:r>
      <w:r w:rsidDel="00000000" w:rsidR="00000000" w:rsidRPr="00000000">
        <w:rPr>
          <w:rFonts w:ascii="Arial" w:cs="Arial" w:eastAsia="Arial" w:hAnsi="Arial"/>
          <w:b w:val="1"/>
          <w:sz w:val="20"/>
          <w:szCs w:val="20"/>
          <w:rtl w:val="0"/>
        </w:rPr>
        <w:t xml:space="preserve"> : A propos de l’appareil génital féminin, indiquez la (les) proposition(s) exacte(s) :</w:t>
      </w:r>
    </w:p>
    <w:p w:rsidR="00000000" w:rsidDel="00000000" w:rsidP="00000000" w:rsidRDefault="00000000" w:rsidRPr="00000000" w14:paraId="0000013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femme n’a pas de pool stock car la phase de multiplication pendant la vie in utero conerne toutes les gonies </w:t>
      </w:r>
    </w:p>
    <w:p w:rsidR="00000000" w:rsidDel="00000000" w:rsidP="00000000" w:rsidRDefault="00000000" w:rsidRPr="00000000" w14:paraId="0000013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L’activateur du plasminogène et les collagénases servent à rompre la membrane de Slavjanski et ainsi libérer l’ovocyte </w:t>
      </w:r>
    </w:p>
    <w:p w:rsidR="00000000" w:rsidDel="00000000" w:rsidP="00000000" w:rsidRDefault="00000000" w:rsidRPr="00000000" w14:paraId="0000013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femmes ont une ovulation unifolliculaire </w:t>
      </w:r>
    </w:p>
    <w:p w:rsidR="00000000" w:rsidDel="00000000" w:rsidP="00000000" w:rsidRDefault="00000000" w:rsidRPr="00000000" w14:paraId="000001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Car un seul follicule présente des récepteurs à la FSH sur sa membrane </w:t>
      </w:r>
    </w:p>
    <w:p w:rsidR="00000000" w:rsidDel="00000000" w:rsidP="00000000" w:rsidRDefault="00000000" w:rsidRPr="00000000" w14:paraId="0000013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3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6">
      <w:pPr>
        <w:spacing w:after="120"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48</w:t>
      </w:r>
      <w:r w:rsidDel="00000000" w:rsidR="00000000" w:rsidRPr="00000000">
        <w:rPr>
          <w:rFonts w:ascii="Arial" w:cs="Arial" w:eastAsia="Arial" w:hAnsi="Arial"/>
          <w:b w:val="1"/>
          <w:sz w:val="20"/>
          <w:szCs w:val="20"/>
          <w:rtl w:val="0"/>
        </w:rPr>
        <w:t xml:space="preserve"> : A propos de l’appareil génital féminin, indiquez la (les) proposition(s) exacte(s) :</w:t>
      </w:r>
    </w:p>
    <w:p w:rsidR="00000000" w:rsidDel="00000000" w:rsidP="00000000" w:rsidRDefault="00000000" w:rsidRPr="00000000" w14:paraId="00000137">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L’hypothalamus sécrète la LH et la FSH </w:t>
      </w:r>
    </w:p>
    <w:p w:rsidR="00000000" w:rsidDel="00000000" w:rsidP="00000000" w:rsidRDefault="00000000" w:rsidRPr="00000000" w14:paraId="00000138">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L’hypophyse sécrète la GnRH </w:t>
      </w:r>
    </w:p>
    <w:p w:rsidR="00000000" w:rsidDel="00000000" w:rsidP="00000000" w:rsidRDefault="00000000" w:rsidRPr="00000000" w14:paraId="00000139">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Ce sont les deux seuls niveaux de régulation</w:t>
      </w:r>
    </w:p>
    <w:p w:rsidR="00000000" w:rsidDel="00000000" w:rsidP="00000000" w:rsidRDefault="00000000" w:rsidRPr="00000000" w14:paraId="0000013A">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L’oestrogène est le plus puissant inhibiteur de GnRH </w:t>
      </w:r>
    </w:p>
    <w:p w:rsidR="00000000" w:rsidDel="00000000" w:rsidP="00000000" w:rsidRDefault="00000000" w:rsidRPr="00000000" w14:paraId="0000013B">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3C">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13D">
      <w:pPr>
        <w:spacing w:after="120"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49</w:t>
      </w:r>
      <w:r w:rsidDel="00000000" w:rsidR="00000000" w:rsidRPr="00000000">
        <w:rPr>
          <w:rFonts w:ascii="Arial" w:cs="Arial" w:eastAsia="Arial" w:hAnsi="Arial"/>
          <w:b w:val="1"/>
          <w:sz w:val="20"/>
          <w:szCs w:val="20"/>
          <w:rtl w:val="0"/>
        </w:rPr>
        <w:t xml:space="preserve"> : A propos de l'ontogenèse de l’appareil génital, indiquez la (les) proposition(s) exacte(s) : </w:t>
      </w:r>
    </w:p>
    <w:p w:rsidR="00000000" w:rsidDel="00000000" w:rsidP="00000000" w:rsidRDefault="00000000" w:rsidRPr="00000000" w14:paraId="0000013E">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blastème mésonéphrotique provient de l'ébauche gastrique </w:t>
      </w:r>
    </w:p>
    <w:p w:rsidR="00000000" w:rsidDel="00000000" w:rsidP="00000000" w:rsidRDefault="00000000" w:rsidRPr="00000000" w14:paraId="0000013F">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Il viendra d’ailleurs donner progressivement les crêtes urogénitales </w:t>
      </w:r>
    </w:p>
    <w:p w:rsidR="00000000" w:rsidDel="00000000" w:rsidP="00000000" w:rsidRDefault="00000000" w:rsidRPr="00000000" w14:paraId="00000140">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canaux de Wolff se développeront dans le sens du tractus génital masculin et les canaux de müller régresseront si on a la présence d’AMH </w:t>
      </w:r>
    </w:p>
    <w:p w:rsidR="00000000" w:rsidDel="00000000" w:rsidP="00000000" w:rsidRDefault="00000000" w:rsidRPr="00000000" w14:paraId="00000141">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A la fin du premier trimestre de grossesse, tout est terminé en terme de différenciation gonadique </w:t>
      </w:r>
    </w:p>
    <w:p w:rsidR="00000000" w:rsidDel="00000000" w:rsidP="00000000" w:rsidRDefault="00000000" w:rsidRPr="00000000" w14:paraId="00000142">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43">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144">
      <w:pPr>
        <w:spacing w:after="120"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50</w:t>
      </w:r>
      <w:r w:rsidDel="00000000" w:rsidR="00000000" w:rsidRPr="00000000">
        <w:rPr>
          <w:rFonts w:ascii="Arial" w:cs="Arial" w:eastAsia="Arial" w:hAnsi="Arial"/>
          <w:b w:val="1"/>
          <w:sz w:val="20"/>
          <w:szCs w:val="20"/>
          <w:rtl w:val="0"/>
        </w:rPr>
        <w:t xml:space="preserve"> : A propos du développement du tractus génital, indiquez la (les) proposition(s) exacte(s) : </w:t>
      </w:r>
    </w:p>
    <w:p w:rsidR="00000000" w:rsidDel="00000000" w:rsidP="00000000" w:rsidRDefault="00000000" w:rsidRPr="00000000" w14:paraId="00000145">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partie intermédiaire des canaux de Müller va donner le corps utérin </w:t>
      </w:r>
    </w:p>
    <w:p w:rsidR="00000000" w:rsidDel="00000000" w:rsidP="00000000" w:rsidRDefault="00000000" w:rsidRPr="00000000" w14:paraId="00000146">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renflement labioscrotal donnera chez la fille les petites lèvres et chez le garçon le scrotum </w:t>
      </w:r>
    </w:p>
    <w:p w:rsidR="00000000" w:rsidDel="00000000" w:rsidP="00000000" w:rsidRDefault="00000000" w:rsidRPr="00000000" w14:paraId="00000147">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La différenciation du tractus génital externe est purement lié à l'imprégnation hormonale </w:t>
      </w:r>
    </w:p>
    <w:p w:rsidR="00000000" w:rsidDel="00000000" w:rsidP="00000000" w:rsidRDefault="00000000" w:rsidRPr="00000000" w14:paraId="00000148">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Si on a une absence de DHT pour un génotype XY, on aura un sexe féminin totalement fonctionnel </w:t>
      </w:r>
    </w:p>
    <w:p w:rsidR="00000000" w:rsidDel="00000000" w:rsidP="00000000" w:rsidRDefault="00000000" w:rsidRPr="00000000" w14:paraId="00000149">
      <w:pPr>
        <w:spacing w:after="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4A">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14B">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14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51</w:t>
      </w:r>
      <w:r w:rsidDel="00000000" w:rsidR="00000000" w:rsidRPr="00000000">
        <w:rPr>
          <w:rFonts w:ascii="Arial" w:cs="Arial" w:eastAsia="Arial" w:hAnsi="Arial"/>
          <w:b w:val="1"/>
          <w:sz w:val="20"/>
          <w:szCs w:val="20"/>
          <w:rtl w:val="0"/>
        </w:rPr>
        <w:t xml:space="preserve"> : A propos de l’appareil génital masculin, indiquez la (les) proposition(s) exacte(s) : </w:t>
      </w:r>
    </w:p>
    <w:p w:rsidR="00000000" w:rsidDel="00000000" w:rsidP="00000000" w:rsidRDefault="00000000" w:rsidRPr="00000000" w14:paraId="0000014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rigidification du gubernaculum testis permet au testicule d’emporter un rempli du péritoine sur son chemin, il s’agit de l'albuginée </w:t>
      </w:r>
    </w:p>
    <w:p w:rsidR="00000000" w:rsidDel="00000000" w:rsidP="00000000" w:rsidRDefault="00000000" w:rsidRPr="00000000" w14:paraId="0000014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rete testis va donner naissance aux canaux efférents qui vont eux même donner le canal déférent </w:t>
      </w:r>
    </w:p>
    <w:p w:rsidR="00000000" w:rsidDel="00000000" w:rsidP="00000000" w:rsidRDefault="00000000" w:rsidRPr="00000000" w14:paraId="0000014F">
      <w:pPr>
        <w:spacing w:after="0" w:line="240" w:lineRule="auto"/>
        <w:rPr>
          <w:rFonts w:ascii="Arial" w:cs="Arial" w:eastAsia="Arial" w:hAnsi="Arial"/>
          <w:b w:val="1"/>
          <w:sz w:val="24"/>
          <w:szCs w:val="24"/>
        </w:rPr>
      </w:pPr>
      <w:r w:rsidDel="00000000" w:rsidR="00000000" w:rsidRPr="00000000">
        <w:rPr>
          <w:rFonts w:ascii="Arial" w:cs="Arial" w:eastAsia="Arial" w:hAnsi="Arial"/>
          <w:sz w:val="20"/>
          <w:szCs w:val="20"/>
          <w:rtl w:val="0"/>
        </w:rPr>
        <w:t xml:space="preserve">C) Les deux canaux déférents viennent s'aboucher directement dans l’urètre,ce qui permettra l’émission des spermatozoïdes lors de l’éjaculation </w:t>
      </w:r>
      <w:r w:rsidDel="00000000" w:rsidR="00000000" w:rsidRPr="00000000">
        <w:rPr>
          <w:rtl w:val="0"/>
        </w:rPr>
      </w:r>
    </w:p>
    <w:p w:rsidR="00000000" w:rsidDel="00000000" w:rsidP="00000000" w:rsidRDefault="00000000" w:rsidRPr="00000000" w14:paraId="0000015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L’urètre est entouré du corps caverneux et du corps spongieux qui constituent le pénis </w:t>
      </w:r>
    </w:p>
    <w:p w:rsidR="00000000" w:rsidDel="00000000" w:rsidP="00000000" w:rsidRDefault="00000000" w:rsidRPr="00000000" w14:paraId="0000015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5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52</w:t>
      </w:r>
      <w:r w:rsidDel="00000000" w:rsidR="00000000" w:rsidRPr="00000000">
        <w:rPr>
          <w:rFonts w:ascii="Arial" w:cs="Arial" w:eastAsia="Arial" w:hAnsi="Arial"/>
          <w:b w:val="1"/>
          <w:sz w:val="20"/>
          <w:szCs w:val="20"/>
          <w:rtl w:val="0"/>
        </w:rPr>
        <w:t xml:space="preserve"> : A propos de l’étape de croissance et de maturation,  indiquez la (les) proposition(s) exacte(s) :</w:t>
      </w:r>
    </w:p>
    <w:p w:rsidR="00000000" w:rsidDel="00000000" w:rsidP="00000000" w:rsidRDefault="00000000" w:rsidRPr="00000000" w14:paraId="0000015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Cette étape consiste en une division de méiose pour arriver à des spermatocytes II </w:t>
      </w:r>
    </w:p>
    <w:p w:rsidR="00000000" w:rsidDel="00000000" w:rsidP="00000000" w:rsidRDefault="00000000" w:rsidRPr="00000000" w14:paraId="0000015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Lors de cette étape, la méiose 1 dure seulement quelques heures alors que la méiose II dure presque 1 mois </w:t>
      </w:r>
    </w:p>
    <w:p w:rsidR="00000000" w:rsidDel="00000000" w:rsidP="00000000" w:rsidRDefault="00000000" w:rsidRPr="00000000" w14:paraId="0000015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Grâce à cette étape, on passe d’une cellule diploïde à 46K à 2 cellules haploïdes à 23K </w:t>
      </w:r>
    </w:p>
    <w:p w:rsidR="00000000" w:rsidDel="00000000" w:rsidP="00000000" w:rsidRDefault="00000000" w:rsidRPr="00000000" w14:paraId="0000015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Cette étape est la première étape de la spermatogenèse </w:t>
      </w:r>
    </w:p>
    <w:p w:rsidR="00000000" w:rsidDel="00000000" w:rsidP="00000000" w:rsidRDefault="00000000" w:rsidRPr="00000000" w14:paraId="0000015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5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53</w:t>
      </w:r>
      <w:r w:rsidDel="00000000" w:rsidR="00000000" w:rsidRPr="00000000">
        <w:rPr>
          <w:rFonts w:ascii="Arial" w:cs="Arial" w:eastAsia="Arial" w:hAnsi="Arial"/>
          <w:b w:val="1"/>
          <w:sz w:val="20"/>
          <w:szCs w:val="20"/>
          <w:rtl w:val="0"/>
        </w:rPr>
        <w:t xml:space="preserve"> : A propos de l’appareil génital masculin, indiquez la (les) proposition(s) exacte(s) : </w:t>
      </w:r>
    </w:p>
    <w:p w:rsidR="00000000" w:rsidDel="00000000" w:rsidP="00000000" w:rsidRDefault="00000000" w:rsidRPr="00000000" w14:paraId="0000015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Dans la tête de l’épididyme, on va avoir une réabsorption d'eau à 90%, ainsi qu’une absorption de testostérone et de protéine de transport ABP </w:t>
      </w:r>
    </w:p>
    <w:p w:rsidR="00000000" w:rsidDel="00000000" w:rsidP="00000000" w:rsidRDefault="00000000" w:rsidRPr="00000000" w14:paraId="0000015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Les cellules de Sertoli sont incapables de survivre au delà de 32°C, donc au delà la spermatogenèse s'arrête </w:t>
      </w:r>
    </w:p>
    <w:p w:rsidR="00000000" w:rsidDel="00000000" w:rsidP="00000000" w:rsidRDefault="00000000" w:rsidRPr="00000000" w14:paraId="0000015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Lors de la stéroïdogenèse, pour pouvoir s’activer, il faut que le récepteur gagne des protéines de choc thermiques quand le stéroïde rentre en contact avec lui</w:t>
      </w:r>
    </w:p>
    <w:p w:rsidR="00000000" w:rsidDel="00000000" w:rsidP="00000000" w:rsidRDefault="00000000" w:rsidRPr="00000000" w14:paraId="0000015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Dans le corps de l’épididyme, le spermatozoïde va être enrichi en carnitine pour permettre la survie du spermatozoïde sur sa première phase de migration </w:t>
      </w:r>
    </w:p>
    <w:p w:rsidR="00000000" w:rsidDel="00000000" w:rsidP="00000000" w:rsidRDefault="00000000" w:rsidRPr="00000000" w14:paraId="0000015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6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54</w:t>
      </w:r>
      <w:r w:rsidDel="00000000" w:rsidR="00000000" w:rsidRPr="00000000">
        <w:rPr>
          <w:rFonts w:ascii="Arial" w:cs="Arial" w:eastAsia="Arial" w:hAnsi="Arial"/>
          <w:b w:val="1"/>
          <w:sz w:val="20"/>
          <w:szCs w:val="20"/>
          <w:rtl w:val="0"/>
        </w:rPr>
        <w:t xml:space="preserve"> : A propos du déroulement de la spermiogenèse, indiquez la (les) proposition(s) exacte(s) :</w:t>
      </w:r>
    </w:p>
    <w:p w:rsidR="00000000" w:rsidDel="00000000" w:rsidP="00000000" w:rsidRDefault="00000000" w:rsidRPr="00000000" w14:paraId="0000016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La formation initiale du flagelle débute avec le centriole distal qui migre au niveau du centrosome et le centriole proximal vient se positionner de manière perpendiculaire </w:t>
      </w:r>
    </w:p>
    <w:p w:rsidR="00000000" w:rsidDel="00000000" w:rsidP="00000000" w:rsidRDefault="00000000" w:rsidRPr="00000000" w14:paraId="0000016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dernière étape est la condensation du noyau, qui permet de protéger l’ADN pour le trajet </w:t>
      </w:r>
    </w:p>
    <w:p w:rsidR="00000000" w:rsidDel="00000000" w:rsidP="00000000" w:rsidRDefault="00000000" w:rsidRPr="00000000" w14:paraId="0000016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Sur la pièce terminale du flagelle, il ne reste plus aucune mitochondrie </w:t>
      </w:r>
    </w:p>
    <w:p w:rsidR="00000000" w:rsidDel="00000000" w:rsidP="00000000" w:rsidRDefault="00000000" w:rsidRPr="00000000" w14:paraId="0000016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Le flagelle est une structure extrêmement bien conservée dans toutes les espèces </w:t>
      </w:r>
    </w:p>
    <w:p w:rsidR="00000000" w:rsidDel="00000000" w:rsidP="00000000" w:rsidRDefault="00000000" w:rsidRPr="00000000" w14:paraId="0000016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6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55</w:t>
      </w:r>
      <w:r w:rsidDel="00000000" w:rsidR="00000000" w:rsidRPr="00000000">
        <w:rPr>
          <w:rFonts w:ascii="Arial" w:cs="Arial" w:eastAsia="Arial" w:hAnsi="Arial"/>
          <w:b w:val="1"/>
          <w:sz w:val="20"/>
          <w:szCs w:val="20"/>
          <w:rtl w:val="0"/>
        </w:rPr>
        <w:t xml:space="preserve"> : A propos de la méiose , indiquez la(les) propositions(s) exacte(s) : </w:t>
      </w:r>
    </w:p>
    <w:p w:rsidR="00000000" w:rsidDel="00000000" w:rsidP="00000000" w:rsidRDefault="00000000" w:rsidRPr="00000000" w14:paraId="0000016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Celle-ci concerne toutes les cellules, animales comme végétales </w:t>
      </w:r>
    </w:p>
    <w:p w:rsidR="00000000" w:rsidDel="00000000" w:rsidP="00000000" w:rsidRDefault="00000000" w:rsidRPr="00000000" w14:paraId="0000016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On obtient finalement une reproduction conforme de la cellule fille</w:t>
      </w:r>
    </w:p>
    <w:p w:rsidR="00000000" w:rsidDel="00000000" w:rsidP="00000000" w:rsidRDefault="00000000" w:rsidRPr="00000000" w14:paraId="0000016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Celle-ci permet une augmentation du nombre de cellules lors du développement du zygote</w:t>
      </w:r>
    </w:p>
    <w:p w:rsidR="00000000" w:rsidDel="00000000" w:rsidP="00000000" w:rsidRDefault="00000000" w:rsidRPr="00000000" w14:paraId="0000016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Après celle-ci, la cellule fille pourra reprendre l’interphase</w:t>
      </w:r>
    </w:p>
    <w:p w:rsidR="00000000" w:rsidDel="00000000" w:rsidP="00000000" w:rsidRDefault="00000000" w:rsidRPr="00000000" w14:paraId="0000016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6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56</w:t>
      </w:r>
      <w:r w:rsidDel="00000000" w:rsidR="00000000" w:rsidRPr="00000000">
        <w:rPr>
          <w:rFonts w:ascii="Arial" w:cs="Arial" w:eastAsia="Arial" w:hAnsi="Arial"/>
          <w:b w:val="1"/>
          <w:sz w:val="20"/>
          <w:szCs w:val="20"/>
          <w:rtl w:val="0"/>
        </w:rPr>
        <w:t xml:space="preserve"> : A propos de la méiose et du complexe synaptonémal , indiquez la(les) propositions(s) exacte(s) : </w:t>
      </w:r>
    </w:p>
    <w:p w:rsidR="00000000" w:rsidDel="00000000" w:rsidP="00000000" w:rsidRDefault="00000000" w:rsidRPr="00000000" w14:paraId="0000017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Le complexe synaptonémal est formé, entre autres, grâce aux protéines SYCP1 et SYCP3 qui sont mises en place au stade pachytène de prophase II</w:t>
      </w:r>
    </w:p>
    <w:p w:rsidR="00000000" w:rsidDel="00000000" w:rsidP="00000000" w:rsidRDefault="00000000" w:rsidRPr="00000000" w14:paraId="0000017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La fermeture éclair entre les deux bivalents d’une paire différente se fait par la ZIP1 </w:t>
      </w:r>
    </w:p>
    <w:p w:rsidR="00000000" w:rsidDel="00000000" w:rsidP="00000000" w:rsidRDefault="00000000" w:rsidRPr="00000000" w14:paraId="0000017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 synapsis est complèt dans tout le caryotype en stade pachytène chez un individu 46(XY)</w:t>
      </w:r>
    </w:p>
    <w:p w:rsidR="00000000" w:rsidDel="00000000" w:rsidP="00000000" w:rsidRDefault="00000000" w:rsidRPr="00000000" w14:paraId="0000017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Au stade diplotène de la prophase I, les chromosomes sont appariés sur presque toute la longueur grâce aux filaments du complexe synaptonémal</w:t>
      </w:r>
    </w:p>
    <w:p w:rsidR="00000000" w:rsidDel="00000000" w:rsidP="00000000" w:rsidRDefault="00000000" w:rsidRPr="00000000" w14:paraId="0000017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7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6">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57</w:t>
      </w:r>
      <w:r w:rsidDel="00000000" w:rsidR="00000000" w:rsidRPr="00000000">
        <w:rPr>
          <w:rFonts w:ascii="Arial" w:cs="Arial" w:eastAsia="Arial" w:hAnsi="Arial"/>
          <w:b w:val="1"/>
          <w:sz w:val="20"/>
          <w:szCs w:val="20"/>
          <w:rtl w:val="0"/>
        </w:rPr>
        <w:t xml:space="preserve"> : A propos de la chimère ou ovotestis, indiquez la(les) proposition(s) exacte(s) :</w:t>
      </w:r>
    </w:p>
    <w:p w:rsidR="00000000" w:rsidDel="00000000" w:rsidP="00000000" w:rsidRDefault="00000000" w:rsidRPr="00000000" w14:paraId="0000017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Il y a coexistence de deux caryotypes : 46(XX) et 46(XY)</w:t>
      </w:r>
    </w:p>
    <w:p w:rsidR="00000000" w:rsidDel="00000000" w:rsidP="00000000" w:rsidRDefault="00000000" w:rsidRPr="00000000" w14:paraId="0000017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Le patient est virilisé mais présente une poitrine développée</w:t>
      </w:r>
    </w:p>
    <w:p w:rsidR="00000000" w:rsidDel="00000000" w:rsidP="00000000" w:rsidRDefault="00000000" w:rsidRPr="00000000" w14:paraId="0000017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Les organes génitaux externes seront aboutis</w:t>
      </w:r>
    </w:p>
    <w:p w:rsidR="00000000" w:rsidDel="00000000" w:rsidP="00000000" w:rsidRDefault="00000000" w:rsidRPr="00000000" w14:paraId="0000017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La gonade est dystrophique</w:t>
      </w:r>
    </w:p>
    <w:p w:rsidR="00000000" w:rsidDel="00000000" w:rsidP="00000000" w:rsidRDefault="00000000" w:rsidRPr="00000000" w14:paraId="0000017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7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4">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58</w:t>
      </w:r>
      <w:r w:rsidDel="00000000" w:rsidR="00000000" w:rsidRPr="00000000">
        <w:rPr>
          <w:rFonts w:ascii="Arial" w:cs="Arial" w:eastAsia="Arial" w:hAnsi="Arial"/>
          <w:b w:val="1"/>
          <w:sz w:val="20"/>
          <w:szCs w:val="20"/>
          <w:rtl w:val="0"/>
        </w:rPr>
        <w:t xml:space="preserve"> : A propos des troubles de la différenciation sexuelle, indiquez la (les) proposition(s) exacte(s) :</w:t>
      </w:r>
    </w:p>
    <w:p w:rsidR="00000000" w:rsidDel="00000000" w:rsidP="00000000" w:rsidRDefault="00000000" w:rsidRPr="00000000" w14:paraId="0000018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Si on n’a pas d’androgène, les OGE seront masculins mais les OGI féminins </w:t>
      </w:r>
    </w:p>
    <w:p w:rsidR="00000000" w:rsidDel="00000000" w:rsidP="00000000" w:rsidRDefault="00000000" w:rsidRPr="00000000" w14:paraId="0000018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Si le récepteur aux androgènes n’est pas fonctionnel et qu’il y a une inactivation complète, on aura un phénotype masculin avec OGI masculin mais un vagin borgne</w:t>
      </w:r>
    </w:p>
    <w:p w:rsidR="00000000" w:rsidDel="00000000" w:rsidP="00000000" w:rsidRDefault="00000000" w:rsidRPr="00000000" w14:paraId="0000018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Pour la forme partielle on a : phénotype masculin hypovirilsé, avec une puberté non terminée et une stérilité </w:t>
      </w:r>
    </w:p>
    <w:p w:rsidR="00000000" w:rsidDel="00000000" w:rsidP="00000000" w:rsidRDefault="00000000" w:rsidRPr="00000000" w14:paraId="0000018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Dans le défaut du récepteur aux androgènes, il y a un niveau assez bas de testostérone avec un individu d’aspect féminin</w:t>
      </w:r>
    </w:p>
    <w:p w:rsidR="00000000" w:rsidDel="00000000" w:rsidP="00000000" w:rsidRDefault="00000000" w:rsidRPr="00000000" w14:paraId="0000018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8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59</w:t>
      </w:r>
      <w:r w:rsidDel="00000000" w:rsidR="00000000" w:rsidRPr="00000000">
        <w:rPr>
          <w:rFonts w:ascii="Arial" w:cs="Arial" w:eastAsia="Arial" w:hAnsi="Arial"/>
          <w:b w:val="1"/>
          <w:sz w:val="20"/>
          <w:szCs w:val="20"/>
          <w:rtl w:val="0"/>
        </w:rPr>
        <w:t xml:space="preserve"> : A propos de la mutation de l’AMH et son récepteur, indiquez la (les) proposition(s) exacte(s) :</w:t>
      </w:r>
    </w:p>
    <w:p w:rsidR="00000000" w:rsidDel="00000000" w:rsidP="00000000" w:rsidRDefault="00000000" w:rsidRPr="00000000" w14:paraId="0000018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Il y aura des tractus génitaux internes masculin seulement</w:t>
      </w:r>
    </w:p>
    <w:p w:rsidR="00000000" w:rsidDel="00000000" w:rsidP="00000000" w:rsidRDefault="00000000" w:rsidRPr="00000000" w14:paraId="0000018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Il y a des hématuries cycliques à cause de la testostérone aromatisée en œstrogène</w:t>
      </w:r>
    </w:p>
    <w:p w:rsidR="00000000" w:rsidDel="00000000" w:rsidP="00000000" w:rsidRDefault="00000000" w:rsidRPr="00000000" w14:paraId="0000018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Une cryptorchidie est présente et le développement de la spermatogenèse est altéré</w:t>
      </w:r>
    </w:p>
    <w:p w:rsidR="00000000" w:rsidDel="00000000" w:rsidP="00000000" w:rsidRDefault="00000000" w:rsidRPr="00000000" w14:paraId="0000019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Histologiquement on observe des tubes séminifères avec des cellules de Sertoli et non pas des follicules</w:t>
      </w:r>
    </w:p>
    <w:p w:rsidR="00000000" w:rsidDel="00000000" w:rsidP="00000000" w:rsidRDefault="00000000" w:rsidRPr="00000000" w14:paraId="0000019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9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4">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60</w:t>
      </w:r>
      <w:r w:rsidDel="00000000" w:rsidR="00000000" w:rsidRPr="00000000">
        <w:rPr>
          <w:rFonts w:ascii="Arial" w:cs="Arial" w:eastAsia="Arial" w:hAnsi="Arial"/>
          <w:b w:val="1"/>
          <w:sz w:val="20"/>
          <w:szCs w:val="20"/>
          <w:rtl w:val="0"/>
        </w:rPr>
        <w:t xml:space="preserve"> : A propos du défaut de transformation des androgènes, indiquez la (les) proposition(s) exacte(s) :</w:t>
      </w:r>
    </w:p>
    <w:p w:rsidR="00000000" w:rsidDel="00000000" w:rsidP="00000000" w:rsidRDefault="00000000" w:rsidRPr="00000000" w14:paraId="0000019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Si on a une anomalie de la 5-alpha-réductase, la testostérone n’est pas convertie en DHT</w:t>
      </w:r>
    </w:p>
    <w:p w:rsidR="00000000" w:rsidDel="00000000" w:rsidP="00000000" w:rsidRDefault="00000000" w:rsidRPr="00000000" w14:paraId="0000019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On aura des OGI intègrement masculins mais un sinus uro-génital féminin</w:t>
      </w:r>
    </w:p>
    <w:p w:rsidR="00000000" w:rsidDel="00000000" w:rsidP="00000000" w:rsidRDefault="00000000" w:rsidRPr="00000000" w14:paraId="0000019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Mais non ! On aura des OGI intègrement féminins mais un sinus uro-génital masculin</w:t>
      </w:r>
    </w:p>
    <w:p w:rsidR="00000000" w:rsidDel="00000000" w:rsidP="00000000" w:rsidRDefault="00000000" w:rsidRPr="00000000" w14:paraId="0000019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Dans l’hypospadias, qui est une anomalie de l’abouchement de l’urètre, plus l’abouchement est proximal, plus le problème est compliqué à reconstruire</w:t>
      </w:r>
    </w:p>
    <w:p w:rsidR="00000000" w:rsidDel="00000000" w:rsidP="00000000" w:rsidRDefault="00000000" w:rsidRPr="00000000" w14:paraId="0000019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Les propositions A, B, C et D sont fausses</w:t>
      </w:r>
    </w:p>
    <w:p w:rsidR="00000000" w:rsidDel="00000000" w:rsidP="00000000" w:rsidRDefault="00000000" w:rsidRPr="00000000" w14:paraId="0000019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br w:type="textWrapping"/>
        <w:br w:type="textWrapping"/>
      </w:r>
    </w:p>
    <w:p w:rsidR="00000000" w:rsidDel="00000000" w:rsidP="00000000" w:rsidRDefault="00000000" w:rsidRPr="00000000" w14:paraId="0000019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br w:type="textWrapping"/>
        <w:br w:type="textWrapping"/>
      </w:r>
    </w:p>
    <w:p w:rsidR="00000000" w:rsidDel="00000000" w:rsidP="00000000" w:rsidRDefault="00000000" w:rsidRPr="00000000" w14:paraId="0000019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br w:type="textWrapping"/>
        <w:br w:type="textWrapping"/>
      </w:r>
    </w:p>
    <w:p w:rsidR="00000000" w:rsidDel="00000000" w:rsidP="00000000" w:rsidRDefault="00000000" w:rsidRPr="00000000" w14:paraId="0000019E">
      <w:pPr>
        <w:spacing w:after="0" w:line="240" w:lineRule="auto"/>
        <w:rPr>
          <w:rFonts w:ascii="Arial" w:cs="Arial" w:eastAsia="Arial" w:hAnsi="Arial"/>
          <w:sz w:val="20"/>
          <w:szCs w:val="20"/>
        </w:rPr>
      </w:pPr>
      <w:r w:rsidDel="00000000" w:rsidR="00000000" w:rsidRPr="00000000">
        <w:rPr>
          <w:rtl w:val="0"/>
        </w:rPr>
      </w:r>
    </w:p>
    <w:sectPr>
      <w:footerReference r:id="rId10" w:type="default"/>
      <w:pgSz w:h="16838" w:w="11906" w:orient="portrait"/>
      <w:pgMar w:bottom="568" w:top="567" w:left="720" w:right="566"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F">
    <w:pPr>
      <w:pBdr>
        <w:top w:color="000000" w:space="1" w:sz="4" w:val="single"/>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b w:val="1"/>
        <w:color w:val="404040"/>
        <w:rtl w:val="0"/>
      </w:rPr>
      <w:t xml:space="preserve">09.10.2025                 Le tutorat est gratuit. Toute reproduction ou vente est interdite. </w:t>
      <w:tab/>
      <w:tab/>
    </w:r>
    <w:r w:rsidDel="00000000" w:rsidR="00000000" w:rsidRPr="00000000">
      <w:rPr>
        <w:color w:val="404040"/>
        <w:rtl w:val="0"/>
      </w:rPr>
      <w:t xml:space="preserve">Page </w:t>
    </w:r>
    <w:r w:rsidDel="00000000" w:rsidR="00000000" w:rsidRPr="00000000">
      <w:rPr>
        <w:b w:val="1"/>
        <w:color w:val="404040"/>
      </w:rPr>
      <w:fldChar w:fldCharType="begin"/>
      <w:instrText xml:space="preserve">PAGE</w:instrText>
      <w:fldChar w:fldCharType="separate"/>
      <w:fldChar w:fldCharType="end"/>
    </w:r>
    <w:r w:rsidDel="00000000" w:rsidR="00000000" w:rsidRPr="00000000">
      <w:rPr>
        <w:color w:val="404040"/>
        <w:rtl w:val="0"/>
      </w:rPr>
      <w:t xml:space="preserve"> sur </w:t>
    </w:r>
    <w:r w:rsidDel="00000000" w:rsidR="00000000" w:rsidRPr="00000000">
      <w:rPr>
        <w:b w:val="1"/>
        <w:color w:val="404040"/>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jc w:val="center"/>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f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Pieddepage">
    <w:name w:val="footer"/>
    <w:basedOn w:val="Normal"/>
    <w:link w:val="PieddepageCar"/>
    <w:uiPriority w:val="99"/>
    <w:unhideWhenUsed w:val="1"/>
    <w:rsid w:val="0055059B"/>
    <w:pPr>
      <w:tabs>
        <w:tab w:val="center" w:pos="4536"/>
        <w:tab w:val="right" w:pos="9072"/>
      </w:tabs>
      <w:spacing w:after="0" w:line="240" w:lineRule="auto"/>
    </w:pPr>
    <w:rPr>
      <w:rFonts w:eastAsia="Times New Roman"/>
    </w:rPr>
  </w:style>
  <w:style w:type="character" w:styleId="PieddepageCar" w:customStyle="1">
    <w:name w:val="Pied de page Car"/>
    <w:link w:val="Pieddepage"/>
    <w:uiPriority w:val="99"/>
    <w:rsid w:val="0055059B"/>
    <w:rPr>
      <w:rFonts w:cs="Times New Roman" w:eastAsia="Times New Roman"/>
    </w:rPr>
  </w:style>
  <w:style w:type="paragraph" w:styleId="Grillemoyenne21" w:customStyle="1">
    <w:name w:val="Grille moyenne 21"/>
    <w:aliases w:val="qcm"/>
    <w:uiPriority w:val="1"/>
    <w:qFormat w:val="1"/>
    <w:rsid w:val="009F37EE"/>
    <w:rPr>
      <w:lang w:eastAsia="en-US"/>
    </w:rPr>
  </w:style>
  <w:style w:type="paragraph" w:styleId="En-tte">
    <w:name w:val="header"/>
    <w:basedOn w:val="Normal"/>
    <w:link w:val="En-tteCar"/>
    <w:uiPriority w:val="99"/>
    <w:unhideWhenUsed w:val="1"/>
    <w:rsid w:val="00BA2273"/>
    <w:pPr>
      <w:tabs>
        <w:tab w:val="center" w:pos="4536"/>
        <w:tab w:val="right" w:pos="9072"/>
      </w:tabs>
      <w:spacing w:after="0" w:line="240" w:lineRule="auto"/>
    </w:pPr>
  </w:style>
  <w:style w:type="character" w:styleId="En-tteCar" w:customStyle="1">
    <w:name w:val="En-tête Car"/>
    <w:basedOn w:val="Policepardfaut"/>
    <w:link w:val="En-tte"/>
    <w:uiPriority w:val="99"/>
    <w:rsid w:val="00BA2273"/>
  </w:style>
  <w:style w:type="paragraph" w:styleId="Textedebulles">
    <w:name w:val="Balloon Text"/>
    <w:basedOn w:val="Normal"/>
    <w:link w:val="TextedebullesCar"/>
    <w:uiPriority w:val="99"/>
    <w:semiHidden w:val="1"/>
    <w:unhideWhenUsed w:val="1"/>
    <w:rsid w:val="008D6206"/>
    <w:pPr>
      <w:spacing w:after="0" w:line="240" w:lineRule="auto"/>
    </w:pPr>
    <w:rPr>
      <w:rFonts w:ascii="Tahoma" w:cs="Tahoma" w:hAnsi="Tahoma"/>
      <w:sz w:val="16"/>
      <w:szCs w:val="16"/>
    </w:rPr>
  </w:style>
  <w:style w:type="character" w:styleId="TextedebullesCar" w:customStyle="1">
    <w:name w:val="Texte de bulles Car"/>
    <w:link w:val="Textedebulles"/>
    <w:uiPriority w:val="99"/>
    <w:semiHidden w:val="1"/>
    <w:rsid w:val="008D6206"/>
    <w:rPr>
      <w:rFonts w:ascii="Tahoma" w:cs="Tahoma" w:hAnsi="Tahoma"/>
      <w:sz w:val="16"/>
      <w:szCs w:val="16"/>
    </w:rPr>
  </w:style>
  <w:style w:type="character" w:styleId="lang-el" w:customStyle="1">
    <w:name w:val="lang-el"/>
    <w:basedOn w:val="Policepardfaut"/>
    <w:rsid w:val="008D6206"/>
  </w:style>
  <w:style w:type="paragraph" w:styleId="Listecouleur-Accent11" w:customStyle="1">
    <w:name w:val="Liste couleur - Accent 11"/>
    <w:basedOn w:val="Normal"/>
    <w:uiPriority w:val="34"/>
    <w:qFormat w:val="1"/>
    <w:rsid w:val="001A0C88"/>
    <w:pPr>
      <w:ind w:left="720"/>
      <w:contextualSpacing w:val="1"/>
    </w:pPr>
  </w:style>
  <w:style w:type="paragraph" w:styleId="NormalWeb">
    <w:name w:val="Normal (Web)"/>
    <w:basedOn w:val="Normal"/>
    <w:uiPriority w:val="99"/>
    <w:unhideWhenUsed w:val="1"/>
    <w:rsid w:val="00E25260"/>
    <w:pPr>
      <w:spacing w:after="119" w:before="100" w:beforeAutospacing="1" w:line="240" w:lineRule="auto"/>
    </w:pPr>
    <w:rPr>
      <w:rFonts w:ascii="Times New Roman" w:eastAsia="Times New Roman" w:hAnsi="Times New Roman"/>
      <w:sz w:val="24"/>
      <w:szCs w:val="24"/>
      <w:lang w:eastAsia="fr-FR"/>
    </w:rPr>
  </w:style>
  <w:style w:type="paragraph" w:styleId="Standard" w:customStyle="1">
    <w:name w:val="Standard"/>
    <w:rsid w:val="00E25260"/>
    <w:pPr>
      <w:widowControl w:val="0"/>
      <w:suppressAutoHyphens w:val="1"/>
      <w:autoSpaceDN w:val="0"/>
    </w:pPr>
    <w:rPr>
      <w:rFonts w:ascii="Times New Roman" w:cs="Mangal" w:eastAsia="SimSun" w:hAnsi="Times New Roman"/>
      <w:kern w:val="3"/>
      <w:sz w:val="24"/>
      <w:szCs w:val="24"/>
      <w:lang w:bidi="hi-IN" w:eastAsia="zh-CN"/>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G6Br9/8G/xj7NQ5sfDpuYyVpEQ==">CgMxLjA4AHIhMUJDclNteU9VdHpNeFJmUHlqMEcxNUNYWUVkblZ1SS13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2023-08-15T09:38:00Z</dcterms:created>
  <dc:creator>Anne</dc:creator>
</cp:coreProperties>
</file>