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Grid-Accent6"/>
        <w:tblW w:w="11239" w:type="dxa"/>
        <w:tblLook w:val="04A0" w:firstRow="1" w:lastRow="0" w:firstColumn="1" w:lastColumn="0" w:noHBand="0" w:noVBand="1"/>
      </w:tblPr>
      <w:tblGrid>
        <w:gridCol w:w="10881"/>
        <w:gridCol w:w="358"/>
      </w:tblGrid>
      <w:tr w:rsidR="009431B8" w:rsidRPr="00911C78" w:rsidTr="009C30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11C78" w:rsidRPr="00911C78" w:rsidRDefault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 w:rsidRPr="00911C78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Une pression c’est une force sur une surface</w:t>
            </w:r>
          </w:p>
        </w:tc>
        <w:tc>
          <w:tcPr>
            <w:tcW w:w="358" w:type="dxa"/>
          </w:tcPr>
          <w:p w:rsidR="00131E8E" w:rsidRPr="00C91D82" w:rsidRDefault="00D119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val="fr-FR"/>
              </w:rPr>
            </w:pPr>
            <w:r w:rsidRPr="00C91D82">
              <w:rPr>
                <w:rFonts w:asciiTheme="minorHAnsi" w:hAnsiTheme="minorHAnsi" w:cstheme="minorHAnsi"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D119F7" w:rsidRDefault="00D119F7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1 Pa = 10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vertAlign w:val="superscript"/>
                <w:lang w:val="fr-FR"/>
              </w:rPr>
              <w:t xml:space="preserve"> – 5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bar</w:t>
            </w:r>
          </w:p>
        </w:tc>
        <w:tc>
          <w:tcPr>
            <w:tcW w:w="358" w:type="dxa"/>
          </w:tcPr>
          <w:p w:rsidR="00131E8E" w:rsidRPr="00C91D82" w:rsidRDefault="00D11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D119F7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Un liquide statique est parfait s’il a une viscosité nulle</w:t>
            </w:r>
          </w:p>
        </w:tc>
        <w:tc>
          <w:tcPr>
            <w:tcW w:w="358" w:type="dxa"/>
          </w:tcPr>
          <w:p w:rsidR="00131E8E" w:rsidRPr="00C91D82" w:rsidRDefault="00D119F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9431B8" w:rsidP="00282056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Le principe de continuité du débit </w:t>
            </w:r>
            <w:r w:rsidR="00282056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dit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que le débit est constant dans un système ouvert</w:t>
            </w:r>
          </w:p>
        </w:tc>
        <w:tc>
          <w:tcPr>
            <w:tcW w:w="358" w:type="dxa"/>
          </w:tcPr>
          <w:p w:rsidR="00131E8E" w:rsidRPr="00C91D82" w:rsidRDefault="002820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282056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En écoulement horizontal la pression est indépendante de l’orientation du capteur</w:t>
            </w:r>
          </w:p>
        </w:tc>
        <w:tc>
          <w:tcPr>
            <w:tcW w:w="358" w:type="dxa"/>
          </w:tcPr>
          <w:p w:rsidR="00131E8E" w:rsidRPr="00C91D82" w:rsidRDefault="0028205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985E1D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pression d’aval et la pression terminale ont la même valeur absolue, mais pas le même signe</w:t>
            </w:r>
          </w:p>
        </w:tc>
        <w:tc>
          <w:tcPr>
            <w:tcW w:w="358" w:type="dxa"/>
          </w:tcPr>
          <w:p w:rsidR="00131E8E" w:rsidRPr="00C91D82" w:rsidRDefault="00621B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621B70" w:rsidP="00621B70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Pour un écoulement horizontal, à</w:t>
            </w:r>
            <w:r w:rsidRPr="00621B70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charge constante, une sténose est associée à une augmentation de la vitesse d’écoulement et 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à une diminution de la pression : c’est l’effet Venturi</w:t>
            </w:r>
          </w:p>
        </w:tc>
        <w:tc>
          <w:tcPr>
            <w:tcW w:w="358" w:type="dxa"/>
          </w:tcPr>
          <w:p w:rsidR="00131E8E" w:rsidRPr="00C91D82" w:rsidRDefault="00621B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965E32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Viscosité : constante caractéristique du liquide pour une température et un taux de cisaillement donnés</w:t>
            </w:r>
          </w:p>
        </w:tc>
        <w:tc>
          <w:tcPr>
            <w:tcW w:w="358" w:type="dxa"/>
          </w:tcPr>
          <w:p w:rsidR="00131E8E" w:rsidRPr="00C91D82" w:rsidRDefault="00965E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EA738C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La viscosité est un facteur de cohérence dans un écoulement </w:t>
            </w:r>
            <w:r w:rsidR="001C6805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turbulent</w:t>
            </w:r>
          </w:p>
        </w:tc>
        <w:tc>
          <w:tcPr>
            <w:tcW w:w="358" w:type="dxa"/>
          </w:tcPr>
          <w:p w:rsidR="00131E8E" w:rsidRPr="00C91D82" w:rsidRDefault="00EA73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65E32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65E32" w:rsidRPr="00911C78" w:rsidRDefault="00745AD9">
            <w:pPr>
              <w:rPr>
                <w:rFonts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cstheme="minorHAnsi"/>
                <w:b w:val="0"/>
                <w:sz w:val="24"/>
                <w:szCs w:val="24"/>
                <w:lang w:val="fr-FR"/>
              </w:rPr>
              <w:t>Un nombre de Reynolds entre 2 000 et 12 000 ne laisse rien savoir du régime d’écoulement d’un liquide</w:t>
            </w:r>
          </w:p>
        </w:tc>
        <w:tc>
          <w:tcPr>
            <w:tcW w:w="358" w:type="dxa"/>
          </w:tcPr>
          <w:p w:rsidR="00965E32" w:rsidRPr="00C91D82" w:rsidRDefault="009147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65E32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65E32" w:rsidRPr="00911C78" w:rsidRDefault="00914725">
            <w:pPr>
              <w:rPr>
                <w:rFonts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cstheme="minorHAnsi"/>
                <w:b w:val="0"/>
                <w:sz w:val="24"/>
                <w:szCs w:val="24"/>
                <w:lang w:val="fr-FR"/>
              </w:rPr>
              <w:t>L’hématocrite est un fluide newtonien, tout comme le plasma</w:t>
            </w:r>
          </w:p>
        </w:tc>
        <w:tc>
          <w:tcPr>
            <w:tcW w:w="358" w:type="dxa"/>
          </w:tcPr>
          <w:p w:rsidR="00965E32" w:rsidRPr="00C91D82" w:rsidRDefault="009147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265405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265405" w:rsidRPr="00911C78" w:rsidRDefault="00914725">
            <w:pPr>
              <w:rPr>
                <w:rFonts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cstheme="minorHAnsi"/>
                <w:b w:val="0"/>
                <w:sz w:val="24"/>
                <w:szCs w:val="24"/>
                <w:lang w:val="fr-FR"/>
              </w:rPr>
              <w:t>Les globules rouges se mettent en rouleau quand le débit est faible</w:t>
            </w:r>
          </w:p>
        </w:tc>
        <w:tc>
          <w:tcPr>
            <w:tcW w:w="358" w:type="dxa"/>
          </w:tcPr>
          <w:p w:rsidR="00265405" w:rsidRPr="00C91D82" w:rsidRDefault="009147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914725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viscosité diminue quand le taux de cisaillement augmente : c’est la rhéofluidification</w:t>
            </w:r>
          </w:p>
        </w:tc>
        <w:tc>
          <w:tcPr>
            <w:tcW w:w="358" w:type="dxa"/>
          </w:tcPr>
          <w:p w:rsidR="00131E8E" w:rsidRPr="00C91D82" w:rsidRDefault="009147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914725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viscosité intercellulaire intervient dans la déformation des globules rouges dans les petits capillaires</w:t>
            </w:r>
          </w:p>
        </w:tc>
        <w:tc>
          <w:tcPr>
            <w:tcW w:w="358" w:type="dxa"/>
          </w:tcPr>
          <w:p w:rsidR="00131E8E" w:rsidRPr="00C91D82" w:rsidRDefault="009147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914725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L’inverse de la résistance globale d’un réseau capillaire est égal à la somme de l’inverse de la résistance de chaque capillaire</w:t>
            </w:r>
          </w:p>
        </w:tc>
        <w:tc>
          <w:tcPr>
            <w:tcW w:w="358" w:type="dxa"/>
          </w:tcPr>
          <w:p w:rsidR="00131E8E" w:rsidRPr="00C91D82" w:rsidRDefault="0091472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D903D5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section globale des capillaires est plus importante que la section globale de l’aorte</w:t>
            </w:r>
          </w:p>
        </w:tc>
        <w:tc>
          <w:tcPr>
            <w:tcW w:w="358" w:type="dxa"/>
          </w:tcPr>
          <w:p w:rsidR="00131E8E" w:rsidRPr="00C91D82" w:rsidRDefault="00D903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D903D5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section globale des capillaires est la somme des sections individuelles des capillaires</w:t>
            </w:r>
          </w:p>
        </w:tc>
        <w:tc>
          <w:tcPr>
            <w:tcW w:w="358" w:type="dxa"/>
          </w:tcPr>
          <w:p w:rsidR="00131E8E" w:rsidRPr="00C91D82" w:rsidRDefault="00D903D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F9442A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loi de Laplace régit la relation élasticité-tension</w:t>
            </w:r>
          </w:p>
        </w:tc>
        <w:tc>
          <w:tcPr>
            <w:tcW w:w="358" w:type="dxa"/>
          </w:tcPr>
          <w:p w:rsidR="00131E8E" w:rsidRPr="00C91D82" w:rsidRDefault="00F944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4E3C66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loi de Hooke régit la relation tension - élasticité</w:t>
            </w:r>
          </w:p>
        </w:tc>
        <w:tc>
          <w:tcPr>
            <w:tcW w:w="358" w:type="dxa"/>
          </w:tcPr>
          <w:p w:rsidR="00131E8E" w:rsidRPr="00C91D82" w:rsidRDefault="004E3C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472C21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Dans un vaisseau à paroi musculo-élastique, il y a un point d’équilibre tension-rayon</w:t>
            </w:r>
          </w:p>
        </w:tc>
        <w:tc>
          <w:tcPr>
            <w:tcW w:w="358" w:type="dxa"/>
          </w:tcPr>
          <w:p w:rsidR="00131E8E" w:rsidRPr="00C91D82" w:rsidRDefault="00472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CC3EEB" w:rsidRDefault="00CC3EEB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1 mmHg = 133.10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vertAlign w:val="superscript"/>
                <w:lang w:val="fr-FR"/>
              </w:rPr>
              <w:t xml:space="preserve"> – 3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bar</w:t>
            </w:r>
          </w:p>
        </w:tc>
        <w:tc>
          <w:tcPr>
            <w:tcW w:w="358" w:type="dxa"/>
          </w:tcPr>
          <w:p w:rsidR="00131E8E" w:rsidRPr="00C91D82" w:rsidRDefault="00CC3EE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5F60FB" w:rsidRDefault="005F60FB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1 cmH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vertAlign w:val="subscript"/>
                <w:lang w:val="fr-FR"/>
              </w:rPr>
              <w:t>2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O = 1 000 bar</w:t>
            </w:r>
          </w:p>
        </w:tc>
        <w:tc>
          <w:tcPr>
            <w:tcW w:w="358" w:type="dxa"/>
          </w:tcPr>
          <w:p w:rsidR="00131E8E" w:rsidRPr="00C91D82" w:rsidRDefault="005F60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1D172E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pression artérielle au niveau du cœur et du bras et la même, en position debout ou couché</w:t>
            </w:r>
          </w:p>
        </w:tc>
        <w:tc>
          <w:tcPr>
            <w:tcW w:w="358" w:type="dxa"/>
          </w:tcPr>
          <w:p w:rsidR="00131E8E" w:rsidRPr="00C91D82" w:rsidRDefault="001D172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1D172E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pression artérielle est la même au niveau du cœur et des pieds, en position debout ou couché</w:t>
            </w:r>
          </w:p>
        </w:tc>
        <w:tc>
          <w:tcPr>
            <w:tcW w:w="358" w:type="dxa"/>
          </w:tcPr>
          <w:p w:rsidR="00131E8E" w:rsidRPr="00C91D82" w:rsidRDefault="001D17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9C3047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bruits de Kosovo</w:t>
            </w:r>
            <w:r w:rsidR="00D95394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guident le médecin dans la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mesure indirecte de la pression artérielle</w:t>
            </w:r>
          </w:p>
        </w:tc>
        <w:tc>
          <w:tcPr>
            <w:tcW w:w="358" w:type="dxa"/>
          </w:tcPr>
          <w:p w:rsidR="00131E8E" w:rsidRPr="00C91D82" w:rsidRDefault="009C304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7D53B3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pression diastolique est surestimée lorsqu’ ‘elle est mesurée indirectement</w:t>
            </w:r>
          </w:p>
        </w:tc>
        <w:tc>
          <w:tcPr>
            <w:tcW w:w="358" w:type="dxa"/>
          </w:tcPr>
          <w:p w:rsidR="00131E8E" w:rsidRPr="00C91D82" w:rsidRDefault="007D5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D95394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 manomètre à colonne de mercure est plus adéquat à la mesure de la pression veineuse</w:t>
            </w:r>
          </w:p>
        </w:tc>
        <w:tc>
          <w:tcPr>
            <w:tcW w:w="358" w:type="dxa"/>
          </w:tcPr>
          <w:p w:rsidR="00131E8E" w:rsidRPr="00C91D82" w:rsidRDefault="00D953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431B8" w:rsidRPr="00911C78" w:rsidTr="009C3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D95394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 manomètre à colonne d’eau est plus adéquat à la mesure de la pression veineuse</w:t>
            </w:r>
          </w:p>
        </w:tc>
        <w:tc>
          <w:tcPr>
            <w:tcW w:w="358" w:type="dxa"/>
          </w:tcPr>
          <w:p w:rsidR="00131E8E" w:rsidRPr="00C91D82" w:rsidRDefault="00D953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431B8" w:rsidRPr="00911C78" w:rsidTr="009C304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131E8E" w:rsidRPr="00911C78" w:rsidRDefault="00C7355E" w:rsidP="00C7355E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IRM cardiaque : dans la séquence «sang blanc»</w:t>
            </w:r>
            <w:r w:rsidRPr="00C7355E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le sang est en </w:t>
            </w:r>
            <w:proofErr w:type="spellStart"/>
            <w:r w:rsidRPr="00C7355E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hypersignal</w:t>
            </w:r>
            <w:proofErr w:type="spellEnd"/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si l’écoulement est turbulent</w:t>
            </w:r>
          </w:p>
        </w:tc>
        <w:tc>
          <w:tcPr>
            <w:tcW w:w="358" w:type="dxa"/>
          </w:tcPr>
          <w:p w:rsidR="00131E8E" w:rsidRPr="00C91D82" w:rsidRDefault="00C7355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 w:rsidRPr="00C91D82"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</w:tbl>
    <w:p w:rsidR="009875D4" w:rsidRDefault="009875D4" w:rsidP="00911C78">
      <w:pPr>
        <w:rPr>
          <w:sz w:val="28"/>
          <w:szCs w:val="28"/>
          <w:lang w:val="fr-FR"/>
        </w:rPr>
      </w:pPr>
    </w:p>
    <w:p w:rsidR="009875D4" w:rsidRDefault="009875D4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br w:type="page"/>
      </w:r>
    </w:p>
    <w:tbl>
      <w:tblPr>
        <w:tblStyle w:val="LightGrid-Accent5"/>
        <w:tblW w:w="11307" w:type="dxa"/>
        <w:tblLook w:val="04A0" w:firstRow="1" w:lastRow="0" w:firstColumn="1" w:lastColumn="0" w:noHBand="0" w:noVBand="1"/>
      </w:tblPr>
      <w:tblGrid>
        <w:gridCol w:w="10881"/>
        <w:gridCol w:w="426"/>
      </w:tblGrid>
      <w:tr w:rsidR="009875D4" w:rsidRPr="0025760A" w:rsidTr="002576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25760A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 w:rsidRPr="0025760A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lastRenderedPageBreak/>
              <w:t>Les canaux ion</w:t>
            </w:r>
            <w:r w:rsidR="009C42B0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i</w:t>
            </w:r>
            <w:r w:rsidRPr="0025760A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ques sont liés à</w:t>
            </w:r>
            <w:r w:rsidR="009C42B0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la membrane plasmique par des acides aminés chargés</w:t>
            </w:r>
          </w:p>
        </w:tc>
        <w:tc>
          <w:tcPr>
            <w:tcW w:w="426" w:type="dxa"/>
          </w:tcPr>
          <w:p w:rsidR="009875D4" w:rsidRPr="009C42B0" w:rsidRDefault="009C42B0" w:rsidP="00911C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403D83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membrane plasmique contient des protéines de structure</w:t>
            </w:r>
          </w:p>
        </w:tc>
        <w:tc>
          <w:tcPr>
            <w:tcW w:w="426" w:type="dxa"/>
          </w:tcPr>
          <w:p w:rsidR="009875D4" w:rsidRPr="009C42B0" w:rsidRDefault="00403D83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C91D82" w:rsidRDefault="00C91D82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aqua porines laissent passer H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vertAlign w:val="subscript"/>
                <w:lang w:val="fr-FR"/>
              </w:rPr>
              <w:t>2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O et H+</w:t>
            </w:r>
          </w:p>
        </w:tc>
        <w:tc>
          <w:tcPr>
            <w:tcW w:w="426" w:type="dxa"/>
          </w:tcPr>
          <w:p w:rsidR="009875D4" w:rsidRPr="009C42B0" w:rsidRDefault="00B03940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B03940" w:rsidP="00B03940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canaux peuvent être sélectifs par la géométrie, le diamètre, la charge électrique des acides ainés de leur versant externe</w:t>
            </w:r>
          </w:p>
        </w:tc>
        <w:tc>
          <w:tcPr>
            <w:tcW w:w="426" w:type="dxa"/>
          </w:tcPr>
          <w:p w:rsidR="009875D4" w:rsidRPr="009C42B0" w:rsidRDefault="00B03940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B03940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Un canal de fuite n’a pas de porte</w:t>
            </w:r>
          </w:p>
        </w:tc>
        <w:tc>
          <w:tcPr>
            <w:tcW w:w="426" w:type="dxa"/>
          </w:tcPr>
          <w:p w:rsidR="009875D4" w:rsidRPr="009C42B0" w:rsidRDefault="00B03940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B03940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Aucun antidiabétique n’a pour cible les canaux potassiques</w:t>
            </w:r>
          </w:p>
        </w:tc>
        <w:tc>
          <w:tcPr>
            <w:tcW w:w="426" w:type="dxa"/>
          </w:tcPr>
          <w:p w:rsidR="009875D4" w:rsidRPr="009C42B0" w:rsidRDefault="00B03940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96C37" w:rsidRDefault="00296C37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canaux Ca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vertAlign w:val="superscript"/>
                <w:lang w:val="fr-FR"/>
              </w:rPr>
              <w:t>2+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sont impliqués dans l’hyperthermie maligne</w:t>
            </w:r>
          </w:p>
        </w:tc>
        <w:tc>
          <w:tcPr>
            <w:tcW w:w="426" w:type="dxa"/>
          </w:tcPr>
          <w:p w:rsidR="009875D4" w:rsidRPr="009C42B0" w:rsidRDefault="00296C37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862112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canaux réglés (à ouverture contrôlée) agissent contre le gradient de concentration</w:t>
            </w:r>
          </w:p>
        </w:tc>
        <w:tc>
          <w:tcPr>
            <w:tcW w:w="426" w:type="dxa"/>
          </w:tcPr>
          <w:p w:rsidR="009875D4" w:rsidRPr="009C42B0" w:rsidRDefault="00862112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862112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hépatocytes n’ont pas d’activité électrique</w:t>
            </w:r>
          </w:p>
        </w:tc>
        <w:tc>
          <w:tcPr>
            <w:tcW w:w="426" w:type="dxa"/>
          </w:tcPr>
          <w:p w:rsidR="009875D4" w:rsidRPr="009C42B0" w:rsidRDefault="00862112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C00F7" w:rsidRDefault="002C00F7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vertAlign w:val="superscript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cellules sont excédentaires en K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vertAlign w:val="superscript"/>
                <w:lang w:val="fr-FR"/>
              </w:rPr>
              <w:t>+</w:t>
            </w:r>
          </w:p>
        </w:tc>
        <w:tc>
          <w:tcPr>
            <w:tcW w:w="426" w:type="dxa"/>
          </w:tcPr>
          <w:p w:rsidR="009875D4" w:rsidRPr="009C42B0" w:rsidRDefault="002C00F7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2C00F7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Un neurone est stimulé à -65 mV, cela induit un potentiel d’action</w:t>
            </w:r>
          </w:p>
        </w:tc>
        <w:tc>
          <w:tcPr>
            <w:tcW w:w="426" w:type="dxa"/>
          </w:tcPr>
          <w:p w:rsidR="009875D4" w:rsidRPr="009C42B0" w:rsidRDefault="002C00F7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9E6259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potentiels d’action de faible amplitude sont soumis au phénomène de décrément</w:t>
            </w:r>
          </w:p>
        </w:tc>
        <w:tc>
          <w:tcPr>
            <w:tcW w:w="426" w:type="dxa"/>
          </w:tcPr>
          <w:p w:rsidR="009875D4" w:rsidRPr="009C42B0" w:rsidRDefault="009E6259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E16A04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conductance, c’</w:t>
            </w:r>
            <w:r w:rsidR="004F1450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es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t a fa</w:t>
            </w:r>
            <w:r w:rsidR="004F1450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c</w:t>
            </w: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ilité avec laquelle des ions traversent un canal ionique</w:t>
            </w:r>
          </w:p>
        </w:tc>
        <w:tc>
          <w:tcPr>
            <w:tcW w:w="426" w:type="dxa"/>
          </w:tcPr>
          <w:p w:rsidR="009875D4" w:rsidRPr="009C42B0" w:rsidRDefault="00E16A04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CC3649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 potentiel gradué est soumis à la loi du tout ou rien</w:t>
            </w:r>
          </w:p>
        </w:tc>
        <w:tc>
          <w:tcPr>
            <w:tcW w:w="426" w:type="dxa"/>
          </w:tcPr>
          <w:p w:rsidR="009875D4" w:rsidRPr="009C42B0" w:rsidRDefault="00CC3649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BC3FD5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L’excitabilité est la capacité d’un neurone à répondre à un stimulus et à former des potentiels d’action</w:t>
            </w:r>
          </w:p>
        </w:tc>
        <w:tc>
          <w:tcPr>
            <w:tcW w:w="426" w:type="dxa"/>
          </w:tcPr>
          <w:p w:rsidR="009875D4" w:rsidRPr="009C42B0" w:rsidRDefault="00BC3FD5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C24AE0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zone gâchette d’un neurone est à la t</w:t>
            </w:r>
            <w:r w:rsidR="00D077B2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ête des dendrites</w:t>
            </w:r>
          </w:p>
        </w:tc>
        <w:tc>
          <w:tcPr>
            <w:tcW w:w="426" w:type="dxa"/>
          </w:tcPr>
          <w:p w:rsidR="009875D4" w:rsidRPr="009C42B0" w:rsidRDefault="00D077B2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D077B2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période réfractaire absolue dure 2 s</w:t>
            </w:r>
          </w:p>
        </w:tc>
        <w:tc>
          <w:tcPr>
            <w:tcW w:w="426" w:type="dxa"/>
          </w:tcPr>
          <w:p w:rsidR="009875D4" w:rsidRPr="009C42B0" w:rsidRDefault="00D077B2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D077B2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retours en arrière et les chevauchements des potentiels d’action sont possibles</w:t>
            </w:r>
          </w:p>
        </w:tc>
        <w:tc>
          <w:tcPr>
            <w:tcW w:w="426" w:type="dxa"/>
          </w:tcPr>
          <w:p w:rsidR="009875D4" w:rsidRPr="009C42B0" w:rsidRDefault="00D077B2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D077B2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Pendant la période réfractaire relative </w:t>
            </w:r>
            <w:r w:rsidR="00DC550E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il faut des stimuli plus forts pour déclencher des potentiels d’action</w:t>
            </w:r>
          </w:p>
        </w:tc>
        <w:tc>
          <w:tcPr>
            <w:tcW w:w="426" w:type="dxa"/>
          </w:tcPr>
          <w:p w:rsidR="009875D4" w:rsidRPr="009C42B0" w:rsidRDefault="00DC550E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D42BBA" w:rsidRDefault="00DC550E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La période réfractaire absolue </w:t>
            </w:r>
            <w:r w:rsidR="00D42BBA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correspond au retour des canaux Na</w:t>
            </w:r>
            <w:r w:rsidR="00D42BBA">
              <w:rPr>
                <w:rFonts w:asciiTheme="minorHAnsi" w:hAnsiTheme="minorHAnsi" w:cstheme="minorHAnsi"/>
                <w:b w:val="0"/>
                <w:sz w:val="24"/>
                <w:szCs w:val="24"/>
                <w:vertAlign w:val="superscript"/>
                <w:lang w:val="fr-FR"/>
              </w:rPr>
              <w:t>+</w:t>
            </w:r>
            <w:r w:rsidR="00D42BBA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 xml:space="preserve"> </w:t>
            </w:r>
            <w:r w:rsidR="005040D0"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à leur position de repos</w:t>
            </w:r>
          </w:p>
        </w:tc>
        <w:tc>
          <w:tcPr>
            <w:tcW w:w="426" w:type="dxa"/>
          </w:tcPr>
          <w:p w:rsidR="009875D4" w:rsidRPr="009C42B0" w:rsidRDefault="005040D0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994257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vitesse de conduction de l’influx augmente avec la myélinisation et le diamètre des fibres nerveuses</w:t>
            </w:r>
          </w:p>
        </w:tc>
        <w:tc>
          <w:tcPr>
            <w:tcW w:w="426" w:type="dxa"/>
          </w:tcPr>
          <w:p w:rsidR="009875D4" w:rsidRPr="009C42B0" w:rsidRDefault="00994257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994257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La myéline ce sont des couches de sphingomyéline</w:t>
            </w:r>
          </w:p>
        </w:tc>
        <w:tc>
          <w:tcPr>
            <w:tcW w:w="426" w:type="dxa"/>
          </w:tcPr>
          <w:p w:rsidR="009875D4" w:rsidRPr="009C42B0" w:rsidRDefault="00994257" w:rsidP="00911C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V</w:t>
            </w:r>
          </w:p>
        </w:tc>
      </w:tr>
      <w:tr w:rsidR="009875D4" w:rsidRPr="0025760A" w:rsidTr="0025760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1" w:type="dxa"/>
          </w:tcPr>
          <w:p w:rsidR="009875D4" w:rsidRPr="0025760A" w:rsidRDefault="00994257" w:rsidP="00911C78">
            <w:pP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</w:pPr>
            <w:r>
              <w:rPr>
                <w:rFonts w:asciiTheme="minorHAnsi" w:hAnsiTheme="minorHAnsi" w:cstheme="minorHAnsi"/>
                <w:b w:val="0"/>
                <w:sz w:val="24"/>
                <w:szCs w:val="24"/>
                <w:lang w:val="fr-FR"/>
              </w:rPr>
              <w:t>Les potentiels d’action n’ont pas tous la même amplitude</w:t>
            </w:r>
          </w:p>
        </w:tc>
        <w:tc>
          <w:tcPr>
            <w:tcW w:w="426" w:type="dxa"/>
          </w:tcPr>
          <w:p w:rsidR="009875D4" w:rsidRPr="009C42B0" w:rsidRDefault="00994257" w:rsidP="00911C7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val="fr-FR"/>
              </w:rPr>
            </w:pPr>
            <w:r>
              <w:rPr>
                <w:rFonts w:cstheme="minorHAnsi"/>
                <w:b/>
                <w:sz w:val="24"/>
                <w:szCs w:val="24"/>
                <w:lang w:val="fr-FR"/>
              </w:rPr>
              <w:t>F</w:t>
            </w:r>
          </w:p>
        </w:tc>
      </w:tr>
    </w:tbl>
    <w:p w:rsidR="006F09B1" w:rsidRPr="00911C78" w:rsidRDefault="008A70FE" w:rsidP="008A70FE">
      <w:pPr>
        <w:rPr>
          <w:sz w:val="28"/>
          <w:szCs w:val="28"/>
          <w:lang w:val="fr-FR"/>
        </w:rPr>
      </w:pPr>
      <w:bookmarkStart w:id="0" w:name="_GoBack"/>
      <w:bookmarkEnd w:id="0"/>
    </w:p>
    <w:sectPr w:rsidR="006F09B1" w:rsidRPr="00911C78" w:rsidSect="00985E1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E8E"/>
    <w:rsid w:val="000B78F2"/>
    <w:rsid w:val="000C7B54"/>
    <w:rsid w:val="000C7C3B"/>
    <w:rsid w:val="00131E8E"/>
    <w:rsid w:val="001C6805"/>
    <w:rsid w:val="001D172E"/>
    <w:rsid w:val="0025760A"/>
    <w:rsid w:val="00265405"/>
    <w:rsid w:val="00282056"/>
    <w:rsid w:val="00296C37"/>
    <w:rsid w:val="002C00F7"/>
    <w:rsid w:val="00403D83"/>
    <w:rsid w:val="00472C21"/>
    <w:rsid w:val="004E3C66"/>
    <w:rsid w:val="004F1450"/>
    <w:rsid w:val="005040D0"/>
    <w:rsid w:val="005F60FB"/>
    <w:rsid w:val="00621B70"/>
    <w:rsid w:val="00745AD9"/>
    <w:rsid w:val="007D53B3"/>
    <w:rsid w:val="00862112"/>
    <w:rsid w:val="008A70FE"/>
    <w:rsid w:val="00911C78"/>
    <w:rsid w:val="00914725"/>
    <w:rsid w:val="009431B8"/>
    <w:rsid w:val="00965E32"/>
    <w:rsid w:val="00985E1D"/>
    <w:rsid w:val="009875D4"/>
    <w:rsid w:val="00994257"/>
    <w:rsid w:val="009C3047"/>
    <w:rsid w:val="009C42B0"/>
    <w:rsid w:val="009E6259"/>
    <w:rsid w:val="00B03940"/>
    <w:rsid w:val="00BC3FD5"/>
    <w:rsid w:val="00C24AE0"/>
    <w:rsid w:val="00C7355E"/>
    <w:rsid w:val="00C91D82"/>
    <w:rsid w:val="00CC3649"/>
    <w:rsid w:val="00CC3EEB"/>
    <w:rsid w:val="00D077B2"/>
    <w:rsid w:val="00D119F7"/>
    <w:rsid w:val="00D42BBA"/>
    <w:rsid w:val="00D903D5"/>
    <w:rsid w:val="00D95394"/>
    <w:rsid w:val="00DC550E"/>
    <w:rsid w:val="00E16A04"/>
    <w:rsid w:val="00EA738C"/>
    <w:rsid w:val="00F9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1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6">
    <w:name w:val="Light Grid Accent 6"/>
    <w:basedOn w:val="TableNormal"/>
    <w:uiPriority w:val="62"/>
    <w:rsid w:val="00131E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Shading-Accent2">
    <w:name w:val="Light Shading Accent 2"/>
    <w:basedOn w:val="TableNormal"/>
    <w:uiPriority w:val="60"/>
    <w:rsid w:val="00911C7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Grid-Accent5">
    <w:name w:val="Light Grid Accent 5"/>
    <w:basedOn w:val="TableNormal"/>
    <w:uiPriority w:val="62"/>
    <w:rsid w:val="009875D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1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6">
    <w:name w:val="Light Grid Accent 6"/>
    <w:basedOn w:val="TableNormal"/>
    <w:uiPriority w:val="62"/>
    <w:rsid w:val="00131E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Shading-Accent2">
    <w:name w:val="Light Shading Accent 2"/>
    <w:basedOn w:val="TableNormal"/>
    <w:uiPriority w:val="60"/>
    <w:rsid w:val="00911C7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Grid-Accent5">
    <w:name w:val="Light Grid Accent 5"/>
    <w:basedOn w:val="TableNormal"/>
    <w:uiPriority w:val="62"/>
    <w:rsid w:val="009875D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GEE</dc:creator>
  <cp:lastModifiedBy>GEE</cp:lastModifiedBy>
  <cp:revision>38</cp:revision>
  <dcterms:created xsi:type="dcterms:W3CDTF">2012-05-10T11:50:00Z</dcterms:created>
  <dcterms:modified xsi:type="dcterms:W3CDTF">2012-05-10T17:05:00Z</dcterms:modified>
</cp:coreProperties>
</file>