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01FC9" w14:textId="77777777" w:rsidR="00D87E3A" w:rsidRDefault="00000000">
      <w:pPr>
        <w:spacing w:after="0" w:line="240" w:lineRule="auto"/>
        <w:ind w:left="142"/>
        <w:rPr>
          <w:b/>
          <w:sz w:val="32"/>
          <w:szCs w:val="32"/>
          <w:highlight w:val="white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906E8C1" wp14:editId="091C07BD">
            <wp:simplePos x="0" y="0"/>
            <wp:positionH relativeFrom="margin">
              <wp:posOffset>5964978</wp:posOffset>
            </wp:positionH>
            <wp:positionV relativeFrom="margin">
              <wp:posOffset>-95670</wp:posOffset>
            </wp:positionV>
            <wp:extent cx="792480" cy="810895"/>
            <wp:effectExtent l="0" t="0" r="0" b="0"/>
            <wp:wrapSquare wrapText="bothSides" distT="0" distB="0" distL="114300" distR="11430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810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i/>
          <w:sz w:val="40"/>
          <w:szCs w:val="40"/>
        </w:rPr>
        <w:t xml:space="preserve">DM n° </w:t>
      </w:r>
      <w:r>
        <w:rPr>
          <w:b/>
          <w:i/>
          <w:sz w:val="40"/>
          <w:szCs w:val="40"/>
          <w:highlight w:val="yellow"/>
        </w:rPr>
        <w:t>X</w:t>
      </w:r>
      <w:r>
        <w:rPr>
          <w:b/>
          <w:sz w:val="40"/>
          <w:szCs w:val="40"/>
          <w:highlight w:val="white"/>
        </w:rPr>
        <w:t xml:space="preserve"> : </w:t>
      </w:r>
      <w:r>
        <w:rPr>
          <w:b/>
          <w:sz w:val="40"/>
          <w:szCs w:val="40"/>
          <w:highlight w:val="yellow"/>
        </w:rPr>
        <w:t>Nom du cours</w: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1361860D" wp14:editId="1F605087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90385" cy="86804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84078"/>
                          <a:ext cx="6814185" cy="79184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A6A6A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247ADDB" w14:textId="77777777" w:rsidR="00D87E3A" w:rsidRDefault="00D87E3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90385" cy="868045"/>
                <wp:effectExtent b="0" l="0" r="0" t="0"/>
                <wp:wrapNone/>
                <wp:docPr id="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90385" cy="8680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54007B5" w14:textId="77777777" w:rsidR="00D87E3A" w:rsidRDefault="00000000">
      <w:pPr>
        <w:spacing w:after="0" w:line="240" w:lineRule="auto"/>
        <w:ind w:left="142"/>
        <w:rPr>
          <w:sz w:val="28"/>
          <w:szCs w:val="28"/>
        </w:rPr>
      </w:pPr>
      <w:r>
        <w:rPr>
          <w:sz w:val="36"/>
          <w:szCs w:val="36"/>
        </w:rPr>
        <w:t>Tutorat 2025-2026 :</w:t>
      </w:r>
      <w:r>
        <w:rPr>
          <w:b/>
          <w:sz w:val="20"/>
          <w:szCs w:val="20"/>
        </w:rPr>
        <w:t xml:space="preserve"> </w:t>
      </w:r>
      <w:r>
        <w:rPr>
          <w:b/>
          <w:sz w:val="28"/>
          <w:szCs w:val="28"/>
          <w:highlight w:val="yellow"/>
        </w:rPr>
        <w:t>XX</w:t>
      </w:r>
      <w:r>
        <w:rPr>
          <w:b/>
          <w:color w:val="FF0000"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white"/>
        </w:rPr>
        <w:t xml:space="preserve">QCMS – Durée : </w:t>
      </w:r>
      <w:r>
        <w:rPr>
          <w:b/>
          <w:sz w:val="28"/>
          <w:szCs w:val="28"/>
          <w:highlight w:val="yellow"/>
        </w:rPr>
        <w:t xml:space="preserve">XX </w:t>
      </w:r>
      <w:r>
        <w:rPr>
          <w:b/>
          <w:sz w:val="28"/>
          <w:szCs w:val="28"/>
          <w:highlight w:val="white"/>
        </w:rPr>
        <w:t>min</w:t>
      </w:r>
      <w:r>
        <w:rPr>
          <w:b/>
          <w:sz w:val="28"/>
          <w:szCs w:val="28"/>
        </w:rPr>
        <w:t xml:space="preserve"> </w:t>
      </w:r>
    </w:p>
    <w:p w14:paraId="4474929B" w14:textId="77777777" w:rsidR="00D87E3A" w:rsidRDefault="00D87E3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72914B5" w14:textId="77777777" w:rsidR="00D87E3A" w:rsidRDefault="00D87E3A">
      <w:pPr>
        <w:pBdr>
          <w:top w:val="nil"/>
          <w:left w:val="nil"/>
          <w:bottom w:val="nil"/>
          <w:right w:val="nil"/>
          <w:between w:val="nil"/>
        </w:pBdr>
        <w:tabs>
          <w:tab w:val="left" w:pos="1020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0E0C39C6" w14:textId="2460C34E" w:rsidR="00D87E3A" w:rsidRPr="003E49E1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 w:rsidRPr="003E49E1">
        <w:rPr>
          <w:rFonts w:ascii="Arial" w:eastAsia="Arial" w:hAnsi="Arial" w:cs="Arial"/>
          <w:b/>
          <w:sz w:val="20"/>
          <w:szCs w:val="20"/>
          <w:u w:val="single"/>
        </w:rPr>
        <w:t>QCM 1</w:t>
      </w:r>
      <w:r w:rsidRPr="003E49E1">
        <w:rPr>
          <w:rFonts w:ascii="Arial" w:eastAsia="Arial" w:hAnsi="Arial" w:cs="Arial"/>
          <w:b/>
          <w:sz w:val="20"/>
          <w:szCs w:val="20"/>
        </w:rPr>
        <w:t xml:space="preserve"> : 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>Concernant l’hémorragie de la délivrance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, </w:t>
      </w:r>
      <w:proofErr w:type="gramStart"/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>indiquez la</w:t>
      </w:r>
      <w:proofErr w:type="gramEnd"/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 ou les propositions exactes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 :</w:t>
      </w:r>
    </w:p>
    <w:p w14:paraId="0611287D" w14:textId="7A688B3B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A)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Elle est définie par une perte sanguine supérieure à 500 </w:t>
      </w:r>
      <w:proofErr w:type="spellStart"/>
      <w:r w:rsidR="003E49E1" w:rsidRPr="003E49E1">
        <w:rPr>
          <w:rFonts w:ascii="Arial" w:hAnsi="Arial" w:cs="Arial"/>
          <w:color w:val="000000"/>
          <w:sz w:val="20"/>
          <w:szCs w:val="20"/>
        </w:rPr>
        <w:t>mL</w:t>
      </w:r>
      <w:proofErr w:type="spellEnd"/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 après un accouchement par voie basse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 par exemple</w:t>
      </w:r>
    </w:p>
    <w:p w14:paraId="5B4B08CB" w14:textId="558186BF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B)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Elle est définie par une perte sanguine supérieure à 1000 </w:t>
      </w:r>
      <w:proofErr w:type="spellStart"/>
      <w:r w:rsidR="003E49E1" w:rsidRPr="003E49E1">
        <w:rPr>
          <w:rFonts w:ascii="Arial" w:hAnsi="Arial" w:cs="Arial"/>
          <w:color w:val="000000"/>
          <w:sz w:val="20"/>
          <w:szCs w:val="20"/>
        </w:rPr>
        <w:t>mL</w:t>
      </w:r>
      <w:proofErr w:type="spellEnd"/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 quel que soit le mode d’accouchement</w:t>
      </w:r>
    </w:p>
    <w:p w14:paraId="689D353A" w14:textId="7C4F9411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C)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Elle survient uniquement avant la délivrance</w:t>
      </w:r>
    </w:p>
    <w:p w14:paraId="720FD7F8" w14:textId="74B378A6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D)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Elle peut survenir dans les 24 heures suivant l’accouchement</w:t>
      </w:r>
    </w:p>
    <w:p w14:paraId="64DD467E" w14:textId="77777777" w:rsidR="00D87E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17E6444A" w14:textId="77777777" w:rsidR="00D87E3A" w:rsidRDefault="00D87E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7D68FAA" w14:textId="65F6DCEE" w:rsidR="00D87E3A" w:rsidRPr="003E49E1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>Concernant les causes d’hémorragie de la délivrance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, </w:t>
      </w:r>
      <w:proofErr w:type="gramStart"/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>indiquez la</w:t>
      </w:r>
      <w:proofErr w:type="gramEnd"/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 ou les propositions exactes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 :</w:t>
      </w:r>
    </w:p>
    <w:p w14:paraId="7D526337" w14:textId="05269FD2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A)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L’atonie utérine est la cause la plus fréquente</w:t>
      </w:r>
    </w:p>
    <w:p w14:paraId="5CB53BED" w14:textId="6839026F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B)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Les déchirures du tractus génital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y participent</w:t>
      </w:r>
    </w:p>
    <w:p w14:paraId="2FC8D22F" w14:textId="16C010EF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C)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La rétention placentaire peut être en cause</w:t>
      </w:r>
    </w:p>
    <w:p w14:paraId="46341BCE" w14:textId="0F694847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D) </w:t>
      </w:r>
      <w:r w:rsidR="003E49E1">
        <w:rPr>
          <w:rFonts w:ascii="Arial" w:hAnsi="Arial" w:cs="Arial"/>
          <w:color w:val="000000"/>
          <w:sz w:val="20"/>
          <w:szCs w:val="20"/>
        </w:rPr>
        <w:t>L’embolie amniotique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 peut être impliqué</w:t>
      </w:r>
      <w:r w:rsidR="003E49E1">
        <w:rPr>
          <w:rFonts w:ascii="Arial" w:hAnsi="Arial" w:cs="Arial"/>
          <w:color w:val="000000"/>
          <w:sz w:val="20"/>
          <w:szCs w:val="20"/>
        </w:rPr>
        <w:t>e</w:t>
      </w:r>
    </w:p>
    <w:p w14:paraId="581B99A8" w14:textId="77777777" w:rsidR="00D87E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35E2AA7B" w14:textId="77777777" w:rsidR="00D87E3A" w:rsidRDefault="00D87E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3B31277" w14:textId="69472C9E" w:rsidR="00D87E3A" w:rsidRPr="003E49E1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>Concernant l’atonie utérine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, </w:t>
      </w:r>
      <w:proofErr w:type="gramStart"/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>indiquez la</w:t>
      </w:r>
      <w:proofErr w:type="gramEnd"/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 ou les propositions exactes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 :</w:t>
      </w:r>
    </w:p>
    <w:p w14:paraId="17D83AA5" w14:textId="3A1D0936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A)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Elle correspond à une absence de contraction de l’utérus</w:t>
      </w:r>
    </w:p>
    <w:p w14:paraId="5D4E967E" w14:textId="280DD764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B)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Elle se manifeste par un utérus dur et rétracté</w:t>
      </w:r>
    </w:p>
    <w:p w14:paraId="2AF055B6" w14:textId="7EB2269A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C)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Elle est la première cause d’hémorragie du post-partum</w:t>
      </w:r>
    </w:p>
    <w:p w14:paraId="6114FD35" w14:textId="6115BD1B" w:rsidR="00D87E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3E49E1">
        <w:rPr>
          <w:rFonts w:ascii="Arial" w:eastAsia="Arial" w:hAnsi="Arial" w:cs="Arial"/>
          <w:sz w:val="20"/>
          <w:szCs w:val="20"/>
        </w:rPr>
        <w:t>Une femme multipare augmente ses risques d’atonie</w:t>
      </w:r>
    </w:p>
    <w:p w14:paraId="7D42CF23" w14:textId="77777777" w:rsidR="00D87E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7117FB5" w14:textId="77777777" w:rsidR="00D87E3A" w:rsidRDefault="00D87E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55CFE52" w14:textId="0669C6A8" w:rsidR="00D87E3A" w:rsidRPr="003E49E1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Concernant la prise en charge initiale 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de l’hémorragie de la délivrance, </w:t>
      </w:r>
      <w:proofErr w:type="gramStart"/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>indiquez la</w:t>
      </w:r>
      <w:proofErr w:type="gramEnd"/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 ou les propositions exactes :</w:t>
      </w:r>
    </w:p>
    <w:p w14:paraId="1B957924" w14:textId="217DCDA3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A)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Elle repose sur une surveillance simple sans intervention</w:t>
      </w:r>
    </w:p>
    <w:p w14:paraId="50551C64" w14:textId="412E1F7C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B)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Elle comprend le massage utérin</w:t>
      </w:r>
    </w:p>
    <w:p w14:paraId="6C2EF8A6" w14:textId="24CC263F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C)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Elle inclut l’administration d’ocytocine</w:t>
      </w:r>
    </w:p>
    <w:p w14:paraId="6105EDB7" w14:textId="74DFC601" w:rsidR="00D87E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3E49E1">
        <w:rPr>
          <w:rFonts w:ascii="Arial" w:eastAsia="Arial" w:hAnsi="Arial" w:cs="Arial"/>
          <w:sz w:val="20"/>
          <w:szCs w:val="20"/>
        </w:rPr>
        <w:t xml:space="preserve">Elle inclut la délivrance artificielle et révision utérine, les sutures et le sondage vésical évacuateur </w:t>
      </w:r>
    </w:p>
    <w:p w14:paraId="3B7D7799" w14:textId="77777777" w:rsidR="00D87E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5761F48F" w14:textId="77777777" w:rsidR="00D87E3A" w:rsidRDefault="00D87E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3EFF2D4" w14:textId="09C392D4" w:rsidR="00D87E3A" w:rsidRPr="003E49E1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>Concernant les facteurs de risque d’hémorragie de la délivrance :</w:t>
      </w:r>
    </w:p>
    <w:p w14:paraId="0743A9E7" w14:textId="33E9377F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A)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La multiparité</w:t>
      </w:r>
    </w:p>
    <w:p w14:paraId="49D9B233" w14:textId="6868B5FD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B)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La macrosomie fœtale</w:t>
      </w:r>
    </w:p>
    <w:p w14:paraId="3F96199B" w14:textId="047E2A95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C)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Un travail prolongé</w:t>
      </w:r>
    </w:p>
    <w:p w14:paraId="7C61294B" w14:textId="0530E585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D)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Une grossesse multiple</w:t>
      </w:r>
    </w:p>
    <w:p w14:paraId="367A2838" w14:textId="77777777" w:rsidR="00D87E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765BD7F" w14:textId="77777777" w:rsidR="00D87E3A" w:rsidRDefault="00D87E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52359BF" w14:textId="354CF918" w:rsidR="00D87E3A" w:rsidRPr="003E49E1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6</w:t>
      </w:r>
      <w:r>
        <w:rPr>
          <w:rFonts w:ascii="Arial" w:eastAsia="Arial" w:hAnsi="Arial" w:cs="Arial"/>
          <w:b/>
          <w:sz w:val="20"/>
          <w:szCs w:val="20"/>
        </w:rPr>
        <w:t xml:space="preserve"> :</w:t>
      </w:r>
      <w:r w:rsidR="003E49E1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A propos du cours sur hémorragie de la délivrance 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14:paraId="1836DF76" w14:textId="091E91EC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A)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L’équipe anesthésiste doit intervenir à partir de la stratégie thérapeutique de 3</w:t>
      </w:r>
      <w:r w:rsidR="003E49E1" w:rsidRPr="003E49E1">
        <w:rPr>
          <w:rFonts w:ascii="Arial" w:hAnsi="Arial" w:cs="Arial"/>
          <w:color w:val="000000"/>
          <w:sz w:val="20"/>
          <w:szCs w:val="20"/>
          <w:vertAlign w:val="superscript"/>
        </w:rPr>
        <w:t>e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 ligne </w:t>
      </w:r>
    </w:p>
    <w:p w14:paraId="0C277B00" w14:textId="69C7B8E2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B) </w:t>
      </w:r>
      <w:r w:rsidR="003E49E1" w:rsidRPr="003E49E1">
        <w:rPr>
          <w:rFonts w:ascii="Arial" w:eastAsia="Arial" w:hAnsi="Arial" w:cs="Arial"/>
          <w:sz w:val="20"/>
          <w:szCs w:val="20"/>
        </w:rPr>
        <w:t>L’équipe anesthésiste doit intervenir dès la prise en charge initiale (c’est-à-dire après le diagnostic d’hémorragie de la délivrance)</w:t>
      </w:r>
    </w:p>
    <w:p w14:paraId="61A66D44" w14:textId="2C5A2A87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C)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La transfusion est contre-indiquée lors de l’hémorragie sévère</w:t>
      </w:r>
    </w:p>
    <w:p w14:paraId="48BAA15E" w14:textId="541C1006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D) </w:t>
      </w:r>
      <w:r w:rsidR="003E49E1" w:rsidRPr="003E49E1">
        <w:rPr>
          <w:rFonts w:ascii="Arial" w:eastAsia="Arial" w:hAnsi="Arial" w:cs="Arial"/>
          <w:sz w:val="20"/>
          <w:szCs w:val="20"/>
        </w:rPr>
        <w:t>L’équipe anesthésiste s’occupe du monitorage, de l’administration d’</w:t>
      </w:r>
      <w:proofErr w:type="spellStart"/>
      <w:r w:rsidR="003E49E1" w:rsidRPr="003E49E1">
        <w:rPr>
          <w:rFonts w:ascii="Arial" w:eastAsia="Arial" w:hAnsi="Arial" w:cs="Arial"/>
          <w:sz w:val="20"/>
          <w:szCs w:val="20"/>
        </w:rPr>
        <w:t>oxytocine</w:t>
      </w:r>
      <w:proofErr w:type="spellEnd"/>
      <w:r w:rsidR="003E49E1" w:rsidRPr="003E49E1">
        <w:rPr>
          <w:rFonts w:ascii="Arial" w:eastAsia="Arial" w:hAnsi="Arial" w:cs="Arial"/>
          <w:sz w:val="20"/>
          <w:szCs w:val="20"/>
        </w:rPr>
        <w:t>, de l’</w:t>
      </w:r>
      <w:proofErr w:type="spellStart"/>
      <w:r w:rsidR="003E49E1" w:rsidRPr="003E49E1">
        <w:rPr>
          <w:rFonts w:ascii="Arial" w:eastAsia="Arial" w:hAnsi="Arial" w:cs="Arial"/>
          <w:sz w:val="20"/>
          <w:szCs w:val="20"/>
        </w:rPr>
        <w:t>hémocue</w:t>
      </w:r>
      <w:proofErr w:type="spellEnd"/>
      <w:r w:rsidR="003E49E1" w:rsidRPr="003E49E1">
        <w:rPr>
          <w:rFonts w:ascii="Arial" w:eastAsia="Arial" w:hAnsi="Arial" w:cs="Arial"/>
          <w:sz w:val="20"/>
          <w:szCs w:val="20"/>
        </w:rPr>
        <w:t xml:space="preserve">, de l’antibioprophylaxie et </w:t>
      </w:r>
      <w:r w:rsidR="003E49E1">
        <w:rPr>
          <w:rFonts w:ascii="Arial" w:eastAsia="Arial" w:hAnsi="Arial" w:cs="Arial"/>
          <w:sz w:val="20"/>
          <w:szCs w:val="20"/>
        </w:rPr>
        <w:t xml:space="preserve">d’une </w:t>
      </w:r>
      <w:r w:rsidR="003E49E1" w:rsidRPr="003E49E1">
        <w:rPr>
          <w:rFonts w:ascii="Arial" w:eastAsia="Arial" w:hAnsi="Arial" w:cs="Arial"/>
          <w:sz w:val="20"/>
          <w:szCs w:val="20"/>
        </w:rPr>
        <w:t xml:space="preserve">anesthésie </w:t>
      </w:r>
      <w:r w:rsidR="003E49E1">
        <w:rPr>
          <w:rFonts w:ascii="Arial" w:eastAsia="Arial" w:hAnsi="Arial" w:cs="Arial"/>
          <w:sz w:val="20"/>
          <w:szCs w:val="20"/>
        </w:rPr>
        <w:t>éventuelle</w:t>
      </w:r>
    </w:p>
    <w:p w14:paraId="3ACD80EB" w14:textId="77777777" w:rsidR="00D87E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78D7952E" w14:textId="77777777" w:rsidR="00D87E3A" w:rsidRDefault="00D87E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182EF70" w14:textId="3044AA32" w:rsidR="00D87E3A" w:rsidRPr="003E49E1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>A propos du cours sur hémorragie de la délivrance :</w:t>
      </w:r>
    </w:p>
    <w:p w14:paraId="17285A8E" w14:textId="76AE5EE1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A) </w:t>
      </w:r>
      <w:r w:rsidR="003E49E1" w:rsidRPr="003E49E1">
        <w:rPr>
          <w:rFonts w:ascii="Arial" w:eastAsia="Arial" w:hAnsi="Arial" w:cs="Arial"/>
          <w:sz w:val="20"/>
          <w:szCs w:val="20"/>
        </w:rPr>
        <w:t xml:space="preserve">L’antibioprophylaxie fait partie de la prise en charge initiale, à faire dans les 30 premières minutes, notamment pour prévenir les complications des délivrances artificielles et révisions utérines </w:t>
      </w:r>
    </w:p>
    <w:p w14:paraId="0226BC47" w14:textId="7A5ABCB0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B)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Concernant le tamponnement intra-utérin :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 i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l fait partie des traitements de 2e ligne</w:t>
      </w:r>
    </w:p>
    <w:p w14:paraId="2311A1BC" w14:textId="470D6191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C)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Il consiste à exercer une pression sur la paroi utérine</w:t>
      </w:r>
    </w:p>
    <w:p w14:paraId="76767264" w14:textId="1C8D8945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D)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Il peut permettre d’éviter une chirurgie</w:t>
      </w:r>
    </w:p>
    <w:p w14:paraId="390F4B4B" w14:textId="77777777" w:rsidR="00D87E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1AC86021" w14:textId="77777777" w:rsidR="00D87E3A" w:rsidRDefault="00D87E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41C8A56" w14:textId="6AE768B6" w:rsidR="00D87E3A" w:rsidRPr="003E49E1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Concernant les techniques de 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3e ligne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 :</w:t>
      </w:r>
    </w:p>
    <w:p w14:paraId="25F3CF7F" w14:textId="217FCB79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A) </w:t>
      </w:r>
      <w:r w:rsidR="003E49E1" w:rsidRPr="003E49E1">
        <w:rPr>
          <w:rFonts w:ascii="Arial" w:eastAsia="Arial" w:hAnsi="Arial" w:cs="Arial"/>
          <w:sz w:val="20"/>
          <w:szCs w:val="20"/>
        </w:rPr>
        <w:t xml:space="preserve">On peut retrouver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l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’embolisation artérielle </w:t>
      </w:r>
    </w:p>
    <w:p w14:paraId="156C1534" w14:textId="4CB57133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B)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La ligature des artères utérines est possible</w:t>
      </w:r>
    </w:p>
    <w:p w14:paraId="6E762C1A" w14:textId="1F2904AE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C)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L’hystérectomie peut être nécessaire</w:t>
      </w:r>
    </w:p>
    <w:p w14:paraId="4686D4D6" w14:textId="3F5F89D3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D)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Ces 3 techniques sont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 conservatrices</w:t>
      </w:r>
    </w:p>
    <w:p w14:paraId="3D9FE517" w14:textId="77777777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lastRenderedPageBreak/>
        <w:t>E) Les propositions A, B, C et D sont fausses</w:t>
      </w:r>
    </w:p>
    <w:p w14:paraId="3A248AE8" w14:textId="77777777" w:rsidR="00D87E3A" w:rsidRDefault="00D87E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E7612AE" w14:textId="2D05C9D5" w:rsidR="00D87E3A" w:rsidRPr="003E49E1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9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>Concernant l’embolisation artérielle :</w:t>
      </w:r>
    </w:p>
    <w:p w14:paraId="72B7970B" w14:textId="335EB0D9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A) </w:t>
      </w:r>
      <w:r w:rsidR="003E49E1" w:rsidRPr="003E49E1">
        <w:rPr>
          <w:rFonts w:ascii="Arial" w:eastAsia="Arial" w:hAnsi="Arial" w:cs="Arial"/>
          <w:sz w:val="20"/>
          <w:szCs w:val="20"/>
        </w:rPr>
        <w:t>Elle nécessite que la patiente soit stable</w:t>
      </w:r>
    </w:p>
    <w:p w14:paraId="082A682D" w14:textId="2C90D876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B)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Elle est une alternative à la chirurgie</w:t>
      </w:r>
    </w:p>
    <w:p w14:paraId="5DEB3E78" w14:textId="39F2BF45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C)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Elle permet de conserver l’utérus</w:t>
      </w:r>
    </w:p>
    <w:p w14:paraId="24C85D4F" w14:textId="5D02FD06" w:rsidR="00D87E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3E49E1">
        <w:rPr>
          <w:rFonts w:ascii="Arial" w:eastAsia="Arial" w:hAnsi="Arial" w:cs="Arial"/>
          <w:sz w:val="20"/>
          <w:szCs w:val="20"/>
        </w:rPr>
        <w:t>Elle est réalisée par le radiologue</w:t>
      </w:r>
    </w:p>
    <w:p w14:paraId="35B05FC4" w14:textId="77777777" w:rsidR="00D87E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A56A14B" w14:textId="77777777" w:rsidR="00D87E3A" w:rsidRDefault="00D87E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87691D6" w14:textId="5FC2E16A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b/>
          <w:sz w:val="20"/>
          <w:szCs w:val="20"/>
          <w:u w:val="single"/>
        </w:rPr>
        <w:t>QCM 10</w:t>
      </w:r>
      <w:r w:rsidRPr="003E49E1">
        <w:rPr>
          <w:rFonts w:ascii="Arial" w:eastAsia="Arial" w:hAnsi="Arial" w:cs="Arial"/>
          <w:b/>
          <w:sz w:val="20"/>
          <w:szCs w:val="20"/>
        </w:rPr>
        <w:t xml:space="preserve"> : 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>Concernant la ligature des artères utérines</w:t>
      </w:r>
      <w:r w:rsidR="003E49E1" w:rsidRPr="003E49E1">
        <w:rPr>
          <w:rFonts w:ascii="Arial" w:hAnsi="Arial" w:cs="Arial"/>
          <w:b/>
          <w:bCs/>
          <w:color w:val="000000"/>
          <w:sz w:val="20"/>
          <w:szCs w:val="20"/>
        </w:rPr>
        <w:t xml:space="preserve"> et l’hystérectomie d’hémostase :</w:t>
      </w:r>
    </w:p>
    <w:p w14:paraId="1DB07CEB" w14:textId="77777777" w:rsidR="00966AF8" w:rsidRDefault="00966AF8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7C5A58A" w14:textId="08B4DDE0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A)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Elle diminue le flux sanguin utérin</w:t>
      </w:r>
    </w:p>
    <w:p w14:paraId="746CA76D" w14:textId="2BA15D48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B)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Elle est une technique de 3e ligne</w:t>
      </w:r>
    </w:p>
    <w:p w14:paraId="075FEA07" w14:textId="2F605A40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C)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Elle peut être conservatrice</w:t>
      </w:r>
    </w:p>
    <w:p w14:paraId="05A1B18A" w14:textId="32FF7D73" w:rsidR="00D87E3A" w:rsidRPr="003E49E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49E1">
        <w:rPr>
          <w:rFonts w:ascii="Arial" w:eastAsia="Arial" w:hAnsi="Arial" w:cs="Arial"/>
          <w:sz w:val="20"/>
          <w:szCs w:val="20"/>
        </w:rPr>
        <w:t xml:space="preserve">D)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L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’hystérectomie d’hémostase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est réalisée en dernier recours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,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>en cas d’échec des autres traitements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, car elle </w:t>
      </w:r>
      <w:r w:rsidR="003E49E1">
        <w:rPr>
          <w:rFonts w:ascii="Arial" w:hAnsi="Arial" w:cs="Arial"/>
          <w:color w:val="000000"/>
          <w:sz w:val="20"/>
          <w:szCs w:val="20"/>
        </w:rPr>
        <w:t xml:space="preserve">n’est pas conservatrice et </w:t>
      </w:r>
      <w:r w:rsidR="003E49E1" w:rsidRPr="003E49E1">
        <w:rPr>
          <w:rFonts w:ascii="Arial" w:hAnsi="Arial" w:cs="Arial"/>
          <w:color w:val="000000"/>
          <w:sz w:val="20"/>
          <w:szCs w:val="20"/>
        </w:rPr>
        <w:t xml:space="preserve">rend la femme stérile </w:t>
      </w:r>
      <w:r w:rsidR="003E49E1">
        <w:rPr>
          <w:rFonts w:ascii="Arial" w:hAnsi="Arial" w:cs="Arial"/>
          <w:color w:val="000000"/>
          <w:sz w:val="20"/>
          <w:szCs w:val="20"/>
        </w:rPr>
        <w:t>en l’état</w:t>
      </w:r>
    </w:p>
    <w:p w14:paraId="2724A7F1" w14:textId="77777777" w:rsidR="00D87E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44B93DB" w14:textId="77777777" w:rsidR="00D87E3A" w:rsidRDefault="00D87E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2740117" w14:textId="77777777" w:rsidR="00D87E3A" w:rsidRDefault="00D87E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75AA29A" w14:textId="77777777" w:rsidR="00D87E3A" w:rsidRDefault="00D87E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B1CC037" w14:textId="77777777" w:rsidR="00D87E3A" w:rsidRDefault="00D87E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D87E3A">
      <w:footerReference w:type="default" r:id="rId9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9A52B" w14:textId="77777777" w:rsidR="005A468A" w:rsidRDefault="005A468A">
      <w:pPr>
        <w:spacing w:after="0" w:line="240" w:lineRule="auto"/>
      </w:pPr>
      <w:r>
        <w:separator/>
      </w:r>
    </w:p>
  </w:endnote>
  <w:endnote w:type="continuationSeparator" w:id="0">
    <w:p w14:paraId="0BAFDA82" w14:textId="77777777" w:rsidR="005A468A" w:rsidRDefault="005A4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63375" w14:textId="77777777" w:rsidR="00D87E3A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FE60A9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FE60A9">
      <w:rPr>
        <w:b/>
        <w:noProof/>
        <w:color w:val="404040"/>
      </w:rPr>
      <w:t>2</w:t>
    </w:r>
    <w:r>
      <w:rPr>
        <w:b/>
        <w:color w:val="404040"/>
      </w:rPr>
      <w:fldChar w:fldCharType="end"/>
    </w:r>
  </w:p>
  <w:p w14:paraId="4070C72D" w14:textId="77777777" w:rsidR="00D87E3A" w:rsidRDefault="00D87E3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084AD" w14:textId="77777777" w:rsidR="005A468A" w:rsidRDefault="005A468A">
      <w:pPr>
        <w:spacing w:after="0" w:line="240" w:lineRule="auto"/>
      </w:pPr>
      <w:r>
        <w:separator/>
      </w:r>
    </w:p>
  </w:footnote>
  <w:footnote w:type="continuationSeparator" w:id="0">
    <w:p w14:paraId="5DA29828" w14:textId="77777777" w:rsidR="005A468A" w:rsidRDefault="005A4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E3A"/>
    <w:rsid w:val="003E49E1"/>
    <w:rsid w:val="005A468A"/>
    <w:rsid w:val="00966AF8"/>
    <w:rsid w:val="00A91F99"/>
    <w:rsid w:val="00D87E3A"/>
    <w:rsid w:val="00FE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4974C5"/>
  <w15:docId w15:val="{2CA7D62D-29CA-A747-AE12-429B32FB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mHp/qHyrq1I4KtFISnX2eFZIWw==">CgMxLjA4AHIhMW1qaTN3ZDNVQ2x2VThQRF9Dcl8xQXQyd0lwdTNjNkVP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594</Words>
  <Characters>3268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Prunelle BLANC</cp:lastModifiedBy>
  <cp:revision>4</cp:revision>
  <dcterms:created xsi:type="dcterms:W3CDTF">2026-04-08T09:36:00Z</dcterms:created>
  <dcterms:modified xsi:type="dcterms:W3CDTF">2026-04-08T11:56:00Z</dcterms:modified>
</cp:coreProperties>
</file>