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8A7" w:rsidRDefault="007376BA" w:rsidP="003708A7">
      <w:pPr>
        <w:pStyle w:val="Heading1"/>
      </w:pPr>
      <w:r>
        <w:t xml:space="preserve">    </w:t>
      </w:r>
      <w:r w:rsidR="003708A7">
        <w:t>axe corticotrope</w:t>
      </w:r>
      <w:r w:rsidR="003708A7">
        <w:br/>
        <w:t>secretion d’ACTH</w:t>
      </w:r>
    </w:p>
    <w:p w:rsidR="003708A7" w:rsidRDefault="003708A7" w:rsidP="003708A7">
      <w:pPr>
        <w:pStyle w:val="Heading2"/>
      </w:pPr>
      <w:r>
        <w:t>secretion et role d’</w:t>
      </w:r>
      <w:r w:rsidRPr="005A56C6">
        <w:rPr>
          <w:color w:val="FF0000"/>
        </w:rPr>
        <w:t>Acth</w:t>
      </w:r>
    </w:p>
    <w:p w:rsidR="003708A7" w:rsidRDefault="003708A7" w:rsidP="00775770">
      <w:pPr>
        <w:pStyle w:val="Heading3"/>
      </w:pPr>
      <w:r>
        <w:rPr>
          <w:noProof/>
          <w:lang w:eastAsia="fr-MC"/>
        </w:rPr>
        <w:drawing>
          <wp:anchor distT="0" distB="0" distL="114300" distR="114300" simplePos="0" relativeHeight="251658240" behindDoc="1" locked="0" layoutInCell="1" allowOverlap="1" wp14:anchorId="064015BC" wp14:editId="638E70D0">
            <wp:simplePos x="0" y="0"/>
            <wp:positionH relativeFrom="column">
              <wp:posOffset>2076318</wp:posOffset>
            </wp:positionH>
            <wp:positionV relativeFrom="paragraph">
              <wp:posOffset>153299</wp:posOffset>
            </wp:positionV>
            <wp:extent cx="3700732" cy="2017066"/>
            <wp:effectExtent l="0" t="0" r="0" b="254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732" cy="2017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secretion</w:t>
      </w:r>
    </w:p>
    <w:p w:rsidR="003708A7" w:rsidRDefault="003708A7" w:rsidP="003708A7">
      <w:r>
        <w:t>Cellules corticotropes</w:t>
      </w:r>
    </w:p>
    <w:p w:rsidR="003708A7" w:rsidRPr="00350599" w:rsidRDefault="003708A7" w:rsidP="003708A7">
      <w:r w:rsidRPr="005A56C6">
        <w:rPr>
          <w:color w:val="FF0000"/>
        </w:rPr>
        <w:t>CRH</w:t>
      </w:r>
      <w:r w:rsidR="00350599" w:rsidRPr="005A56C6">
        <w:rPr>
          <w:color w:val="FF0000"/>
        </w:rPr>
        <w:t xml:space="preserve"> et ADH</w:t>
      </w:r>
      <w:r w:rsidRPr="005A56C6">
        <w:rPr>
          <w:color w:val="FF0000"/>
        </w:rPr>
        <w:t xml:space="preserve"> </w:t>
      </w:r>
      <w:r w:rsidRPr="005A56C6">
        <w:rPr>
          <w:rFonts w:ascii="Cambria" w:hAnsi="Cambria"/>
          <w:color w:val="FF0000"/>
        </w:rPr>
        <w:t>→ ACTH</w:t>
      </w:r>
    </w:p>
    <w:p w:rsidR="00350599" w:rsidRDefault="00350599" w:rsidP="003708A7">
      <w:r w:rsidRPr="005A56C6">
        <w:rPr>
          <w:color w:val="FF0000"/>
        </w:rPr>
        <w:t>ACTH</w:t>
      </w:r>
      <w:r w:rsidRPr="005A56C6">
        <w:rPr>
          <w:rFonts w:ascii="Cambria" w:hAnsi="Cambria"/>
          <w:color w:val="FF0000"/>
        </w:rPr>
        <w:t>→ cortisol</w:t>
      </w:r>
    </w:p>
    <w:p w:rsidR="00350599" w:rsidRDefault="00C93CF7" w:rsidP="00350599">
      <w:r w:rsidRPr="005A56C6">
        <w:rPr>
          <w:color w:val="FF0000"/>
        </w:rPr>
        <w:t>Cortisol</w:t>
      </w:r>
      <w:r w:rsidR="00350599" w:rsidRPr="005A56C6">
        <w:rPr>
          <w:rFonts w:ascii="Cambria" w:hAnsi="Cambria"/>
          <w:color w:val="FF0000"/>
        </w:rPr>
        <w:t>⟞</w:t>
      </w:r>
      <w:r w:rsidR="00350599" w:rsidRPr="005A56C6">
        <w:rPr>
          <w:color w:val="FF0000"/>
        </w:rPr>
        <w:t xml:space="preserve"> ACTH</w:t>
      </w:r>
      <w:r w:rsidRPr="005A56C6">
        <w:rPr>
          <w:color w:val="FF0000"/>
        </w:rPr>
        <w:t>, CRH, ADH</w:t>
      </w:r>
    </w:p>
    <w:p w:rsidR="00350599" w:rsidRDefault="00350599" w:rsidP="00775770">
      <w:pPr>
        <w:pStyle w:val="Heading3"/>
      </w:pPr>
      <w:r>
        <w:t>Roles</w:t>
      </w:r>
    </w:p>
    <w:p w:rsidR="00350599" w:rsidRPr="00350599" w:rsidRDefault="00350599" w:rsidP="00350599">
      <w:r>
        <w:t xml:space="preserve">Directs : </w:t>
      </w: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 </w:t>
      </w:r>
      <w:r w:rsidRPr="005A56C6">
        <w:rPr>
          <w:rFonts w:ascii="Cambria" w:hAnsi="Cambria"/>
          <w:color w:val="FF0000"/>
        </w:rPr>
        <w:t xml:space="preserve">pigmentation </w:t>
      </w:r>
      <w:r>
        <w:rPr>
          <w:rFonts w:ascii="Cambria" w:hAnsi="Cambria"/>
        </w:rPr>
        <w:t>cutanée</w:t>
      </w:r>
    </w:p>
    <w:p w:rsidR="00350599" w:rsidRDefault="00350599" w:rsidP="00350599">
      <w:r>
        <w:t xml:space="preserve">Indirects : liés </w:t>
      </w:r>
      <w:r w:rsidR="00EC543F">
        <w:t>au</w:t>
      </w:r>
      <w:r>
        <w:t xml:space="preserve"> prod de cortisol et androgènes</w:t>
      </w:r>
    </w:p>
    <w:p w:rsidR="00350599" w:rsidRDefault="00350599" w:rsidP="00350599">
      <w:pPr>
        <w:pStyle w:val="Heading2"/>
      </w:pPr>
      <w:r>
        <w:t xml:space="preserve">secretion et role du </w:t>
      </w:r>
      <w:r w:rsidRPr="005A56C6">
        <w:rPr>
          <w:color w:val="FF0000"/>
        </w:rPr>
        <w:t>cortisol</w:t>
      </w:r>
      <w:r>
        <w:t>/androgenes</w:t>
      </w:r>
    </w:p>
    <w:p w:rsidR="00350599" w:rsidRDefault="00350599" w:rsidP="00775770">
      <w:pPr>
        <w:pStyle w:val="Heading3"/>
        <w:numPr>
          <w:ilvl w:val="0"/>
          <w:numId w:val="25"/>
        </w:numPr>
      </w:pPr>
      <w:r>
        <w:t>secretion</w:t>
      </w:r>
    </w:p>
    <w:p w:rsidR="00350599" w:rsidRDefault="00350599" w:rsidP="00350599">
      <w:r>
        <w:t>Pulsatile</w:t>
      </w:r>
    </w:p>
    <w:p w:rsidR="00350599" w:rsidRDefault="00381F84" w:rsidP="00350599">
      <w:r>
        <w:t xml:space="preserve">Transport lié </w:t>
      </w:r>
      <w:r w:rsidR="00EC543F">
        <w:t>à</w:t>
      </w:r>
      <w:r>
        <w:t xml:space="preserve"> la transcortine ++ </w:t>
      </w:r>
      <w:r w:rsidR="00EC543F">
        <w:t>(et</w:t>
      </w:r>
      <w:r>
        <w:t xml:space="preserve"> albumine)</w:t>
      </w:r>
    </w:p>
    <w:p w:rsidR="00381F84" w:rsidRDefault="00381F84" w:rsidP="00775770">
      <w:pPr>
        <w:pStyle w:val="Heading3"/>
      </w:pPr>
      <w:r>
        <w:t>roles</w:t>
      </w:r>
    </w:p>
    <w:p w:rsidR="00381F84" w:rsidRDefault="00381F84" w:rsidP="00381F84">
      <w:r>
        <w:t>Cortisol :</w:t>
      </w:r>
      <w:r w:rsidR="007376BA">
        <w:t xml:space="preserve"> </w:t>
      </w:r>
    </w:p>
    <w:p w:rsidR="00381F84" w:rsidRDefault="00381F84" w:rsidP="00F1317B">
      <w:pPr>
        <w:pStyle w:val="Style1"/>
      </w:pPr>
      <w:r w:rsidRPr="005A56C6">
        <w:rPr>
          <w:color w:val="FF0000"/>
        </w:rPr>
        <w:t xml:space="preserve">Hyperglycémie </w:t>
      </w:r>
      <w:r w:rsidR="00EC543F">
        <w:t>(catbol</w:t>
      </w:r>
      <w:r>
        <w:t xml:space="preserve"> lip+prot et ngg)</w:t>
      </w:r>
    </w:p>
    <w:p w:rsidR="00381F84" w:rsidRPr="00381F84" w:rsidRDefault="00EC543F" w:rsidP="00F1317B">
      <w:pPr>
        <w:pStyle w:val="Style1"/>
      </w:pPr>
      <w:r w:rsidRPr="005A56C6">
        <w:rPr>
          <w:color w:val="FF0000"/>
        </w:rPr>
        <w:t>Hypercalcémie</w:t>
      </w:r>
      <w:r w:rsidR="00381F84" w:rsidRPr="005A56C6">
        <w:rPr>
          <w:color w:val="FF0000"/>
        </w:rPr>
        <w:t xml:space="preserve"> </w:t>
      </w:r>
      <w:r w:rsidR="00381F84">
        <w:t>(</w:t>
      </w:r>
      <w:r w:rsidR="00381F84" w:rsidRPr="000F416B">
        <w:t>↗</w:t>
      </w:r>
      <w:r w:rsidR="00381F84">
        <w:t xml:space="preserve"> </w:t>
      </w:r>
      <w:r>
        <w:t>Resorbtion</w:t>
      </w:r>
      <w:r w:rsidR="00381F84">
        <w:t xml:space="preserve"> osseuse)</w:t>
      </w:r>
    </w:p>
    <w:p w:rsidR="00381F84" w:rsidRPr="00381F84" w:rsidRDefault="00381F84" w:rsidP="00F1317B">
      <w:pPr>
        <w:pStyle w:val="Style1"/>
      </w:pPr>
      <w:r w:rsidRPr="005A56C6">
        <w:rPr>
          <w:color w:val="FF0000"/>
        </w:rPr>
        <w:t xml:space="preserve">Anti </w:t>
      </w:r>
      <w:r w:rsidR="00EC543F" w:rsidRPr="005A56C6">
        <w:rPr>
          <w:color w:val="FF0000"/>
        </w:rPr>
        <w:t>inflammatoire</w:t>
      </w:r>
      <w:r w:rsidRPr="005A56C6">
        <w:rPr>
          <w:color w:val="FF0000"/>
        </w:rPr>
        <w:t xml:space="preserve"> </w:t>
      </w:r>
      <w:r>
        <w:t xml:space="preserve">et anti allergique </w:t>
      </w:r>
      <w:r w:rsidR="00EC543F">
        <w:t>(par</w:t>
      </w:r>
      <w:r>
        <w:t xml:space="preserve"> </w:t>
      </w:r>
      <w:r w:rsidR="00EC543F">
        <w:t>lymphopénie</w:t>
      </w:r>
      <w:r>
        <w:t xml:space="preserve"> et éosinopénie)</w:t>
      </w:r>
    </w:p>
    <w:p w:rsidR="00381F84" w:rsidRDefault="00EC543F" w:rsidP="00381F84">
      <w:r>
        <w:t>Androgènes</w:t>
      </w:r>
      <w:r w:rsidR="00381F84">
        <w:t xml:space="preserve"> surrénaliens</w:t>
      </w:r>
    </w:p>
    <w:p w:rsidR="00381F84" w:rsidRDefault="00381F84" w:rsidP="00F1317B">
      <w:pPr>
        <w:pStyle w:val="Style1"/>
      </w:pPr>
      <w:r>
        <w:t>Convertis en testo ou oeustro dans les tissus peripheriques (virilisation en cas d’exces)</w:t>
      </w:r>
    </w:p>
    <w:p w:rsidR="00381F84" w:rsidRDefault="00CB7C35" w:rsidP="00775770">
      <w:pPr>
        <w:pStyle w:val="Heading2"/>
      </w:pPr>
      <w:r>
        <w:rPr>
          <w:noProof/>
          <w:lang w:eastAsia="fr-MC"/>
        </w:rPr>
        <w:drawing>
          <wp:anchor distT="0" distB="0" distL="114300" distR="114300" simplePos="0" relativeHeight="251659264" behindDoc="1" locked="0" layoutInCell="1" allowOverlap="1" wp14:anchorId="2371277C" wp14:editId="47049790">
            <wp:simplePos x="0" y="0"/>
            <wp:positionH relativeFrom="column">
              <wp:posOffset>3378907</wp:posOffset>
            </wp:positionH>
            <wp:positionV relativeFrom="paragraph">
              <wp:posOffset>289368</wp:posOffset>
            </wp:positionV>
            <wp:extent cx="3146471" cy="2518914"/>
            <wp:effectExtent l="0" t="0" r="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471" cy="251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1F84">
        <w:t xml:space="preserve">$ de </w:t>
      </w:r>
      <w:r w:rsidR="00381F84" w:rsidRPr="005A56C6">
        <w:rPr>
          <w:color w:val="FF0000"/>
        </w:rPr>
        <w:t>cucshing </w:t>
      </w:r>
      <w:r w:rsidR="00381F84">
        <w:t>: hypercotisolisme</w:t>
      </w:r>
    </w:p>
    <w:p w:rsidR="00381F84" w:rsidRPr="00CB7C35" w:rsidRDefault="00CB7C35" w:rsidP="00381F84">
      <w:r>
        <w:t>Hypercatabolisme proteique</w:t>
      </w:r>
      <w:r w:rsidRPr="00981C3F">
        <w:rPr>
          <w:rFonts w:ascii="Cambria" w:hAnsi="Cambria"/>
        </w:rPr>
        <w:t>→</w:t>
      </w:r>
      <w:r>
        <w:rPr>
          <w:rFonts w:ascii="Cambria" w:hAnsi="Cambria"/>
        </w:rPr>
        <w:t>atrophie cut + mucl+ capillaire et osseuse</w:t>
      </w:r>
    </w:p>
    <w:p w:rsidR="00CB7C35" w:rsidRDefault="00CB7C35" w:rsidP="00381F84">
      <w:r>
        <w:t xml:space="preserve">Redistribution facio-tronculaire des graisses : visage rond lunaire, </w:t>
      </w:r>
      <w:r w:rsidR="00EC543F">
        <w:t>obésité</w:t>
      </w:r>
      <w:r>
        <w:t xml:space="preserve"> abdominale</w:t>
      </w:r>
    </w:p>
    <w:p w:rsidR="00CB7C35" w:rsidRDefault="00CB7C35" w:rsidP="00381F84">
      <w:r>
        <w:t>Signes généraux : HTA</w:t>
      </w:r>
    </w:p>
    <w:p w:rsidR="00A64B9C" w:rsidRDefault="00CB7C35" w:rsidP="00C93CF7">
      <w:r>
        <w:t xml:space="preserve">Signes bio : polyglobulie, </w:t>
      </w:r>
      <w:r w:rsidR="00EC543F">
        <w:t>diabète</w:t>
      </w:r>
      <w:r>
        <w:t>, trbl lipidiques</w:t>
      </w:r>
    </w:p>
    <w:p w:rsidR="00A64B9C" w:rsidRDefault="00A64B9C" w:rsidP="00775770">
      <w:pPr>
        <w:pStyle w:val="Heading3"/>
        <w:numPr>
          <w:ilvl w:val="0"/>
          <w:numId w:val="28"/>
        </w:numPr>
      </w:pPr>
      <w:r>
        <w:lastRenderedPageBreak/>
        <w:t>Etiologies du $ de cushing</w:t>
      </w:r>
    </w:p>
    <w:p w:rsidR="00A64B9C" w:rsidRDefault="00EC543F" w:rsidP="00A64B9C">
      <w:r w:rsidRPr="005A56C6">
        <w:rPr>
          <w:color w:val="FF0000"/>
        </w:rPr>
        <w:t>Iatrogène</w:t>
      </w:r>
      <w:r w:rsidR="00A64B9C" w:rsidRPr="005A56C6">
        <w:rPr>
          <w:color w:val="FF0000"/>
        </w:rPr>
        <w:t> </w:t>
      </w:r>
      <w:r w:rsidR="00A64B9C">
        <w:t xml:space="preserve">: prise de </w:t>
      </w:r>
      <w:r>
        <w:t>corticoïdes</w:t>
      </w:r>
    </w:p>
    <w:p w:rsidR="00A64B9C" w:rsidRDefault="00EC543F" w:rsidP="00A64B9C">
      <w:r w:rsidRPr="005A56C6">
        <w:rPr>
          <w:color w:val="FF0000"/>
        </w:rPr>
        <w:t>Hypersécrétion</w:t>
      </w:r>
      <w:r w:rsidR="00A64B9C" w:rsidRPr="005A56C6">
        <w:rPr>
          <w:color w:val="FF0000"/>
        </w:rPr>
        <w:t xml:space="preserve"> </w:t>
      </w:r>
      <w:r w:rsidR="00A64B9C">
        <w:t xml:space="preserve">primaire </w:t>
      </w:r>
      <w:r w:rsidR="00A64B9C" w:rsidRPr="005A56C6">
        <w:rPr>
          <w:color w:val="FF0000"/>
        </w:rPr>
        <w:t>d’ACTH </w:t>
      </w:r>
      <w:r w:rsidR="00A64B9C">
        <w:t>:</w:t>
      </w:r>
    </w:p>
    <w:p w:rsidR="00A64B9C" w:rsidRDefault="00EC543F" w:rsidP="00F1317B">
      <w:pPr>
        <w:pStyle w:val="Style1"/>
      </w:pPr>
      <w:r>
        <w:t>Adénome</w:t>
      </w:r>
      <w:r w:rsidR="00A64B9C">
        <w:t xml:space="preserve"> hypophysaire à ACTH = </w:t>
      </w:r>
      <w:r w:rsidR="00A64B9C" w:rsidRPr="005A56C6">
        <w:rPr>
          <w:color w:val="FF0000"/>
        </w:rPr>
        <w:t xml:space="preserve">maladie </w:t>
      </w:r>
      <w:r w:rsidR="00A64B9C">
        <w:t xml:space="preserve">de </w:t>
      </w:r>
      <w:r w:rsidR="00A64B9C" w:rsidRPr="005A56C6">
        <w:rPr>
          <w:color w:val="FF0000"/>
        </w:rPr>
        <w:t xml:space="preserve">cushing </w:t>
      </w:r>
      <w:r w:rsidR="00A64B9C">
        <w:t>(</w:t>
      </w:r>
      <w:r>
        <w:t>micro adénome</w:t>
      </w:r>
      <w:r w:rsidR="00A64B9C">
        <w:t xml:space="preserve"> ++)</w:t>
      </w:r>
      <w:r w:rsidR="0053059C">
        <w:t xml:space="preserve">, </w:t>
      </w:r>
      <w:r>
        <w:t>sécrétion</w:t>
      </w:r>
      <w:r w:rsidR="0053059C">
        <w:t xml:space="preserve"> autonome </w:t>
      </w:r>
      <w:r>
        <w:t>freinée</w:t>
      </w:r>
      <w:r w:rsidR="0053059C">
        <w:t xml:space="preserve"> par dose </w:t>
      </w:r>
      <w:r w:rsidR="0053059C" w:rsidRPr="000F416B">
        <w:rPr>
          <w:rFonts w:ascii="Cambria" w:hAnsi="Cambria"/>
        </w:rPr>
        <w:t>↗</w:t>
      </w:r>
      <w:r w:rsidR="0053059C" w:rsidRPr="0053059C">
        <w:rPr>
          <w:rFonts w:ascii="Cambria" w:hAnsi="Cambria"/>
        </w:rPr>
        <w:t>↗</w:t>
      </w:r>
      <w:r w:rsidR="0053059C">
        <w:rPr>
          <w:rFonts w:ascii="Cambria" w:hAnsi="Cambria"/>
        </w:rPr>
        <w:t xml:space="preserve"> </w:t>
      </w:r>
      <w:r>
        <w:rPr>
          <w:rFonts w:ascii="Cambria" w:hAnsi="Cambria"/>
        </w:rPr>
        <w:t>corticoïdes</w:t>
      </w:r>
    </w:p>
    <w:p w:rsidR="0053059C" w:rsidRDefault="00EC543F" w:rsidP="00F1317B">
      <w:pPr>
        <w:pStyle w:val="Style1"/>
      </w:pPr>
      <w:r>
        <w:t>Sécrétion</w:t>
      </w:r>
      <w:r w:rsidR="00A64B9C">
        <w:t xml:space="preserve"> ectopique d’ACTH = $ </w:t>
      </w:r>
      <w:r w:rsidR="00A64B9C" w:rsidRPr="005A56C6">
        <w:rPr>
          <w:color w:val="FF0000"/>
        </w:rPr>
        <w:t>paranéoplasique</w:t>
      </w:r>
      <w:r w:rsidR="0053059C">
        <w:t xml:space="preserve">, </w:t>
      </w:r>
      <w:r>
        <w:t>sécrétion</w:t>
      </w:r>
      <w:r w:rsidR="0053059C">
        <w:t xml:space="preserve"> autonome sans </w:t>
      </w:r>
      <w:r>
        <w:t>freinage</w:t>
      </w:r>
      <w:r w:rsidR="0053059C">
        <w:t xml:space="preserve"> </w:t>
      </w:r>
    </w:p>
    <w:p w:rsidR="0053059C" w:rsidRDefault="0053059C" w:rsidP="00F1317B">
      <w:pPr>
        <w:pStyle w:val="Style1"/>
      </w:pPr>
      <w:r>
        <w:t xml:space="preserve">Donc </w:t>
      </w:r>
      <w:r w:rsidR="00EC543F" w:rsidRPr="005A56C6">
        <w:rPr>
          <w:color w:val="FF0000"/>
        </w:rPr>
        <w:t>mélanodermie</w:t>
      </w:r>
      <w:r w:rsidRPr="005A56C6">
        <w:rPr>
          <w:color w:val="FF0000"/>
        </w:rPr>
        <w:t xml:space="preserve"> </w:t>
      </w:r>
      <w:r>
        <w:t xml:space="preserve">+ hyperplasie </w:t>
      </w:r>
      <w:r w:rsidR="00EC543F">
        <w:t>surrénales</w:t>
      </w:r>
      <w:r>
        <w:t xml:space="preserve"> + </w:t>
      </w:r>
      <w:r w:rsidRPr="000F416B">
        <w:rPr>
          <w:rFonts w:ascii="Cambria" w:hAnsi="Cambria"/>
        </w:rPr>
        <w:t>↗</w:t>
      </w:r>
      <w:r w:rsidRPr="0053059C">
        <w:rPr>
          <w:rFonts w:ascii="Cambria" w:hAnsi="Cambria"/>
        </w:rPr>
        <w:t>↗</w:t>
      </w:r>
      <w:r>
        <w:rPr>
          <w:rFonts w:ascii="Cambria" w:hAnsi="Cambria"/>
        </w:rPr>
        <w:t xml:space="preserve">cortisol et </w:t>
      </w:r>
      <w:r w:rsidR="00EC543F">
        <w:rPr>
          <w:rFonts w:ascii="Cambria" w:hAnsi="Cambria"/>
        </w:rPr>
        <w:t>androgènes</w:t>
      </w:r>
    </w:p>
    <w:p w:rsidR="00A64B9C" w:rsidRDefault="00EC543F" w:rsidP="00A64B9C">
      <w:r w:rsidRPr="005A56C6">
        <w:rPr>
          <w:color w:val="FF0000"/>
        </w:rPr>
        <w:t>Hypersécrétion</w:t>
      </w:r>
      <w:r w:rsidR="00A64B9C" w:rsidRPr="005A56C6">
        <w:rPr>
          <w:color w:val="FF0000"/>
        </w:rPr>
        <w:t xml:space="preserve"> </w:t>
      </w:r>
      <w:r w:rsidR="00A64B9C">
        <w:t xml:space="preserve">primaire de </w:t>
      </w:r>
      <w:r w:rsidR="00A64B9C" w:rsidRPr="005A56C6">
        <w:rPr>
          <w:color w:val="FF0000"/>
        </w:rPr>
        <w:t>cortisol </w:t>
      </w:r>
      <w:r w:rsidR="00A64B9C">
        <w:t>:</w:t>
      </w:r>
    </w:p>
    <w:p w:rsidR="00A64B9C" w:rsidRDefault="00EC543F" w:rsidP="00F1317B">
      <w:pPr>
        <w:pStyle w:val="Style1"/>
      </w:pPr>
      <w:r>
        <w:t>Adénome</w:t>
      </w:r>
      <w:r w:rsidR="00A64B9C">
        <w:t xml:space="preserve"> </w:t>
      </w:r>
      <w:r>
        <w:t>surrénalien</w:t>
      </w:r>
      <w:r w:rsidR="00A64B9C">
        <w:t xml:space="preserve"> (TB)</w:t>
      </w:r>
    </w:p>
    <w:p w:rsidR="00A64B9C" w:rsidRDefault="00A64B9C" w:rsidP="00F1317B">
      <w:pPr>
        <w:pStyle w:val="Style1"/>
      </w:pPr>
      <w:r>
        <w:t xml:space="preserve">Carcinome </w:t>
      </w:r>
      <w:r w:rsidR="00EC543F">
        <w:t>surrénalien</w:t>
      </w:r>
      <w:r>
        <w:t xml:space="preserve"> (TM) </w:t>
      </w:r>
    </w:p>
    <w:p w:rsidR="00A64B9C" w:rsidRPr="0053059C" w:rsidRDefault="0053059C" w:rsidP="00F1317B">
      <w:pPr>
        <w:pStyle w:val="Style1"/>
      </w:pPr>
      <w:r>
        <w:rPr>
          <w:noProof/>
          <w:lang w:eastAsia="fr-MC"/>
        </w:rPr>
        <w:drawing>
          <wp:anchor distT="0" distB="0" distL="114300" distR="114300" simplePos="0" relativeHeight="251660288" behindDoc="1" locked="0" layoutInCell="1" allowOverlap="1" wp14:anchorId="3A779D2D" wp14:editId="19D5A250">
            <wp:simplePos x="0" y="0"/>
            <wp:positionH relativeFrom="column">
              <wp:posOffset>4025888</wp:posOffset>
            </wp:positionH>
            <wp:positionV relativeFrom="paragraph">
              <wp:posOffset>181215</wp:posOffset>
            </wp:positionV>
            <wp:extent cx="2484120" cy="1336675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133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Rétrocontrôle ACTH normal= </w:t>
      </w:r>
      <w:r w:rsidRPr="00944AE9">
        <w:t>↘</w:t>
      </w:r>
      <w:r w:rsidRPr="0053059C">
        <w:t>↘</w:t>
      </w:r>
      <w:r>
        <w:t xml:space="preserve"> ACTH= </w:t>
      </w:r>
      <w:r w:rsidRPr="005A56C6">
        <w:rPr>
          <w:color w:val="FF0000"/>
        </w:rPr>
        <w:t xml:space="preserve">hypoplasie </w:t>
      </w:r>
      <w:r>
        <w:t>de la surrénale saine</w:t>
      </w:r>
    </w:p>
    <w:p w:rsidR="0053059C" w:rsidRDefault="0053059C" w:rsidP="00775770">
      <w:pPr>
        <w:pStyle w:val="Heading3"/>
      </w:pPr>
      <w:r>
        <w:t>Confirmer le cushing</w:t>
      </w:r>
    </w:p>
    <w:p w:rsidR="0053059C" w:rsidRDefault="0053059C" w:rsidP="0053059C">
      <w:r>
        <w:t xml:space="preserve">Dosage du cortisol </w:t>
      </w:r>
      <w:r w:rsidR="00EC543F">
        <w:t>libre</w:t>
      </w:r>
      <w:r>
        <w:t xml:space="preserve"> urinaire CLU</w:t>
      </w:r>
      <w:r w:rsidR="00F1317B">
        <w:t xml:space="preserve"> : </w:t>
      </w:r>
      <w:r w:rsidR="00EC543F">
        <w:t>constamment</w:t>
      </w:r>
      <w:r w:rsidR="00F1317B">
        <w:t xml:space="preserve"> </w:t>
      </w:r>
      <w:r w:rsidR="00F1317B" w:rsidRPr="000F416B">
        <w:rPr>
          <w:rFonts w:ascii="Cambria" w:hAnsi="Cambria"/>
        </w:rPr>
        <w:t>↗</w:t>
      </w:r>
      <w:r w:rsidR="00F1317B">
        <w:t xml:space="preserve"> dans le $ de cushing</w:t>
      </w:r>
    </w:p>
    <w:p w:rsidR="00F1317B" w:rsidRDefault="00F1317B" w:rsidP="0053059C">
      <w:r>
        <w:t>Perte du rythme nycthéméral</w:t>
      </w:r>
    </w:p>
    <w:p w:rsidR="00F1317B" w:rsidRDefault="00F1317B" w:rsidP="00F1317B">
      <w:r w:rsidRPr="005A56C6">
        <w:rPr>
          <w:color w:val="FF0000"/>
        </w:rPr>
        <w:t xml:space="preserve">Test de </w:t>
      </w:r>
      <w:r w:rsidR="00EC543F" w:rsidRPr="005A56C6">
        <w:rPr>
          <w:color w:val="FF0000"/>
        </w:rPr>
        <w:t>freinage</w:t>
      </w:r>
      <w:r w:rsidRPr="005A56C6">
        <w:rPr>
          <w:color w:val="FF0000"/>
        </w:rPr>
        <w:t xml:space="preserve"> à la dextamethasone </w:t>
      </w:r>
      <w:r>
        <w:t>:</w:t>
      </w:r>
    </w:p>
    <w:p w:rsidR="00F1317B" w:rsidRDefault="00F1317B" w:rsidP="00F1317B">
      <w:pPr>
        <w:pStyle w:val="Style1"/>
      </w:pPr>
      <w:r>
        <w:t xml:space="preserve">Test de </w:t>
      </w:r>
      <w:r w:rsidR="00EC543F">
        <w:t>freinage</w:t>
      </w:r>
      <w:r>
        <w:t xml:space="preserve"> fort + test de </w:t>
      </w:r>
      <w:r w:rsidR="00EC543F">
        <w:t>freinage</w:t>
      </w:r>
      <w:r>
        <w:t xml:space="preserve"> faible avec dosage ACTH</w:t>
      </w:r>
    </w:p>
    <w:p w:rsidR="00F1317B" w:rsidRPr="00F1317B" w:rsidRDefault="00F1317B" w:rsidP="00F1317B">
      <w:pPr>
        <w:pStyle w:val="Style1"/>
      </w:pPr>
      <w:r>
        <w:t xml:space="preserve">ACTH normal mais cortisol </w:t>
      </w:r>
      <w:r w:rsidRPr="000F416B">
        <w:rPr>
          <w:rFonts w:ascii="Cambria" w:hAnsi="Cambria"/>
        </w:rPr>
        <w:t>↗</w:t>
      </w:r>
      <w:r>
        <w:rPr>
          <w:rFonts w:ascii="Cambria" w:hAnsi="Cambria"/>
        </w:rPr>
        <w:t>=  TB ou TM surrénales</w:t>
      </w:r>
      <w:r w:rsidR="00EA2886">
        <w:rPr>
          <w:rFonts w:ascii="Cambria" w:hAnsi="Cambria"/>
        </w:rPr>
        <w:t xml:space="preserve"> </w:t>
      </w:r>
      <w:r w:rsidR="00EA2886" w:rsidRPr="00EA2886">
        <w:rPr>
          <w:rFonts w:ascii="Cambria" w:hAnsi="Cambria"/>
        </w:rPr>
        <w:t>→</w:t>
      </w:r>
      <w:r w:rsidR="00EA2886">
        <w:rPr>
          <w:rFonts w:ascii="Cambria" w:hAnsi="Cambria"/>
        </w:rPr>
        <w:t xml:space="preserve"> scanner abdo</w:t>
      </w:r>
    </w:p>
    <w:p w:rsidR="00F1317B" w:rsidRPr="00F1317B" w:rsidRDefault="00F1317B" w:rsidP="00F1317B">
      <w:pPr>
        <w:pStyle w:val="Style1"/>
      </w:pPr>
      <w:r>
        <w:t xml:space="preserve">ACTH </w:t>
      </w: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 mais </w:t>
      </w:r>
      <w:r w:rsidRPr="00F1317B">
        <w:rPr>
          <w:rFonts w:ascii="Cambria" w:hAnsi="Cambria"/>
        </w:rPr>
        <w:t>↘</w:t>
      </w:r>
      <w:r>
        <w:rPr>
          <w:rFonts w:ascii="Cambria" w:hAnsi="Cambria"/>
        </w:rPr>
        <w:t xml:space="preserve"> au </w:t>
      </w:r>
      <w:r w:rsidR="00EC543F">
        <w:rPr>
          <w:rFonts w:ascii="Cambria" w:hAnsi="Cambria"/>
        </w:rPr>
        <w:t>freinage</w:t>
      </w:r>
      <w:r>
        <w:rPr>
          <w:rFonts w:ascii="Cambria" w:hAnsi="Cambria"/>
        </w:rPr>
        <w:t xml:space="preserve"> fort= maladie de cushing</w:t>
      </w:r>
    </w:p>
    <w:p w:rsidR="00F1317B" w:rsidRDefault="00EA2886" w:rsidP="00EA2886">
      <w:pPr>
        <w:pStyle w:val="Style1"/>
      </w:pPr>
      <w:r>
        <w:rPr>
          <w:rFonts w:ascii="Cambria" w:hAnsi="Cambria"/>
          <w:noProof/>
          <w:lang w:eastAsia="fr-MC"/>
        </w:rPr>
        <w:drawing>
          <wp:anchor distT="0" distB="0" distL="114300" distR="114300" simplePos="0" relativeHeight="251661312" behindDoc="1" locked="0" layoutInCell="1" allowOverlap="1" wp14:anchorId="454C1EF3" wp14:editId="144C2387">
            <wp:simplePos x="0" y="0"/>
            <wp:positionH relativeFrom="column">
              <wp:posOffset>833755</wp:posOffset>
            </wp:positionH>
            <wp:positionV relativeFrom="paragraph">
              <wp:posOffset>490855</wp:posOffset>
            </wp:positionV>
            <wp:extent cx="4356100" cy="4507230"/>
            <wp:effectExtent l="0" t="0" r="6350" b="762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450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317B">
        <w:t>ACTH</w:t>
      </w:r>
      <w:r w:rsidR="00F1317B" w:rsidRPr="000F416B">
        <w:t>↗</w:t>
      </w:r>
      <w:r w:rsidR="00F1317B">
        <w:t xml:space="preserve"> pas de </w:t>
      </w:r>
      <w:r w:rsidR="00EC543F">
        <w:t>réponse</w:t>
      </w:r>
      <w:r w:rsidR="00F1317B">
        <w:t xml:space="preserve"> au </w:t>
      </w:r>
      <w:r w:rsidR="00EC543F">
        <w:t>freinage</w:t>
      </w:r>
      <w:r w:rsidR="00F1317B">
        <w:t>= $ paranéoplasique</w:t>
      </w: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7376BA">
      <w:pPr>
        <w:pStyle w:val="Style1"/>
        <w:numPr>
          <w:ilvl w:val="0"/>
          <w:numId w:val="0"/>
        </w:numPr>
        <w:ind w:left="2136" w:hanging="360"/>
      </w:pPr>
    </w:p>
    <w:p w:rsidR="00EA2886" w:rsidRDefault="007376BA" w:rsidP="00EA2886">
      <w:pPr>
        <w:pStyle w:val="Style1"/>
        <w:numPr>
          <w:ilvl w:val="0"/>
          <w:numId w:val="0"/>
        </w:numPr>
        <w:ind w:left="2136" w:hanging="360"/>
      </w:pPr>
      <w:r>
        <w:rPr>
          <w:noProof/>
          <w:lang w:eastAsia="fr-MC"/>
        </w:rPr>
        <w:lastRenderedPageBreak/>
        <w:drawing>
          <wp:anchor distT="0" distB="0" distL="114300" distR="114300" simplePos="0" relativeHeight="251662336" behindDoc="1" locked="0" layoutInCell="1" allowOverlap="1" wp14:anchorId="47FB9DF3" wp14:editId="1AE75E0E">
            <wp:simplePos x="0" y="0"/>
            <wp:positionH relativeFrom="column">
              <wp:posOffset>230265</wp:posOffset>
            </wp:positionH>
            <wp:positionV relativeFrom="paragraph">
              <wp:posOffset>5979</wp:posOffset>
            </wp:positionV>
            <wp:extent cx="5632450" cy="4083685"/>
            <wp:effectExtent l="0" t="0" r="6350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0" cy="408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886" w:rsidRDefault="00EA2886" w:rsidP="00EA2886">
      <w:pPr>
        <w:pStyle w:val="Style1"/>
        <w:numPr>
          <w:ilvl w:val="0"/>
          <w:numId w:val="0"/>
        </w:numPr>
        <w:ind w:left="2136" w:hanging="360"/>
      </w:pPr>
    </w:p>
    <w:p w:rsidR="00EA2886" w:rsidRDefault="00EA2886" w:rsidP="00EA2886">
      <w:pPr>
        <w:pStyle w:val="Style1"/>
        <w:numPr>
          <w:ilvl w:val="0"/>
          <w:numId w:val="0"/>
        </w:numPr>
        <w:ind w:left="2136" w:hanging="360"/>
      </w:pPr>
    </w:p>
    <w:p w:rsidR="00EA2886" w:rsidRDefault="00EA2886" w:rsidP="00EA2886">
      <w:pPr>
        <w:pStyle w:val="Style1"/>
        <w:numPr>
          <w:ilvl w:val="0"/>
          <w:numId w:val="0"/>
        </w:numPr>
        <w:ind w:left="2136" w:hanging="360"/>
      </w:pPr>
    </w:p>
    <w:p w:rsidR="00EA2886" w:rsidRDefault="00EA2886" w:rsidP="00EA2886">
      <w:pPr>
        <w:pStyle w:val="Style1"/>
        <w:numPr>
          <w:ilvl w:val="0"/>
          <w:numId w:val="0"/>
        </w:numPr>
        <w:ind w:left="2136" w:hanging="360"/>
      </w:pPr>
    </w:p>
    <w:p w:rsidR="00EA2886" w:rsidRDefault="00EA2886" w:rsidP="00EA2886">
      <w:pPr>
        <w:pStyle w:val="Style1"/>
        <w:numPr>
          <w:ilvl w:val="0"/>
          <w:numId w:val="0"/>
        </w:numPr>
        <w:ind w:left="2136" w:hanging="360"/>
      </w:pPr>
    </w:p>
    <w:p w:rsidR="00EA2886" w:rsidRDefault="00EA2886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75770" w:rsidP="00EA2886">
      <w:pPr>
        <w:pStyle w:val="Style1"/>
        <w:numPr>
          <w:ilvl w:val="0"/>
          <w:numId w:val="0"/>
        </w:numPr>
        <w:ind w:left="2136" w:hanging="360"/>
      </w:pPr>
      <w:r>
        <w:rPr>
          <w:noProof/>
          <w:lang w:eastAsia="fr-MC"/>
        </w:rPr>
        <w:drawing>
          <wp:anchor distT="0" distB="0" distL="114300" distR="114300" simplePos="0" relativeHeight="251663360" behindDoc="1" locked="0" layoutInCell="1" allowOverlap="1" wp14:anchorId="390FEC58" wp14:editId="32EABAB8">
            <wp:simplePos x="0" y="0"/>
            <wp:positionH relativeFrom="column">
              <wp:posOffset>13970</wp:posOffset>
            </wp:positionH>
            <wp:positionV relativeFrom="paragraph">
              <wp:posOffset>165735</wp:posOffset>
            </wp:positionV>
            <wp:extent cx="5760720" cy="4074160"/>
            <wp:effectExtent l="0" t="0" r="0" b="254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6A55DD" w:rsidP="00775770">
      <w:pPr>
        <w:pStyle w:val="Heading2"/>
      </w:pPr>
      <w:r>
        <w:rPr>
          <w:noProof/>
          <w:lang w:eastAsia="fr-MC"/>
        </w:rPr>
        <w:lastRenderedPageBreak/>
        <w:drawing>
          <wp:anchor distT="0" distB="0" distL="114300" distR="114300" simplePos="0" relativeHeight="251664384" behindDoc="1" locked="0" layoutInCell="1" allowOverlap="1" wp14:anchorId="7F29A0DD" wp14:editId="7B0D338B">
            <wp:simplePos x="0" y="0"/>
            <wp:positionH relativeFrom="column">
              <wp:posOffset>3879215</wp:posOffset>
            </wp:positionH>
            <wp:positionV relativeFrom="paragraph">
              <wp:posOffset>-175260</wp:posOffset>
            </wp:positionV>
            <wp:extent cx="2596515" cy="2920365"/>
            <wp:effectExtent l="0" t="0" r="0" b="0"/>
            <wp:wrapSquare wrapText="bothSides"/>
            <wp:docPr id="7" name="Image 7" descr="http://www.apsu.edu/thompsonj/Anatomy%20&amp;%20Physiology/2010/2010%20Exam%20Reviews/Exam%205%20Final%20Review/aldosterone.Fig.17.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psu.edu/thompsonj/Anatomy%20&amp;%20Physiology/2010/2010%20Exam%20Reviews/Exam%205%20Final%20Review/aldosterone.Fig.17.1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292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835">
        <w:t>d</w:t>
      </w:r>
      <w:r w:rsidR="00775770">
        <w:t>eficit en cortisol : insuffisance surrenalienne</w:t>
      </w:r>
    </w:p>
    <w:p w:rsidR="0001484E" w:rsidRDefault="0001484E" w:rsidP="0001484E">
      <w:pPr>
        <w:numPr>
          <w:ilvl w:val="0"/>
          <w:numId w:val="0"/>
        </w:numPr>
        <w:ind w:left="720" w:hanging="360"/>
      </w:pPr>
    </w:p>
    <w:p w:rsidR="0001484E" w:rsidRDefault="0001484E" w:rsidP="0001484E">
      <w:r>
        <w:t xml:space="preserve">Rappel : </w:t>
      </w:r>
      <w:r w:rsidR="00EC543F" w:rsidRPr="005A56C6">
        <w:rPr>
          <w:color w:val="FF0000"/>
        </w:rPr>
        <w:t>aldostérone</w:t>
      </w:r>
      <w:r w:rsidRPr="005A56C6">
        <w:rPr>
          <w:color w:val="FF0000"/>
        </w:rPr>
        <w:t> </w:t>
      </w:r>
      <w:r>
        <w:t xml:space="preserve">: </w:t>
      </w:r>
    </w:p>
    <w:p w:rsidR="00C93CF7" w:rsidRDefault="00C93CF7" w:rsidP="00C93CF7">
      <w:pPr>
        <w:pStyle w:val="Style1"/>
      </w:pPr>
      <w:r>
        <w:t xml:space="preserve">Hormone de perfusion du rein </w:t>
      </w:r>
    </w:p>
    <w:p w:rsidR="0001484E" w:rsidRDefault="00EC543F" w:rsidP="0001484E">
      <w:pPr>
        <w:pStyle w:val="Style1"/>
      </w:pPr>
      <w:r w:rsidRPr="005A56C6">
        <w:rPr>
          <w:color w:val="FF0000"/>
        </w:rPr>
        <w:t>Réabsorption</w:t>
      </w:r>
      <w:r w:rsidR="0001484E" w:rsidRPr="005A56C6">
        <w:rPr>
          <w:color w:val="FF0000"/>
        </w:rPr>
        <w:t xml:space="preserve"> eau </w:t>
      </w:r>
      <w:r w:rsidR="0001484E">
        <w:t xml:space="preserve">et </w:t>
      </w:r>
      <w:r w:rsidR="0001484E" w:rsidRPr="005A56C6">
        <w:rPr>
          <w:color w:val="FF0000"/>
        </w:rPr>
        <w:t>Na+</w:t>
      </w:r>
    </w:p>
    <w:p w:rsidR="0001484E" w:rsidRPr="0001484E" w:rsidRDefault="0001484E" w:rsidP="0001484E">
      <w:pPr>
        <w:pStyle w:val="Style1"/>
      </w:pPr>
      <w:r w:rsidRPr="005A56C6">
        <w:rPr>
          <w:color w:val="FF0000"/>
        </w:rPr>
        <w:t>Elimination K+</w:t>
      </w:r>
    </w:p>
    <w:p w:rsidR="00775770" w:rsidRDefault="00775770" w:rsidP="00775770">
      <w:pPr>
        <w:pStyle w:val="Heading3"/>
        <w:numPr>
          <w:ilvl w:val="0"/>
          <w:numId w:val="29"/>
        </w:numPr>
      </w:pPr>
      <w:r>
        <w:t>etiologies</w:t>
      </w:r>
    </w:p>
    <w:p w:rsidR="00775770" w:rsidRDefault="00775770" w:rsidP="00775770">
      <w:r w:rsidRPr="005A56C6">
        <w:rPr>
          <w:color w:val="FF0000"/>
        </w:rPr>
        <w:t xml:space="preserve">Insuffisance </w:t>
      </w:r>
      <w:r w:rsidR="00EC543F">
        <w:t>surrénale</w:t>
      </w:r>
      <w:r>
        <w:t xml:space="preserve"> </w:t>
      </w:r>
      <w:r w:rsidRPr="005A56C6">
        <w:rPr>
          <w:color w:val="FF0000"/>
        </w:rPr>
        <w:t>primaire </w:t>
      </w:r>
      <w:r>
        <w:t xml:space="preserve">: maladie </w:t>
      </w:r>
      <w:r w:rsidR="00EC543F" w:rsidRPr="005A56C6">
        <w:rPr>
          <w:color w:val="FF0000"/>
        </w:rPr>
        <w:t>d’Addison</w:t>
      </w:r>
    </w:p>
    <w:p w:rsidR="00775770" w:rsidRDefault="00EC543F" w:rsidP="00775770">
      <w:pPr>
        <w:pStyle w:val="Style1"/>
      </w:pPr>
      <w:r>
        <w:t>Défaut</w:t>
      </w:r>
      <w:r w:rsidR="00775770">
        <w:t xml:space="preserve"> de </w:t>
      </w:r>
      <w:r>
        <w:t>sécrétion</w:t>
      </w:r>
      <w:r w:rsidR="00775770">
        <w:t xml:space="preserve"> cortisol </w:t>
      </w:r>
      <w:r>
        <w:t>aldostérone</w:t>
      </w:r>
      <w:r w:rsidR="00775770">
        <w:t xml:space="preserve"> et +/- </w:t>
      </w:r>
      <w:r>
        <w:t>androgènes</w:t>
      </w:r>
    </w:p>
    <w:p w:rsidR="00775770" w:rsidRDefault="00775770" w:rsidP="00775770">
      <w:pPr>
        <w:pStyle w:val="Style1"/>
      </w:pPr>
      <w:r>
        <w:t>Acquise (50%) (</w:t>
      </w:r>
      <w:r w:rsidR="00EC543F">
        <w:t>auto-immunes</w:t>
      </w:r>
      <w:r>
        <w:t xml:space="preserve">, infections, </w:t>
      </w:r>
      <w:r w:rsidR="00EC543F">
        <w:t>métastases</w:t>
      </w:r>
      <w:r>
        <w:t xml:space="preserve"> </w:t>
      </w:r>
      <w:r w:rsidR="00EC543F">
        <w:t>hémorragies.)</w:t>
      </w:r>
    </w:p>
    <w:p w:rsidR="00775770" w:rsidRDefault="00775770" w:rsidP="00775770">
      <w:pPr>
        <w:pStyle w:val="Style1"/>
      </w:pPr>
      <w:r>
        <w:t xml:space="preserve">Génétique (50%) hyperplasie </w:t>
      </w:r>
      <w:r w:rsidR="00EC543F">
        <w:t>congénitale</w:t>
      </w:r>
      <w:r>
        <w:t xml:space="preserve"> des </w:t>
      </w:r>
      <w:r w:rsidR="00EC543F">
        <w:t>surrénales</w:t>
      </w:r>
    </w:p>
    <w:p w:rsidR="00775770" w:rsidRDefault="00775770" w:rsidP="00775770">
      <w:r w:rsidRPr="005A56C6">
        <w:rPr>
          <w:color w:val="FF0000"/>
        </w:rPr>
        <w:t xml:space="preserve">Insuffisance </w:t>
      </w:r>
      <w:r w:rsidR="00EC543F">
        <w:t>surrénale</w:t>
      </w:r>
      <w:r>
        <w:t xml:space="preserve"> </w:t>
      </w:r>
      <w:r w:rsidRPr="005A56C6">
        <w:rPr>
          <w:color w:val="FF0000"/>
        </w:rPr>
        <w:t xml:space="preserve">secondaire </w:t>
      </w:r>
      <w:r>
        <w:t xml:space="preserve">à un </w:t>
      </w:r>
      <w:r w:rsidR="00EC543F" w:rsidRPr="005A56C6">
        <w:rPr>
          <w:color w:val="FF0000"/>
        </w:rPr>
        <w:t>déficit</w:t>
      </w:r>
      <w:r w:rsidRPr="005A56C6">
        <w:rPr>
          <w:color w:val="FF0000"/>
        </w:rPr>
        <w:t xml:space="preserve"> </w:t>
      </w:r>
      <w:r>
        <w:t xml:space="preserve">en </w:t>
      </w:r>
      <w:r w:rsidRPr="005A56C6">
        <w:rPr>
          <w:color w:val="FF0000"/>
        </w:rPr>
        <w:t>ACTH</w:t>
      </w:r>
    </w:p>
    <w:p w:rsidR="0001484E" w:rsidRDefault="00EC543F" w:rsidP="0001484E">
      <w:pPr>
        <w:pStyle w:val="Style1"/>
      </w:pPr>
      <w:r>
        <w:t>Défaut</w:t>
      </w:r>
      <w:r w:rsidR="00775770">
        <w:t xml:space="preserve"> de </w:t>
      </w:r>
      <w:r>
        <w:t>sécrétion</w:t>
      </w:r>
      <w:r w:rsidR="00775770">
        <w:t xml:space="preserve"> </w:t>
      </w:r>
      <w:r w:rsidR="0001484E">
        <w:t xml:space="preserve">cortisol et </w:t>
      </w:r>
      <w:r>
        <w:t>androgènes</w:t>
      </w:r>
      <w:r w:rsidR="0001484E">
        <w:t xml:space="preserve"> (mais </w:t>
      </w:r>
      <w:r>
        <w:t>aldostérone</w:t>
      </w:r>
      <w:r w:rsidR="0001484E">
        <w:t xml:space="preserve"> normale)</w:t>
      </w:r>
    </w:p>
    <w:p w:rsidR="00775770" w:rsidRDefault="00EC543F" w:rsidP="00775770">
      <w:pPr>
        <w:pStyle w:val="Style1"/>
      </w:pPr>
      <w:r>
        <w:t>Arrêt</w:t>
      </w:r>
      <w:r w:rsidR="00775770">
        <w:t xml:space="preserve"> brutal </w:t>
      </w:r>
      <w:r>
        <w:t>corticothérapie</w:t>
      </w:r>
      <w:r w:rsidR="00775770">
        <w:t xml:space="preserve"> </w:t>
      </w:r>
    </w:p>
    <w:p w:rsidR="00775770" w:rsidRDefault="00775770" w:rsidP="00775770">
      <w:pPr>
        <w:pStyle w:val="Style1"/>
      </w:pPr>
      <w:r>
        <w:t>Insuffisance hypophysaire</w:t>
      </w:r>
    </w:p>
    <w:p w:rsidR="0001484E" w:rsidRDefault="0001484E" w:rsidP="0001484E">
      <w:pPr>
        <w:pStyle w:val="Heading3"/>
      </w:pPr>
      <w:r>
        <w:t>signes cliniques</w:t>
      </w:r>
    </w:p>
    <w:p w:rsidR="0001484E" w:rsidRDefault="0001484E" w:rsidP="0001484E">
      <w:r>
        <w:t xml:space="preserve">Insuffisance </w:t>
      </w:r>
      <w:r w:rsidRPr="005A56C6">
        <w:rPr>
          <w:color w:val="FF0000"/>
        </w:rPr>
        <w:t>primaire </w:t>
      </w:r>
      <w:r>
        <w:t>:</w:t>
      </w:r>
    </w:p>
    <w:p w:rsidR="0001484E" w:rsidRPr="00C93CF7" w:rsidRDefault="0001484E" w:rsidP="0001484E">
      <w:pPr>
        <w:pStyle w:val="Style1"/>
      </w:pPr>
      <w:r w:rsidRPr="005A56C6">
        <w:rPr>
          <w:rFonts w:ascii="Cambria" w:hAnsi="Cambria"/>
          <w:color w:val="FF0000"/>
        </w:rPr>
        <w:t xml:space="preserve">↘cortisol </w:t>
      </w:r>
      <w:r w:rsidRPr="0001484E">
        <w:rPr>
          <w:rFonts w:ascii="Cambria" w:hAnsi="Cambria"/>
        </w:rPr>
        <w:t>→↗</w:t>
      </w:r>
      <w:r>
        <w:rPr>
          <w:rFonts w:ascii="Cambria" w:hAnsi="Cambria"/>
        </w:rPr>
        <w:t>ACTH</w:t>
      </w:r>
      <w:r w:rsidRPr="0001484E">
        <w:rPr>
          <w:rFonts w:ascii="Cambria" w:hAnsi="Cambria"/>
        </w:rPr>
        <w:t>→</w:t>
      </w:r>
      <w:r>
        <w:rPr>
          <w:rFonts w:ascii="Cambria" w:hAnsi="Cambria"/>
        </w:rPr>
        <w:t>melanodermie</w:t>
      </w:r>
    </w:p>
    <w:p w:rsidR="00C93CF7" w:rsidRPr="00C93CF7" w:rsidRDefault="00C93CF7" w:rsidP="0001484E">
      <w:pPr>
        <w:pStyle w:val="Style1"/>
      </w:pPr>
      <w:r w:rsidRPr="00C93CF7">
        <w:rPr>
          <w:rFonts w:ascii="Cambria" w:hAnsi="Cambria"/>
        </w:rPr>
        <w:t>↘</w:t>
      </w:r>
      <w:r>
        <w:rPr>
          <w:rFonts w:ascii="Cambria" w:hAnsi="Cambria"/>
        </w:rPr>
        <w:t>cortisol</w:t>
      </w:r>
      <w:r w:rsidRPr="00C93CF7">
        <w:rPr>
          <w:rFonts w:ascii="Cambria" w:hAnsi="Cambria"/>
        </w:rPr>
        <w:t>→</w:t>
      </w:r>
      <w:r>
        <w:rPr>
          <w:rFonts w:ascii="Cambria" w:hAnsi="Cambria"/>
        </w:rPr>
        <w:t xml:space="preserve"> </w:t>
      </w:r>
      <w:r w:rsidR="00EC543F">
        <w:rPr>
          <w:rFonts w:ascii="Cambria" w:hAnsi="Cambria"/>
        </w:rPr>
        <w:t>asthénie</w:t>
      </w:r>
      <w:r>
        <w:rPr>
          <w:rFonts w:ascii="Cambria" w:hAnsi="Cambria"/>
        </w:rPr>
        <w:t xml:space="preserve">, hypoglycémie, </w:t>
      </w:r>
      <w:r w:rsidR="00EC543F">
        <w:rPr>
          <w:rFonts w:ascii="Cambria" w:hAnsi="Cambria"/>
        </w:rPr>
        <w:t>anémie</w:t>
      </w:r>
    </w:p>
    <w:p w:rsidR="00C93CF7" w:rsidRPr="0001484E" w:rsidRDefault="00C93CF7" w:rsidP="0001484E">
      <w:pPr>
        <w:pStyle w:val="Style1"/>
      </w:pPr>
      <w:r w:rsidRPr="005A56C6">
        <w:rPr>
          <w:rFonts w:ascii="Cambria" w:hAnsi="Cambria"/>
          <w:color w:val="FF0000"/>
        </w:rPr>
        <w:t xml:space="preserve">↘ </w:t>
      </w:r>
      <w:r w:rsidR="00EC543F" w:rsidRPr="005A56C6">
        <w:rPr>
          <w:rFonts w:ascii="Cambria" w:hAnsi="Cambria"/>
          <w:color w:val="FF0000"/>
        </w:rPr>
        <w:t>androgènes</w:t>
      </w:r>
      <w:r w:rsidRPr="005A56C6">
        <w:rPr>
          <w:rFonts w:ascii="Cambria" w:hAnsi="Cambria"/>
          <w:color w:val="FF0000"/>
        </w:rPr>
        <w:t xml:space="preserve"> </w:t>
      </w:r>
      <w:r w:rsidRPr="00C93CF7">
        <w:rPr>
          <w:rFonts w:ascii="Cambria" w:hAnsi="Cambria"/>
        </w:rPr>
        <w:t>→</w:t>
      </w:r>
      <w:r>
        <w:rPr>
          <w:rFonts w:ascii="Cambria" w:hAnsi="Cambria"/>
        </w:rPr>
        <w:t xml:space="preserve"> </w:t>
      </w:r>
      <w:r w:rsidR="00EC543F">
        <w:rPr>
          <w:rFonts w:ascii="Cambria" w:hAnsi="Cambria"/>
        </w:rPr>
        <w:t>asthénie</w:t>
      </w:r>
      <w:r>
        <w:rPr>
          <w:rFonts w:ascii="Cambria" w:hAnsi="Cambria"/>
        </w:rPr>
        <w:t xml:space="preserve">, </w:t>
      </w:r>
      <w:r w:rsidR="00EC543F">
        <w:rPr>
          <w:rFonts w:ascii="Cambria" w:hAnsi="Cambria"/>
        </w:rPr>
        <w:t>dépilation</w:t>
      </w:r>
      <w:r>
        <w:rPr>
          <w:rFonts w:ascii="Cambria" w:hAnsi="Cambria"/>
        </w:rPr>
        <w:t xml:space="preserve"> pubienne</w:t>
      </w:r>
    </w:p>
    <w:p w:rsidR="0001484E" w:rsidRPr="0001484E" w:rsidRDefault="005A56C6" w:rsidP="0001484E">
      <w:pPr>
        <w:pStyle w:val="Style1"/>
      </w:pPr>
      <w:r w:rsidRPr="005A56C6">
        <w:rPr>
          <w:rFonts w:ascii="Cambria" w:hAnsi="Cambria"/>
          <w:color w:val="FF0000"/>
        </w:rPr>
        <w:t>↘</w:t>
      </w:r>
      <w:r w:rsidR="0001484E" w:rsidRPr="005A56C6">
        <w:rPr>
          <w:rFonts w:ascii="Cambria" w:hAnsi="Cambria"/>
          <w:color w:val="FF0000"/>
        </w:rPr>
        <w:t xml:space="preserve"> en </w:t>
      </w:r>
      <w:r w:rsidR="00EC543F" w:rsidRPr="005A56C6">
        <w:rPr>
          <w:rFonts w:ascii="Cambria" w:hAnsi="Cambria"/>
          <w:color w:val="FF0000"/>
        </w:rPr>
        <w:t>aldostérone</w:t>
      </w:r>
      <w:r w:rsidR="0001484E" w:rsidRPr="005A56C6">
        <w:rPr>
          <w:rFonts w:ascii="Cambria" w:hAnsi="Cambria"/>
          <w:color w:val="FF0000"/>
        </w:rPr>
        <w:t> </w:t>
      </w:r>
      <w:r w:rsidR="0001484E">
        <w:rPr>
          <w:rFonts w:ascii="Cambria" w:hAnsi="Cambria"/>
        </w:rPr>
        <w:t xml:space="preserve">: </w:t>
      </w:r>
      <w:r w:rsidR="0001484E" w:rsidRPr="0001484E">
        <w:rPr>
          <w:rFonts w:ascii="Cambria" w:hAnsi="Cambria"/>
        </w:rPr>
        <w:t>↘</w:t>
      </w:r>
      <w:r w:rsidR="0001484E">
        <w:rPr>
          <w:rFonts w:ascii="Cambria" w:hAnsi="Cambria"/>
        </w:rPr>
        <w:t xml:space="preserve"> </w:t>
      </w:r>
      <w:r w:rsidR="00EC543F">
        <w:rPr>
          <w:rFonts w:ascii="Cambria" w:hAnsi="Cambria"/>
        </w:rPr>
        <w:t>poids</w:t>
      </w:r>
      <w:r w:rsidR="0001484E">
        <w:rPr>
          <w:rFonts w:ascii="Cambria" w:hAnsi="Cambria"/>
        </w:rPr>
        <w:t xml:space="preserve"> et TA </w:t>
      </w:r>
      <w:r w:rsidR="0001484E" w:rsidRPr="0001484E">
        <w:rPr>
          <w:rFonts w:ascii="Cambria" w:hAnsi="Cambria"/>
        </w:rPr>
        <w:t>↗</w:t>
      </w:r>
      <w:r w:rsidR="0001484E">
        <w:rPr>
          <w:rFonts w:ascii="Cambria" w:hAnsi="Cambria"/>
        </w:rPr>
        <w:t xml:space="preserve"> kaliémie</w:t>
      </w:r>
      <w:r w:rsidR="00C93CF7">
        <w:rPr>
          <w:rFonts w:ascii="Cambria" w:hAnsi="Cambria"/>
        </w:rPr>
        <w:t xml:space="preserve"> insuffisance </w:t>
      </w:r>
      <w:r w:rsidR="00EC543F">
        <w:rPr>
          <w:rFonts w:ascii="Cambria" w:hAnsi="Cambria"/>
        </w:rPr>
        <w:t>rénale</w:t>
      </w:r>
      <w:r w:rsidR="00C93CF7">
        <w:rPr>
          <w:rFonts w:ascii="Cambria" w:hAnsi="Cambria"/>
        </w:rPr>
        <w:t xml:space="preserve"> fonctionnelle </w:t>
      </w:r>
    </w:p>
    <w:p w:rsidR="0001484E" w:rsidRPr="00C93CF7" w:rsidRDefault="0001484E" w:rsidP="0001484E">
      <w:pPr>
        <w:pStyle w:val="Style1"/>
      </w:pPr>
      <w:r w:rsidRPr="005A56C6">
        <w:rPr>
          <w:rFonts w:ascii="Cambria" w:hAnsi="Cambria"/>
          <w:color w:val="FF0000"/>
        </w:rPr>
        <w:t>↗</w:t>
      </w:r>
      <w:r w:rsidR="00C93CF7" w:rsidRPr="005A56C6">
        <w:rPr>
          <w:rFonts w:ascii="Cambria" w:hAnsi="Cambria"/>
          <w:color w:val="FF0000"/>
        </w:rPr>
        <w:t>ADH</w:t>
      </w:r>
      <w:r w:rsidR="00C93CF7">
        <w:rPr>
          <w:rFonts w:ascii="Cambria" w:hAnsi="Cambria"/>
        </w:rPr>
        <w:t>=</w:t>
      </w:r>
      <w:r w:rsidR="00EC543F">
        <w:rPr>
          <w:rFonts w:ascii="Cambria" w:hAnsi="Cambria"/>
        </w:rPr>
        <w:t>rétention</w:t>
      </w:r>
      <w:r w:rsidR="00C93CF7">
        <w:rPr>
          <w:rFonts w:ascii="Cambria" w:hAnsi="Cambria"/>
        </w:rPr>
        <w:t xml:space="preserve"> hydrique pure </w:t>
      </w:r>
      <w:r w:rsidR="00C93CF7" w:rsidRPr="00C93CF7">
        <w:rPr>
          <w:rFonts w:ascii="Cambria" w:hAnsi="Cambria"/>
        </w:rPr>
        <w:t>→</w:t>
      </w:r>
      <w:r w:rsidR="00C93CF7">
        <w:rPr>
          <w:rFonts w:ascii="Cambria" w:hAnsi="Cambria"/>
        </w:rPr>
        <w:t xml:space="preserve"> </w:t>
      </w:r>
      <w:r w:rsidR="00C93CF7" w:rsidRPr="00C93CF7">
        <w:rPr>
          <w:rFonts w:ascii="Cambria" w:hAnsi="Cambria"/>
        </w:rPr>
        <w:t>↘</w:t>
      </w:r>
      <w:r w:rsidR="00C93CF7">
        <w:rPr>
          <w:rFonts w:ascii="Cambria" w:hAnsi="Cambria"/>
        </w:rPr>
        <w:t xml:space="preserve"> osmolarité </w:t>
      </w:r>
      <w:r w:rsidR="00C93CF7" w:rsidRPr="00C93CF7">
        <w:rPr>
          <w:rFonts w:ascii="Cambria" w:hAnsi="Cambria"/>
        </w:rPr>
        <w:t>→</w:t>
      </w:r>
      <w:r w:rsidR="00EC543F">
        <w:rPr>
          <w:rFonts w:ascii="Cambria" w:hAnsi="Cambria"/>
        </w:rPr>
        <w:t>hypovolémie</w:t>
      </w:r>
    </w:p>
    <w:p w:rsidR="00C93CF7" w:rsidRDefault="00C93CF7" w:rsidP="00C93CF7">
      <w:r>
        <w:t xml:space="preserve">Insuffisance </w:t>
      </w:r>
      <w:r w:rsidRPr="005A56C6">
        <w:rPr>
          <w:color w:val="FF0000"/>
        </w:rPr>
        <w:t>secondaire </w:t>
      </w:r>
      <w:r>
        <w:t>:</w:t>
      </w:r>
    </w:p>
    <w:p w:rsidR="00C93CF7" w:rsidRDefault="00C93CF7" w:rsidP="00C93CF7">
      <w:pPr>
        <w:pStyle w:val="Style1"/>
      </w:pPr>
      <w:r>
        <w:t xml:space="preserve">Pas de </w:t>
      </w:r>
      <w:r w:rsidR="00EC543F">
        <w:t>mélanodermie</w:t>
      </w:r>
      <w:r w:rsidR="006A55DD">
        <w:t xml:space="preserve"> (car pas d’ACTH)</w:t>
      </w:r>
    </w:p>
    <w:p w:rsidR="006A55DD" w:rsidRDefault="006A55DD" w:rsidP="00C93CF7">
      <w:pPr>
        <w:pStyle w:val="Style1"/>
      </w:pPr>
      <w:r>
        <w:t xml:space="preserve">Pas de </w:t>
      </w:r>
      <w:r w:rsidR="00EC543F">
        <w:t>déficit</w:t>
      </w:r>
      <w:r>
        <w:t xml:space="preserve"> en </w:t>
      </w:r>
      <w:r w:rsidR="00EC543F">
        <w:t>aldostérone</w:t>
      </w:r>
      <w:r>
        <w:t xml:space="preserve">  (car surrénales normales)</w:t>
      </w:r>
    </w:p>
    <w:p w:rsidR="006A55DD" w:rsidRDefault="006A55DD" w:rsidP="00107835">
      <w:pPr>
        <w:pStyle w:val="Heading3"/>
        <w:spacing w:before="0"/>
      </w:pPr>
      <w:r>
        <w:t>confirmer le diagnostique</w:t>
      </w:r>
    </w:p>
    <w:p w:rsidR="006A55DD" w:rsidRDefault="006A55DD" w:rsidP="00107835">
      <w:r>
        <w:t>Dosage basal de cortisol : faible valeur diagnostique </w:t>
      </w:r>
    </w:p>
    <w:p w:rsidR="006A55DD" w:rsidRDefault="006A55DD" w:rsidP="00107835">
      <w:r w:rsidRPr="005A56C6">
        <w:rPr>
          <w:color w:val="FF0000"/>
        </w:rPr>
        <w:t xml:space="preserve">Test </w:t>
      </w:r>
      <w:r>
        <w:t xml:space="preserve">au </w:t>
      </w:r>
      <w:r w:rsidRPr="005A56C6">
        <w:rPr>
          <w:color w:val="FF0000"/>
        </w:rPr>
        <w:t>synachtène </w:t>
      </w:r>
      <w:r>
        <w:t>:</w:t>
      </w:r>
      <w:r w:rsidR="00107835">
        <w:t xml:space="preserve"> </w:t>
      </w:r>
      <w:r w:rsidR="00EC543F">
        <w:t>après</w:t>
      </w:r>
      <w:r w:rsidR="00107835">
        <w:t xml:space="preserve"> une heure le cortisol est multiplié par deux</w:t>
      </w:r>
    </w:p>
    <w:p w:rsidR="00107835" w:rsidRDefault="00EC543F" w:rsidP="00107835">
      <w:pPr>
        <w:pStyle w:val="Style1"/>
      </w:pPr>
      <w:r>
        <w:t>Réponse</w:t>
      </w:r>
      <w:r w:rsidR="00107835">
        <w:t xml:space="preserve"> normale : pas d’insuffisance</w:t>
      </w:r>
    </w:p>
    <w:p w:rsidR="00107835" w:rsidRDefault="00EC543F" w:rsidP="00107835">
      <w:pPr>
        <w:pStyle w:val="Style1"/>
      </w:pPr>
      <w:r>
        <w:t>Réponse</w:t>
      </w:r>
      <w:r w:rsidR="00107835">
        <w:t xml:space="preserve"> </w:t>
      </w:r>
      <w:r w:rsidR="00107835" w:rsidRPr="005A56C6">
        <w:rPr>
          <w:color w:val="FF0000"/>
        </w:rPr>
        <w:t>partielle </w:t>
      </w:r>
      <w:r w:rsidR="00107835">
        <w:t xml:space="preserve">: </w:t>
      </w:r>
      <w:r w:rsidR="00107835" w:rsidRPr="005A56C6">
        <w:rPr>
          <w:color w:val="FF0000"/>
        </w:rPr>
        <w:t xml:space="preserve">secondaire </w:t>
      </w:r>
      <w:r w:rsidR="00107835">
        <w:t xml:space="preserve">(les </w:t>
      </w:r>
      <w:r>
        <w:t>surrénales</w:t>
      </w:r>
      <w:r w:rsidR="00107835">
        <w:t xml:space="preserve"> fonctionnent correctement)</w:t>
      </w:r>
    </w:p>
    <w:p w:rsidR="00107835" w:rsidRDefault="00107835" w:rsidP="00107835">
      <w:pPr>
        <w:pStyle w:val="Style1"/>
      </w:pPr>
      <w:r>
        <w:t xml:space="preserve">Pas de </w:t>
      </w:r>
      <w:r w:rsidR="00EC543F" w:rsidRPr="005A56C6">
        <w:rPr>
          <w:color w:val="FF0000"/>
        </w:rPr>
        <w:t>réponse</w:t>
      </w:r>
      <w:r w:rsidRPr="005A56C6">
        <w:rPr>
          <w:color w:val="FF0000"/>
        </w:rPr>
        <w:t> </w:t>
      </w:r>
      <w:r>
        <w:t xml:space="preserve">: </w:t>
      </w:r>
      <w:r w:rsidRPr="005A56C6">
        <w:rPr>
          <w:color w:val="FF0000"/>
        </w:rPr>
        <w:t xml:space="preserve">primaire </w:t>
      </w:r>
      <w:r>
        <w:t xml:space="preserve">(pas de fonctionnement des </w:t>
      </w:r>
      <w:r w:rsidR="00EC543F">
        <w:t>surrénales</w:t>
      </w:r>
      <w:r>
        <w:t>)</w:t>
      </w:r>
    </w:p>
    <w:p w:rsidR="00107835" w:rsidRDefault="00107835" w:rsidP="00107835">
      <w:pPr>
        <w:pStyle w:val="Heading3"/>
        <w:spacing w:before="0"/>
      </w:pPr>
      <w:r>
        <w:t>recherche etiologique</w:t>
      </w:r>
    </w:p>
    <w:p w:rsidR="00107835" w:rsidRPr="00107835" w:rsidRDefault="00107835" w:rsidP="00107835">
      <w:r>
        <w:t xml:space="preserve">Primaire : ACTH </w:t>
      </w:r>
      <w:r w:rsidRPr="000F416B">
        <w:rPr>
          <w:rFonts w:ascii="Cambria" w:hAnsi="Cambria"/>
        </w:rPr>
        <w:t>↗</w:t>
      </w:r>
    </w:p>
    <w:p w:rsidR="00107835" w:rsidRDefault="00107835" w:rsidP="00107835">
      <w:r>
        <w:t>Secondaire ACTH</w:t>
      </w:r>
      <w:r w:rsidRPr="00944AE9">
        <w:rPr>
          <w:rFonts w:ascii="Cambria" w:hAnsi="Cambria"/>
        </w:rPr>
        <w:t>↘</w:t>
      </w:r>
    </w:p>
    <w:p w:rsidR="00107835" w:rsidRDefault="00107835" w:rsidP="00107835">
      <w:r>
        <w:t>Imagerie</w:t>
      </w:r>
      <w:bookmarkStart w:id="0" w:name="_GoBack"/>
      <w:bookmarkEnd w:id="0"/>
    </w:p>
    <w:p w:rsidR="00107835" w:rsidRPr="00107835" w:rsidRDefault="00107835" w:rsidP="00107835">
      <w:pPr>
        <w:numPr>
          <w:ilvl w:val="0"/>
          <w:numId w:val="0"/>
        </w:numPr>
        <w:ind w:left="720" w:hanging="360"/>
      </w:pPr>
      <w:r>
        <w:rPr>
          <w:noProof/>
          <w:lang w:eastAsia="fr-MC"/>
        </w:rPr>
        <w:lastRenderedPageBreak/>
        <w:drawing>
          <wp:anchor distT="0" distB="0" distL="114300" distR="114300" simplePos="0" relativeHeight="251665408" behindDoc="1" locked="0" layoutInCell="1" allowOverlap="1" wp14:anchorId="505ECFDE" wp14:editId="605951EF">
            <wp:simplePos x="0" y="0"/>
            <wp:positionH relativeFrom="column">
              <wp:posOffset>31115</wp:posOffset>
            </wp:positionH>
            <wp:positionV relativeFrom="paragraph">
              <wp:posOffset>-512338</wp:posOffset>
            </wp:positionV>
            <wp:extent cx="5760720" cy="4298315"/>
            <wp:effectExtent l="0" t="0" r="0" b="6985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7376BA" w:rsidRDefault="007376BA" w:rsidP="00EA2886">
      <w:pPr>
        <w:pStyle w:val="Style1"/>
        <w:numPr>
          <w:ilvl w:val="0"/>
          <w:numId w:val="0"/>
        </w:numPr>
        <w:ind w:left="2136" w:hanging="360"/>
      </w:pPr>
    </w:p>
    <w:p w:rsidR="00EA2886" w:rsidRDefault="00EA2886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Default="00107835" w:rsidP="00EA2886">
      <w:pPr>
        <w:pStyle w:val="Style1"/>
        <w:numPr>
          <w:ilvl w:val="0"/>
          <w:numId w:val="0"/>
        </w:numPr>
        <w:ind w:left="2136" w:hanging="360"/>
      </w:pPr>
    </w:p>
    <w:p w:rsidR="00107835" w:rsidRPr="0053059C" w:rsidRDefault="00107835" w:rsidP="00EA2886">
      <w:pPr>
        <w:pStyle w:val="Style1"/>
        <w:numPr>
          <w:ilvl w:val="0"/>
          <w:numId w:val="0"/>
        </w:numPr>
        <w:ind w:left="2136" w:hanging="360"/>
      </w:pPr>
      <w:r>
        <w:rPr>
          <w:noProof/>
          <w:lang w:eastAsia="fr-MC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-20188</wp:posOffset>
            </wp:positionH>
            <wp:positionV relativeFrom="paragraph">
              <wp:posOffset>45037</wp:posOffset>
            </wp:positionV>
            <wp:extent cx="5760720" cy="4235891"/>
            <wp:effectExtent l="0" t="0" r="0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35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07835" w:rsidRPr="005305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B08"/>
    <w:multiLevelType w:val="hybridMultilevel"/>
    <w:tmpl w:val="05840FA6"/>
    <w:lvl w:ilvl="0" w:tplc="D76E5952">
      <w:start w:val="1"/>
      <w:numFmt w:val="bullet"/>
      <w:pStyle w:val="Style1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44209D0"/>
    <w:multiLevelType w:val="hybridMultilevel"/>
    <w:tmpl w:val="A4A4BAA6"/>
    <w:lvl w:ilvl="0" w:tplc="E2A436CE">
      <w:start w:val="1"/>
      <w:numFmt w:val="lowerLetter"/>
      <w:pStyle w:val="Heading4"/>
      <w:lvlText w:val="%1)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5861B8"/>
    <w:multiLevelType w:val="hybridMultilevel"/>
    <w:tmpl w:val="8D3484B8"/>
    <w:lvl w:ilvl="0" w:tplc="248A45E2">
      <w:start w:val="1"/>
      <w:numFmt w:val="upperRoman"/>
      <w:lvlText w:val="%1."/>
      <w:lvlJc w:val="righ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B15A7E"/>
    <w:multiLevelType w:val="hybridMultilevel"/>
    <w:tmpl w:val="B8566592"/>
    <w:lvl w:ilvl="0" w:tplc="040C0013">
      <w:start w:val="1"/>
      <w:numFmt w:val="upperRoman"/>
      <w:lvlText w:val="%1."/>
      <w:lvlJc w:val="righ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8E4FF4"/>
    <w:multiLevelType w:val="hybridMultilevel"/>
    <w:tmpl w:val="20E45558"/>
    <w:lvl w:ilvl="0" w:tplc="040C0013">
      <w:start w:val="1"/>
      <w:numFmt w:val="upperRoman"/>
      <w:lvlText w:val="%1."/>
      <w:lvlJc w:val="righ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F064489"/>
    <w:multiLevelType w:val="hybridMultilevel"/>
    <w:tmpl w:val="B78E3F42"/>
    <w:lvl w:ilvl="0" w:tplc="3A6C8FAA">
      <w:start w:val="1"/>
      <w:numFmt w:val="upperRoman"/>
      <w:pStyle w:val="Heading3"/>
      <w:lvlText w:val="%1."/>
      <w:lvlJc w:val="righ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B317EE5"/>
    <w:multiLevelType w:val="hybridMultilevel"/>
    <w:tmpl w:val="AF1C5846"/>
    <w:lvl w:ilvl="0" w:tplc="D928704A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37811"/>
    <w:multiLevelType w:val="hybridMultilevel"/>
    <w:tmpl w:val="6248E1AE"/>
    <w:lvl w:ilvl="0" w:tplc="B248F37C">
      <w:start w:val="1"/>
      <w:numFmt w:val="upperLetter"/>
      <w:pStyle w:val="Heading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6E50CFE"/>
    <w:multiLevelType w:val="hybridMultilevel"/>
    <w:tmpl w:val="2AF0A296"/>
    <w:lvl w:ilvl="0" w:tplc="040C0013">
      <w:start w:val="1"/>
      <w:numFmt w:val="upperRoman"/>
      <w:lvlText w:val="%1."/>
      <w:lvlJc w:val="righ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6"/>
  </w:num>
  <w:num w:numId="3">
    <w:abstractNumId w:val="8"/>
  </w:num>
  <w:num w:numId="4">
    <w:abstractNumId w:val="7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9"/>
  </w:num>
  <w:num w:numId="20">
    <w:abstractNumId w:val="3"/>
  </w:num>
  <w:num w:numId="21">
    <w:abstractNumId w:val="10"/>
  </w:num>
  <w:num w:numId="22">
    <w:abstractNumId w:val="4"/>
  </w:num>
  <w:num w:numId="23">
    <w:abstractNumId w:val="5"/>
  </w:num>
  <w:num w:numId="24">
    <w:abstractNumId w:val="2"/>
  </w:num>
  <w:num w:numId="25">
    <w:abstractNumId w:val="5"/>
    <w:lvlOverride w:ilvl="0">
      <w:startOverride w:val="1"/>
    </w:lvlOverride>
  </w:num>
  <w:num w:numId="26">
    <w:abstractNumId w:val="0"/>
  </w:num>
  <w:num w:numId="27">
    <w:abstractNumId w:val="1"/>
  </w:num>
  <w:num w:numId="28">
    <w:abstractNumId w:val="5"/>
    <w:lvlOverride w:ilvl="0">
      <w:startOverride w:val="1"/>
    </w:lvlOverride>
  </w:num>
  <w:num w:numId="29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8A7"/>
    <w:rsid w:val="0001484E"/>
    <w:rsid w:val="00107835"/>
    <w:rsid w:val="00350599"/>
    <w:rsid w:val="003708A7"/>
    <w:rsid w:val="00381F84"/>
    <w:rsid w:val="00390DEB"/>
    <w:rsid w:val="0053059C"/>
    <w:rsid w:val="005A56C6"/>
    <w:rsid w:val="006A55DD"/>
    <w:rsid w:val="007376BA"/>
    <w:rsid w:val="00775770"/>
    <w:rsid w:val="00A64B9C"/>
    <w:rsid w:val="00B30B32"/>
    <w:rsid w:val="00BD7184"/>
    <w:rsid w:val="00C93CF7"/>
    <w:rsid w:val="00CB7C35"/>
    <w:rsid w:val="00D5507D"/>
    <w:rsid w:val="00EA2886"/>
    <w:rsid w:val="00EC543F"/>
    <w:rsid w:val="00F1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708A7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75770"/>
    <w:pPr>
      <w:numPr>
        <w:numId w:val="23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Heading4">
    <w:name w:val="heading 4"/>
    <w:basedOn w:val="Heading3"/>
    <w:next w:val="Normal"/>
    <w:link w:val="Heading4Char"/>
    <w:autoRedefine/>
    <w:uiPriority w:val="9"/>
    <w:unhideWhenUsed/>
    <w:qFormat/>
    <w:rsid w:val="00A64B9C"/>
    <w:pPr>
      <w:numPr>
        <w:numId w:val="27"/>
      </w:numPr>
      <w:spacing w:after="120"/>
      <w:ind w:left="1776"/>
      <w:outlineLvl w:val="3"/>
    </w:pPr>
    <w:rPr>
      <w:caps w:val="0"/>
      <w:spacing w:val="10"/>
      <w:u w:val="dottedHeavy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708A7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75770"/>
    <w:rPr>
      <w:caps/>
      <w:color w:val="622423" w:themeColor="accent2" w:themeShade="7F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A64B9C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Heading5Char">
    <w:name w:val="Heading 5 Char"/>
    <w:basedOn w:val="DefaultParagraphFont"/>
    <w:link w:val="Heading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D5507D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NoSpacingChar">
    <w:name w:val="No Spacing Char"/>
    <w:basedOn w:val="DefaultParagraphFont"/>
    <w:link w:val="NoSpacing"/>
    <w:uiPriority w:val="1"/>
    <w:rsid w:val="00D5507D"/>
  </w:style>
  <w:style w:type="paragraph" w:styleId="ListParagraph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5507D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D5507D"/>
    <w:rPr>
      <w:i/>
      <w:iCs/>
    </w:rPr>
  </w:style>
  <w:style w:type="character" w:styleId="IntenseEmphasis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8A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8A7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"/>
    <w:autoRedefine/>
    <w:qFormat/>
    <w:rsid w:val="00F1317B"/>
    <w:pPr>
      <w:numPr>
        <w:numId w:val="2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708A7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75770"/>
    <w:pPr>
      <w:numPr>
        <w:numId w:val="23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Heading4">
    <w:name w:val="heading 4"/>
    <w:basedOn w:val="Heading3"/>
    <w:next w:val="Normal"/>
    <w:link w:val="Heading4Char"/>
    <w:autoRedefine/>
    <w:uiPriority w:val="9"/>
    <w:unhideWhenUsed/>
    <w:qFormat/>
    <w:rsid w:val="00A64B9C"/>
    <w:pPr>
      <w:numPr>
        <w:numId w:val="27"/>
      </w:numPr>
      <w:spacing w:after="120"/>
      <w:ind w:left="1776"/>
      <w:outlineLvl w:val="3"/>
    </w:pPr>
    <w:rPr>
      <w:caps w:val="0"/>
      <w:spacing w:val="10"/>
      <w:u w:val="dottedHeavy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708A7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75770"/>
    <w:rPr>
      <w:caps/>
      <w:color w:val="622423" w:themeColor="accent2" w:themeShade="7F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A64B9C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Heading5Char">
    <w:name w:val="Heading 5 Char"/>
    <w:basedOn w:val="DefaultParagraphFont"/>
    <w:link w:val="Heading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D5507D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NoSpacingChar">
    <w:name w:val="No Spacing Char"/>
    <w:basedOn w:val="DefaultParagraphFont"/>
    <w:link w:val="NoSpacing"/>
    <w:uiPriority w:val="1"/>
    <w:rsid w:val="00D5507D"/>
  </w:style>
  <w:style w:type="paragraph" w:styleId="ListParagraph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5507D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D5507D"/>
    <w:rPr>
      <w:i/>
      <w:iCs/>
    </w:rPr>
  </w:style>
  <w:style w:type="character" w:styleId="IntenseEmphasis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8A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8A7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"/>
    <w:autoRedefine/>
    <w:qFormat/>
    <w:rsid w:val="00F1317B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FC67B-8BDD-4AD9-87A2-436A077F4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505</Words>
  <Characters>2778</Characters>
  <Application>Microsoft Office Word</Application>
  <DocSecurity>0</DocSecurity>
  <Lines>23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15</vt:i4>
      </vt:variant>
    </vt:vector>
  </HeadingPairs>
  <TitlesOfParts>
    <vt:vector size="16" baseType="lpstr">
      <vt:lpstr/>
      <vt:lpstr>axe corticotrope secretion d’ACTH</vt:lpstr>
      <vt:lpstr>    secretion et role d’Acth</vt:lpstr>
      <vt:lpstr>        /secretion</vt:lpstr>
      <vt:lpstr>        Roles</vt:lpstr>
      <vt:lpstr>    secretion et role du cortisol/androgenes</vt:lpstr>
      <vt:lpstr>        secretion</vt:lpstr>
      <vt:lpstr>        roles</vt:lpstr>
      <vt:lpstr>    /$ de cucshing : hypercotisolisme</vt:lpstr>
      <vt:lpstr>        Etiologies du $ de cushing</vt:lpstr>
      <vt:lpstr>        Confirmer le cushing</vt:lpstr>
      <vt:lpstr>    /deficit en cortisol : insuffisance surrenalienne</vt:lpstr>
      <vt:lpstr>        etiologies</vt:lpstr>
      <vt:lpstr>        signes cliniques</vt:lpstr>
      <vt:lpstr>        confirmer le diagnostique</vt:lpstr>
      <vt:lpstr>        recherche etiologique</vt:lpstr>
    </vt:vector>
  </TitlesOfParts>
  <Company/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5</cp:revision>
  <dcterms:created xsi:type="dcterms:W3CDTF">2012-06-07T15:25:00Z</dcterms:created>
  <dcterms:modified xsi:type="dcterms:W3CDTF">2012-06-07T15:52:00Z</dcterms:modified>
</cp:coreProperties>
</file>