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22F" w:rsidRDefault="00EE122F" w:rsidP="00EE122F">
      <w:pPr>
        <w:pStyle w:val="Heading1"/>
      </w:pPr>
      <w:r>
        <w:t xml:space="preserve">     axe somatotrope</w:t>
      </w:r>
      <w:r>
        <w:br/>
        <w:t>secretion de gh</w:t>
      </w:r>
    </w:p>
    <w:p w:rsidR="00EE122F" w:rsidRDefault="00EE122F" w:rsidP="00EE122F">
      <w:pPr>
        <w:pStyle w:val="Heading2"/>
      </w:pPr>
      <w:r>
        <w:t>secretion et role de GH</w:t>
      </w:r>
    </w:p>
    <w:p w:rsidR="00EE122F" w:rsidRDefault="00EE122F" w:rsidP="00AC5112">
      <w:pPr>
        <w:pStyle w:val="Heading3"/>
      </w:pPr>
      <w:r>
        <w:rPr>
          <w:rFonts w:ascii="Cambria" w:hAnsi="Cambria"/>
          <w:noProof/>
          <w:lang w:eastAsia="fr-MC"/>
        </w:rPr>
        <w:drawing>
          <wp:anchor distT="0" distB="0" distL="114300" distR="114300" simplePos="0" relativeHeight="251658240" behindDoc="1" locked="0" layoutInCell="1" allowOverlap="1" wp14:anchorId="5A4730AE" wp14:editId="78236CDB">
            <wp:simplePos x="0" y="0"/>
            <wp:positionH relativeFrom="column">
              <wp:posOffset>3413413</wp:posOffset>
            </wp:positionH>
            <wp:positionV relativeFrom="paragraph">
              <wp:posOffset>116827</wp:posOffset>
            </wp:positionV>
            <wp:extent cx="2214356" cy="1442577"/>
            <wp:effectExtent l="0" t="0" r="0" b="571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187" cy="1439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secretion </w:t>
      </w:r>
    </w:p>
    <w:p w:rsidR="00EE122F" w:rsidRPr="00EE122F" w:rsidRDefault="00EE122F" w:rsidP="00EE122F">
      <w:r w:rsidRPr="00F23CAA">
        <w:rPr>
          <w:color w:val="FF0000"/>
        </w:rPr>
        <w:t>GHRH</w:t>
      </w:r>
      <w:r w:rsidRPr="00F23CAA">
        <w:rPr>
          <w:rFonts w:ascii="Cambria" w:hAnsi="Cambria"/>
          <w:color w:val="FF0000"/>
        </w:rPr>
        <w:t>→ GH</w:t>
      </w:r>
    </w:p>
    <w:p w:rsidR="00EE122F" w:rsidRPr="00EE122F" w:rsidRDefault="00EE122F" w:rsidP="00EE122F">
      <w:r w:rsidRPr="00F23CAA">
        <w:rPr>
          <w:color w:val="FF0000"/>
        </w:rPr>
        <w:t xml:space="preserve">Greline, </w:t>
      </w:r>
      <w:r w:rsidR="00D209F3" w:rsidRPr="00F23CAA">
        <w:rPr>
          <w:color w:val="FF0000"/>
        </w:rPr>
        <w:t>hypoglycémie</w:t>
      </w:r>
      <w:r w:rsidRPr="00F23CAA">
        <w:rPr>
          <w:color w:val="FF0000"/>
        </w:rPr>
        <w:t xml:space="preserve">, AA </w:t>
      </w:r>
      <w:r w:rsidRPr="00F23CAA">
        <w:rPr>
          <w:rFonts w:ascii="Cambria" w:hAnsi="Cambria"/>
          <w:color w:val="FF0000"/>
        </w:rPr>
        <w:t>→ GH</w:t>
      </w:r>
    </w:p>
    <w:p w:rsidR="00EE122F" w:rsidRPr="00EE122F" w:rsidRDefault="00EE122F" w:rsidP="00EE122F">
      <w:r w:rsidRPr="00F23CAA">
        <w:rPr>
          <w:rFonts w:ascii="Cambria" w:hAnsi="Cambria"/>
          <w:color w:val="FF0000"/>
        </w:rPr>
        <w:t xml:space="preserve">Somatostatines, </w:t>
      </w:r>
      <w:r w:rsidR="00D209F3" w:rsidRPr="00F23CAA">
        <w:rPr>
          <w:rFonts w:ascii="Cambria" w:hAnsi="Cambria"/>
          <w:color w:val="FF0000"/>
        </w:rPr>
        <w:t>hyperglycémies</w:t>
      </w:r>
      <w:r w:rsidRPr="00F23CAA">
        <w:rPr>
          <w:rFonts w:ascii="Cambria" w:hAnsi="Cambria"/>
          <w:color w:val="FF0000"/>
        </w:rPr>
        <w:t>, AG –⟞ GH</w:t>
      </w:r>
    </w:p>
    <w:p w:rsidR="00EE122F" w:rsidRPr="00EE122F" w:rsidRDefault="00EE122F" w:rsidP="00EE122F">
      <w:r w:rsidRPr="00F23CAA">
        <w:rPr>
          <w:rFonts w:ascii="Cambria" w:hAnsi="Cambria"/>
          <w:color w:val="FF0000"/>
        </w:rPr>
        <w:t>GH→ IGF-1 (insulin-like growth factor)</w:t>
      </w:r>
    </w:p>
    <w:p w:rsidR="00EE122F" w:rsidRPr="00EE122F" w:rsidRDefault="00D209F3" w:rsidP="00EE122F">
      <w:r>
        <w:rPr>
          <w:rFonts w:ascii="Cambria" w:hAnsi="Cambria"/>
        </w:rPr>
        <w:t>Sécrétion</w:t>
      </w:r>
      <w:r w:rsidR="00EE122F">
        <w:rPr>
          <w:rFonts w:ascii="Cambria" w:hAnsi="Cambria"/>
        </w:rPr>
        <w:t xml:space="preserve"> pulsatile</w:t>
      </w:r>
    </w:p>
    <w:p w:rsidR="00EE122F" w:rsidRPr="00327F46" w:rsidRDefault="00EE122F" w:rsidP="00327F46">
      <w:r>
        <w:rPr>
          <w:rFonts w:ascii="Cambria" w:hAnsi="Cambria"/>
        </w:rPr>
        <w:t xml:space="preserve">La concentration d’ IGF-1 est un </w:t>
      </w:r>
      <w:r w:rsidR="00D209F3">
        <w:rPr>
          <w:rFonts w:ascii="Cambria" w:hAnsi="Cambria"/>
        </w:rPr>
        <w:t>meilleur</w:t>
      </w:r>
      <w:r>
        <w:rPr>
          <w:rFonts w:ascii="Cambria" w:hAnsi="Cambria"/>
        </w:rPr>
        <w:t xml:space="preserve"> reflet de l’activité </w:t>
      </w:r>
      <w:r w:rsidR="00D209F3">
        <w:rPr>
          <w:rFonts w:ascii="Cambria" w:hAnsi="Cambria"/>
        </w:rPr>
        <w:t>journalière</w:t>
      </w:r>
      <w:r>
        <w:rPr>
          <w:rFonts w:ascii="Cambria" w:hAnsi="Cambria"/>
        </w:rPr>
        <w:t xml:space="preserve"> de la GH</w:t>
      </w:r>
    </w:p>
    <w:p w:rsidR="00327F46" w:rsidRDefault="00327F46" w:rsidP="00AC5112">
      <w:pPr>
        <w:pStyle w:val="Heading3"/>
      </w:pPr>
      <w:r>
        <w:t>Roles</w:t>
      </w:r>
    </w:p>
    <w:p w:rsidR="00327F46" w:rsidRDefault="00327F46" w:rsidP="00327F46">
      <w:r>
        <w:t>$ prot</w:t>
      </w:r>
    </w:p>
    <w:p w:rsidR="00327F46" w:rsidRDefault="00327F46" w:rsidP="00327F46">
      <w:r>
        <w:t xml:space="preserve">Mobilisation AG et TG= </w:t>
      </w:r>
      <w:r w:rsidR="00D209F3">
        <w:t>hyperglycémie</w:t>
      </w:r>
    </w:p>
    <w:p w:rsidR="00327F46" w:rsidRPr="00327F46" w:rsidRDefault="00327F46" w:rsidP="00327F46">
      <w:r w:rsidRPr="00F23CAA">
        <w:rPr>
          <w:rFonts w:ascii="Cambria" w:hAnsi="Cambria"/>
          <w:color w:val="FF0000"/>
        </w:rPr>
        <w:t xml:space="preserve">↗ce </w:t>
      </w:r>
      <w:r w:rsidR="00D209F3" w:rsidRPr="00F23CAA">
        <w:rPr>
          <w:rFonts w:ascii="Cambria" w:hAnsi="Cambria"/>
          <w:color w:val="FF0000"/>
        </w:rPr>
        <w:t>linéaire</w:t>
      </w:r>
      <w:r w:rsidRPr="00F23CAA">
        <w:rPr>
          <w:rFonts w:ascii="Cambria" w:hAnsi="Cambria"/>
          <w:color w:val="FF0000"/>
        </w:rPr>
        <w:t xml:space="preserve"> des os</w:t>
      </w:r>
    </w:p>
    <w:p w:rsidR="00327F46" w:rsidRPr="00327F46" w:rsidRDefault="00327F46" w:rsidP="00327F46">
      <w:r>
        <w:rPr>
          <w:rFonts w:ascii="Cambria" w:hAnsi="Cambria"/>
        </w:rPr>
        <w:t>%Cr</w:t>
      </w:r>
    </w:p>
    <w:p w:rsidR="00327F46" w:rsidRDefault="00327F46" w:rsidP="00327F46">
      <w:pPr>
        <w:pStyle w:val="Heading2"/>
      </w:pPr>
      <w:r>
        <w:t xml:space="preserve">hypersecretion GH : </w:t>
      </w:r>
      <w:r w:rsidRPr="00F23CAA">
        <w:rPr>
          <w:color w:val="FF0000"/>
        </w:rPr>
        <w:t>Gigantisme/ acromegalie</w:t>
      </w:r>
    </w:p>
    <w:p w:rsidR="00327F46" w:rsidRDefault="00327F46" w:rsidP="00AC5112">
      <w:pPr>
        <w:pStyle w:val="Heading3"/>
        <w:numPr>
          <w:ilvl w:val="0"/>
          <w:numId w:val="22"/>
        </w:numPr>
      </w:pPr>
      <w:r>
        <w:t>circonstances de decouverte</w:t>
      </w:r>
    </w:p>
    <w:p w:rsidR="00327F46" w:rsidRDefault="00327F46" w:rsidP="00327F46">
      <w:r>
        <w:t xml:space="preserve">$ </w:t>
      </w:r>
      <w:r w:rsidR="00D209F3" w:rsidRPr="00F23CAA">
        <w:rPr>
          <w:color w:val="FF0000"/>
        </w:rPr>
        <w:t>secrétant</w:t>
      </w:r>
      <w:r w:rsidRPr="00F23CAA">
        <w:rPr>
          <w:color w:val="FF0000"/>
        </w:rPr>
        <w:t> </w:t>
      </w:r>
      <w:r>
        <w:t>:</w:t>
      </w:r>
    </w:p>
    <w:p w:rsidR="00327F46" w:rsidRPr="00327F46" w:rsidRDefault="00327F46" w:rsidP="00327F46">
      <w:pPr>
        <w:pStyle w:val="puce"/>
      </w:pPr>
      <w:r w:rsidRPr="00F23CAA">
        <w:rPr>
          <w:color w:val="FF0000"/>
        </w:rPr>
        <w:t xml:space="preserve">$ dysmorphyque </w:t>
      </w:r>
      <w:r w:rsidR="00D209F3" w:rsidRPr="00F23CAA">
        <w:rPr>
          <w:color w:val="FF0000"/>
        </w:rPr>
        <w:t>acromégalie</w:t>
      </w:r>
      <w:r w:rsidRPr="00F23CAA">
        <w:rPr>
          <w:color w:val="FF0000"/>
        </w:rPr>
        <w:t xml:space="preserve"> </w:t>
      </w:r>
      <w:r>
        <w:t xml:space="preserve">( </w:t>
      </w: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ce </w:t>
      </w:r>
      <w:r w:rsidR="00D209F3">
        <w:rPr>
          <w:rFonts w:ascii="Cambria" w:hAnsi="Cambria"/>
        </w:rPr>
        <w:t>linéaire</w:t>
      </w:r>
      <w:r>
        <w:rPr>
          <w:rFonts w:ascii="Cambria" w:hAnsi="Cambria"/>
        </w:rPr>
        <w:t xml:space="preserve"> des os et des organes)</w:t>
      </w:r>
    </w:p>
    <w:p w:rsidR="00327F46" w:rsidRPr="00327F46" w:rsidRDefault="00327F46" w:rsidP="00327F46">
      <w:pPr>
        <w:pStyle w:val="puce"/>
      </w:pPr>
      <w:r>
        <w:rPr>
          <w:rFonts w:ascii="Cambria" w:hAnsi="Cambria"/>
        </w:rPr>
        <w:t xml:space="preserve">Troubles </w:t>
      </w:r>
      <w:r w:rsidR="00D209F3">
        <w:rPr>
          <w:rFonts w:ascii="Cambria" w:hAnsi="Cambria"/>
        </w:rPr>
        <w:t>métaboliques</w:t>
      </w:r>
      <w:r>
        <w:rPr>
          <w:rFonts w:ascii="Cambria" w:hAnsi="Cambria"/>
        </w:rPr>
        <w:t xml:space="preserve"> ( </w:t>
      </w:r>
      <w:r w:rsidR="00D209F3">
        <w:rPr>
          <w:rFonts w:ascii="Cambria" w:hAnsi="Cambria"/>
        </w:rPr>
        <w:t>diabète</w:t>
      </w:r>
      <w:r>
        <w:rPr>
          <w:rFonts w:ascii="Cambria" w:hAnsi="Cambria"/>
        </w:rPr>
        <w:t xml:space="preserve"> </w:t>
      </w:r>
      <w:r w:rsidR="00D209F3">
        <w:rPr>
          <w:rFonts w:ascii="Cambria" w:hAnsi="Cambria"/>
        </w:rPr>
        <w:t>dyslipidémies</w:t>
      </w:r>
      <w:r>
        <w:rPr>
          <w:rFonts w:ascii="Cambria" w:hAnsi="Cambria"/>
        </w:rPr>
        <w:t>, HTA)</w:t>
      </w:r>
    </w:p>
    <w:p w:rsidR="00327F46" w:rsidRPr="00AC5112" w:rsidRDefault="00AC5112" w:rsidP="00327F46">
      <w:pPr>
        <w:pStyle w:val="puce"/>
      </w:pPr>
      <w:r>
        <w:rPr>
          <w:rFonts w:ascii="Cambria" w:hAnsi="Cambria"/>
        </w:rPr>
        <w:t>Troubles cardiovasc : IC</w:t>
      </w:r>
    </w:p>
    <w:p w:rsidR="00AC5112" w:rsidRDefault="00AC5112" w:rsidP="00AC5112">
      <w:r>
        <w:t xml:space="preserve">$ </w:t>
      </w:r>
      <w:r w:rsidRPr="00F23CAA">
        <w:rPr>
          <w:color w:val="FF0000"/>
        </w:rPr>
        <w:t xml:space="preserve">tumoral </w:t>
      </w:r>
      <w:r>
        <w:t>(</w:t>
      </w:r>
      <w:r w:rsidRPr="00F23CAA">
        <w:rPr>
          <w:color w:val="FF0000"/>
        </w:rPr>
        <w:t xml:space="preserve">compression </w:t>
      </w:r>
      <w:r>
        <w:t xml:space="preserve">nerfs I, </w:t>
      </w:r>
      <w:r w:rsidR="00D209F3">
        <w:t>déconnexion</w:t>
      </w:r>
      <w:r>
        <w:t>…)</w:t>
      </w:r>
    </w:p>
    <w:p w:rsidR="00AC5112" w:rsidRDefault="00AC5112" w:rsidP="00AC5112">
      <w:r>
        <w:t>Insuffisances hypophysaires associées</w:t>
      </w:r>
    </w:p>
    <w:p w:rsidR="00AC5112" w:rsidRDefault="00AC5112" w:rsidP="00AC5112">
      <w:pPr>
        <w:pStyle w:val="Heading3"/>
      </w:pPr>
      <w:r>
        <w:t>confirmation du diagnostique</w:t>
      </w:r>
    </w:p>
    <w:p w:rsidR="00AC5112" w:rsidRDefault="00AC5112" w:rsidP="00AC5112">
      <w:r>
        <w:t>Prouver l’</w:t>
      </w:r>
      <w:r w:rsidR="00D209F3">
        <w:t>hypersécrétion</w:t>
      </w:r>
      <w:r>
        <w:t> :</w:t>
      </w:r>
    </w:p>
    <w:p w:rsidR="00AC5112" w:rsidRDefault="00AC5112" w:rsidP="00AC5112">
      <w:pPr>
        <w:pStyle w:val="puce"/>
      </w:pPr>
      <w:r w:rsidRPr="00F23CAA">
        <w:rPr>
          <w:color w:val="FF0000"/>
        </w:rPr>
        <w:t>Dosage IGF-1</w:t>
      </w:r>
    </w:p>
    <w:p w:rsidR="00AC5112" w:rsidRPr="00AC5112" w:rsidRDefault="00AC5112" w:rsidP="00AC5112">
      <w:pPr>
        <w:pStyle w:val="puce"/>
      </w:pPr>
      <w:r>
        <w:t>HGPO (</w:t>
      </w:r>
      <w:r w:rsidR="00D209F3">
        <w:t>hyperglycémie</w:t>
      </w:r>
      <w:r>
        <w:t xml:space="preserve"> provoquée orale) entraine </w:t>
      </w:r>
      <w:r w:rsidRPr="00944AE9">
        <w:rPr>
          <w:rFonts w:ascii="Cambria" w:hAnsi="Cambria"/>
        </w:rPr>
        <w:t>↘</w:t>
      </w:r>
      <w:r>
        <w:rPr>
          <w:rFonts w:ascii="Cambria" w:hAnsi="Cambria"/>
        </w:rPr>
        <w:t xml:space="preserve"> GH si non c’est que la </w:t>
      </w:r>
      <w:r w:rsidR="00D209F3">
        <w:rPr>
          <w:rFonts w:ascii="Cambria" w:hAnsi="Cambria"/>
        </w:rPr>
        <w:t>sécrétion</w:t>
      </w:r>
      <w:r>
        <w:rPr>
          <w:rFonts w:ascii="Cambria" w:hAnsi="Cambria"/>
        </w:rPr>
        <w:t xml:space="preserve"> de GH est autonome</w:t>
      </w:r>
    </w:p>
    <w:p w:rsidR="00AC5112" w:rsidRDefault="00AC5112" w:rsidP="00AC5112">
      <w:r>
        <w:t>Recherche etio IRM :</w:t>
      </w:r>
    </w:p>
    <w:p w:rsidR="00AC5112" w:rsidRDefault="00AC5112" w:rsidP="00AC5112">
      <w:pPr>
        <w:pStyle w:val="puce"/>
      </w:pPr>
      <w:r w:rsidRPr="00F23CAA">
        <w:rPr>
          <w:color w:val="FF0000"/>
        </w:rPr>
        <w:t>IRM anormal : adénome</w:t>
      </w:r>
    </w:p>
    <w:p w:rsidR="00AC5112" w:rsidRDefault="00AC5112" w:rsidP="00AC5112">
      <w:pPr>
        <w:pStyle w:val="puce"/>
      </w:pPr>
      <w:r w:rsidRPr="00F23CAA">
        <w:rPr>
          <w:color w:val="FF0000"/>
        </w:rPr>
        <w:t xml:space="preserve">IRM normal : suspicion de $ paranéoplasique </w:t>
      </w:r>
      <w:r>
        <w:t xml:space="preserve">GHRH ( Cancer </w:t>
      </w:r>
      <w:r w:rsidR="00D209F3">
        <w:t>pancréas</w:t>
      </w:r>
      <w:r>
        <w:t xml:space="preserve"> ou poumons)</w:t>
      </w:r>
    </w:p>
    <w:p w:rsidR="00AC5112" w:rsidRDefault="00AC5112" w:rsidP="00AC5112">
      <w:r>
        <w:t>Recherche complications : bila</w:t>
      </w:r>
      <w:bookmarkStart w:id="0" w:name="_GoBack"/>
      <w:bookmarkEnd w:id="0"/>
      <w:r>
        <w:t>ns ophtalmo+hormonal+cardio</w:t>
      </w:r>
    </w:p>
    <w:p w:rsidR="00AC5112" w:rsidRDefault="00AC5112" w:rsidP="00AC5112">
      <w:pPr>
        <w:pStyle w:val="Heading2"/>
      </w:pPr>
      <w:r>
        <w:lastRenderedPageBreak/>
        <w:t>defaut de secretion de GH</w:t>
      </w:r>
    </w:p>
    <w:p w:rsidR="00AC5112" w:rsidRDefault="00AC5112" w:rsidP="00AC5112">
      <w:pPr>
        <w:pStyle w:val="Heading3"/>
        <w:numPr>
          <w:ilvl w:val="0"/>
          <w:numId w:val="24"/>
        </w:numPr>
      </w:pPr>
      <w:r>
        <w:t>circonstances de decouverte :</w:t>
      </w:r>
    </w:p>
    <w:p w:rsidR="00AC5112" w:rsidRDefault="00AC5112" w:rsidP="00AC5112">
      <w:r>
        <w:t>Enfant :</w:t>
      </w:r>
    </w:p>
    <w:p w:rsidR="00AC5112" w:rsidRPr="00AC5112" w:rsidRDefault="00AC5112" w:rsidP="00AC5112">
      <w:pPr>
        <w:pStyle w:val="puce"/>
      </w:pPr>
      <w:r>
        <w:t xml:space="preserve">Retard de </w:t>
      </w: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ce </w:t>
      </w:r>
    </w:p>
    <w:p w:rsidR="00AC5112" w:rsidRPr="00AC5112" w:rsidRDefault="00AC5112" w:rsidP="00AC5112">
      <w:pPr>
        <w:pStyle w:val="puce"/>
      </w:pPr>
      <w:r>
        <w:rPr>
          <w:rFonts w:ascii="Cambria" w:hAnsi="Cambria"/>
        </w:rPr>
        <w:t xml:space="preserve">Trbl </w:t>
      </w:r>
      <w:r w:rsidR="00D209F3">
        <w:rPr>
          <w:rFonts w:ascii="Cambria" w:hAnsi="Cambria"/>
        </w:rPr>
        <w:t>métaboliques</w:t>
      </w:r>
      <w:r>
        <w:rPr>
          <w:rFonts w:ascii="Cambria" w:hAnsi="Cambria"/>
        </w:rPr>
        <w:t xml:space="preserve"> (obésité hypoglycémie)</w:t>
      </w:r>
    </w:p>
    <w:p w:rsidR="00AC5112" w:rsidRDefault="00AC5112" w:rsidP="00AC5112">
      <w:r>
        <w:t>Adulte</w:t>
      </w:r>
    </w:p>
    <w:p w:rsidR="00AC5112" w:rsidRDefault="00D209F3" w:rsidP="00AC5112">
      <w:pPr>
        <w:pStyle w:val="puce"/>
      </w:pPr>
      <w:r>
        <w:t>Asthénie, dépression, atrophie cut et musculaire</w:t>
      </w:r>
    </w:p>
    <w:p w:rsidR="00D209F3" w:rsidRDefault="00D209F3" w:rsidP="00AC5112">
      <w:pPr>
        <w:pStyle w:val="puce"/>
      </w:pPr>
      <w:r>
        <w:t>Trbl meta identiques</w:t>
      </w:r>
    </w:p>
    <w:p w:rsidR="00D209F3" w:rsidRDefault="00D209F3" w:rsidP="00D209F3">
      <w:pPr>
        <w:pStyle w:val="Heading3"/>
      </w:pPr>
      <w:r>
        <w:t>confirmation diag</w:t>
      </w:r>
    </w:p>
    <w:p w:rsidR="00D209F3" w:rsidRDefault="00D209F3" w:rsidP="00D209F3">
      <w:r>
        <w:t>Enfant :</w:t>
      </w:r>
    </w:p>
    <w:p w:rsidR="00D209F3" w:rsidRDefault="00D209F3" w:rsidP="00D209F3">
      <w:pPr>
        <w:pStyle w:val="puce"/>
      </w:pPr>
      <w:r>
        <w:t>Dosage IGF-1</w:t>
      </w:r>
    </w:p>
    <w:p w:rsidR="00D209F3" w:rsidRDefault="00D209F3" w:rsidP="00D209F3">
      <w:pPr>
        <w:pStyle w:val="puce"/>
      </w:pPr>
      <w:r>
        <w:t>Stimulation au glucagon</w:t>
      </w:r>
    </w:p>
    <w:p w:rsidR="00D209F3" w:rsidRDefault="00D209F3" w:rsidP="00D209F3">
      <w:r>
        <w:rPr>
          <w:noProof/>
          <w:lang w:eastAsia="fr-MC"/>
        </w:rPr>
        <w:drawing>
          <wp:anchor distT="0" distB="0" distL="114300" distR="114300" simplePos="0" relativeHeight="251659264" behindDoc="1" locked="0" layoutInCell="1" allowOverlap="1" wp14:anchorId="6A83236A" wp14:editId="43F28FD2">
            <wp:simplePos x="0" y="0"/>
            <wp:positionH relativeFrom="column">
              <wp:posOffset>57150</wp:posOffset>
            </wp:positionH>
            <wp:positionV relativeFrom="paragraph">
              <wp:posOffset>218440</wp:posOffset>
            </wp:positionV>
            <wp:extent cx="5316220" cy="2811780"/>
            <wp:effectExtent l="0" t="0" r="0" b="7620"/>
            <wp:wrapThrough wrapText="bothSides">
              <wp:wrapPolygon edited="0">
                <wp:start x="0" y="0"/>
                <wp:lineTo x="0" y="21512"/>
                <wp:lineTo x="21517" y="21512"/>
                <wp:lineTo x="21517" y="0"/>
                <wp:lineTo x="0" y="0"/>
              </wp:wrapPolygon>
            </wp:wrapThrough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20" cy="281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Adulte : test de stimulation</w:t>
      </w:r>
    </w:p>
    <w:p w:rsidR="00D209F3" w:rsidRPr="00D209F3" w:rsidRDefault="00D209F3" w:rsidP="00D209F3">
      <w:pPr>
        <w:numPr>
          <w:ilvl w:val="0"/>
          <w:numId w:val="0"/>
        </w:numPr>
        <w:ind w:left="720"/>
      </w:pPr>
      <w:r>
        <w:rPr>
          <w:noProof/>
          <w:lang w:eastAsia="fr-MC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-5183829</wp:posOffset>
            </wp:positionH>
            <wp:positionV relativeFrom="paragraph">
              <wp:posOffset>3168913</wp:posOffset>
            </wp:positionV>
            <wp:extent cx="4830793" cy="2991577"/>
            <wp:effectExtent l="0" t="0" r="8255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793" cy="2991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09F3" w:rsidRPr="00D20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C1F76"/>
    <w:multiLevelType w:val="hybridMultilevel"/>
    <w:tmpl w:val="5E9623EC"/>
    <w:lvl w:ilvl="0" w:tplc="81A400A0">
      <w:start w:val="1"/>
      <w:numFmt w:val="bullet"/>
      <w:pStyle w:val="puce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3C3454F5"/>
    <w:multiLevelType w:val="hybridMultilevel"/>
    <w:tmpl w:val="6A3A9404"/>
    <w:lvl w:ilvl="0" w:tplc="D16CB14A">
      <w:start w:val="1"/>
      <w:numFmt w:val="upperRoman"/>
      <w:pStyle w:val="Heading3"/>
      <w:lvlText w:val="%1."/>
      <w:lvlJc w:val="righ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48607F"/>
    <w:multiLevelType w:val="hybridMultilevel"/>
    <w:tmpl w:val="4FEA460C"/>
    <w:lvl w:ilvl="0" w:tplc="E77046C0">
      <w:start w:val="1"/>
      <w:numFmt w:val="upperRoman"/>
      <w:lvlText w:val="%1."/>
      <w:lvlJc w:val="righ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B317EE5"/>
    <w:multiLevelType w:val="hybridMultilevel"/>
    <w:tmpl w:val="825431C8"/>
    <w:lvl w:ilvl="0" w:tplc="3B801AE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FA0913"/>
    <w:multiLevelType w:val="hybridMultilevel"/>
    <w:tmpl w:val="85603A56"/>
    <w:lvl w:ilvl="0" w:tplc="040C0015">
      <w:start w:val="1"/>
      <w:numFmt w:val="upperLetter"/>
      <w:pStyle w:val="Heading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3"/>
  </w:num>
  <w:num w:numId="3">
    <w:abstractNumId w:val="5"/>
  </w:num>
  <w:num w:numId="4">
    <w:abstractNumId w:val="4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6"/>
  </w:num>
  <w:num w:numId="20">
    <w:abstractNumId w:val="1"/>
  </w:num>
  <w:num w:numId="21">
    <w:abstractNumId w:val="2"/>
  </w:num>
  <w:num w:numId="22">
    <w:abstractNumId w:val="1"/>
    <w:lvlOverride w:ilvl="0">
      <w:startOverride w:val="1"/>
    </w:lvlOverride>
  </w:num>
  <w:num w:numId="23">
    <w:abstractNumId w:val="0"/>
  </w:num>
  <w:num w:numId="2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996"/>
    <w:rsid w:val="002E3996"/>
    <w:rsid w:val="00327F46"/>
    <w:rsid w:val="00390DEB"/>
    <w:rsid w:val="00AC5112"/>
    <w:rsid w:val="00B30B32"/>
    <w:rsid w:val="00BD7184"/>
    <w:rsid w:val="00D209F3"/>
    <w:rsid w:val="00D5507D"/>
    <w:rsid w:val="00EE122F"/>
    <w:rsid w:val="00F2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E122F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C5112"/>
    <w:pPr>
      <w:numPr>
        <w:numId w:val="20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5507D"/>
    <w:pPr>
      <w:numPr>
        <w:numId w:val="0"/>
      </w:numPr>
      <w:pBdr>
        <w:bottom w:val="dotted" w:sz="4" w:space="1" w:color="943634" w:themeColor="accent2" w:themeShade="BF"/>
      </w:pBdr>
      <w:spacing w:after="120"/>
      <w:ind w:left="720" w:hanging="36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E122F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AC5112"/>
    <w:rPr>
      <w:caps/>
      <w:color w:val="622423" w:themeColor="accent2" w:themeShade="7F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D5507D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NoSpacingChar">
    <w:name w:val="No Spacing Char"/>
    <w:basedOn w:val="DefaultParagraphFont"/>
    <w:link w:val="NoSpacing"/>
    <w:uiPriority w:val="1"/>
    <w:rsid w:val="00D5507D"/>
  </w:style>
  <w:style w:type="paragraph" w:styleId="ListParagraph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5507D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D5507D"/>
    <w:rPr>
      <w:i/>
      <w:iCs/>
    </w:rPr>
  </w:style>
  <w:style w:type="character" w:styleId="IntenseEmphasis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122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22F"/>
    <w:rPr>
      <w:rFonts w:ascii="Tahoma" w:hAnsi="Tahoma" w:cs="Tahoma"/>
      <w:sz w:val="16"/>
      <w:szCs w:val="16"/>
    </w:rPr>
  </w:style>
  <w:style w:type="paragraph" w:customStyle="1" w:styleId="puce">
    <w:name w:val="puce"/>
    <w:basedOn w:val="Normal"/>
    <w:qFormat/>
    <w:rsid w:val="00327F46"/>
    <w:pPr>
      <w:numPr>
        <w:numId w:val="2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E122F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C5112"/>
    <w:pPr>
      <w:numPr>
        <w:numId w:val="20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5507D"/>
    <w:pPr>
      <w:numPr>
        <w:numId w:val="0"/>
      </w:numPr>
      <w:pBdr>
        <w:bottom w:val="dotted" w:sz="4" w:space="1" w:color="943634" w:themeColor="accent2" w:themeShade="BF"/>
      </w:pBdr>
      <w:spacing w:after="120"/>
      <w:ind w:left="720" w:hanging="36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E122F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AC5112"/>
    <w:rPr>
      <w:caps/>
      <w:color w:val="622423" w:themeColor="accent2" w:themeShade="7F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D5507D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NoSpacingChar">
    <w:name w:val="No Spacing Char"/>
    <w:basedOn w:val="DefaultParagraphFont"/>
    <w:link w:val="NoSpacing"/>
    <w:uiPriority w:val="1"/>
    <w:rsid w:val="00D5507D"/>
  </w:style>
  <w:style w:type="paragraph" w:styleId="ListParagraph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5507D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D5507D"/>
    <w:rPr>
      <w:i/>
      <w:iCs/>
    </w:rPr>
  </w:style>
  <w:style w:type="character" w:styleId="IntenseEmphasis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122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22F"/>
    <w:rPr>
      <w:rFonts w:ascii="Tahoma" w:hAnsi="Tahoma" w:cs="Tahoma"/>
      <w:sz w:val="16"/>
      <w:szCs w:val="16"/>
    </w:rPr>
  </w:style>
  <w:style w:type="paragraph" w:customStyle="1" w:styleId="puce">
    <w:name w:val="puce"/>
    <w:basedOn w:val="Normal"/>
    <w:qFormat/>
    <w:rsid w:val="00327F46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14897-E7B2-44C5-8BAA-6233DC4C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204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10</vt:i4>
      </vt:variant>
    </vt:vector>
  </HeadingPairs>
  <TitlesOfParts>
    <vt:vector size="11" baseType="lpstr">
      <vt:lpstr/>
      <vt:lpstr>axe somatotrope secretion de gh</vt:lpstr>
      <vt:lpstr>    secretion et role de GH</vt:lpstr>
      <vt:lpstr>        /secretion </vt:lpstr>
      <vt:lpstr>        Roles</vt:lpstr>
      <vt:lpstr>    hypersecretion GH : Gigantisme/ acromegalie</vt:lpstr>
      <vt:lpstr>        circonstances de decouverte</vt:lpstr>
      <vt:lpstr>        confirmation du diagnostique</vt:lpstr>
      <vt:lpstr>    defaut de secretion de GH</vt:lpstr>
      <vt:lpstr>        circonstances de decouverte :</vt:lpstr>
      <vt:lpstr>        confirmation diag</vt:lpstr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3</cp:revision>
  <dcterms:created xsi:type="dcterms:W3CDTF">2012-06-07T11:39:00Z</dcterms:created>
  <dcterms:modified xsi:type="dcterms:W3CDTF">2012-06-07T15:54:00Z</dcterms:modified>
</cp:coreProperties>
</file>