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84" w:rsidRDefault="008D7779" w:rsidP="008D7779">
      <w:pPr>
        <w:pStyle w:val="Titre1"/>
      </w:pPr>
      <w:r>
        <w:t>les dyskaliémies</w:t>
      </w:r>
    </w:p>
    <w:p w:rsidR="008D7779" w:rsidRDefault="008D7779" w:rsidP="008D7779">
      <w:pPr>
        <w:pStyle w:val="Titre2"/>
      </w:pPr>
      <w:r>
        <w:t>potassium dans l’organisme</w:t>
      </w:r>
    </w:p>
    <w:p w:rsidR="008D7779" w:rsidRDefault="008D7779" w:rsidP="008D7779">
      <w:pPr>
        <w:pStyle w:val="Titre3"/>
      </w:pPr>
      <w:r>
        <w:t>généralités</w:t>
      </w:r>
    </w:p>
    <w:p w:rsidR="008D7779" w:rsidRDefault="008D7779" w:rsidP="008D7779">
      <w:r>
        <w:t xml:space="preserve">K+ 98% intracellulaire </w:t>
      </w:r>
      <w:r w:rsidR="004C217F">
        <w:t>grâce</w:t>
      </w:r>
      <w:r>
        <w:t xml:space="preserve"> à la pompe Na+/K+</w:t>
      </w:r>
      <w:r w:rsidR="001879ED">
        <w:t xml:space="preserve"> ATPase</w:t>
      </w:r>
    </w:p>
    <w:p w:rsidR="001879ED" w:rsidRPr="001879ED" w:rsidRDefault="001879ED" w:rsidP="008D7779">
      <w:r w:rsidRPr="0098292E">
        <w:rPr>
          <w:color w:val="FF0000"/>
        </w:rPr>
        <w:t xml:space="preserve">Lyse </w:t>
      </w:r>
      <w:r>
        <w:t>cellulaire</w:t>
      </w:r>
      <w:r w:rsidRPr="0098292E">
        <w:rPr>
          <w:color w:val="FF0000"/>
        </w:rPr>
        <w:t>=</w:t>
      </w:r>
      <w:r w:rsidRPr="0098292E">
        <w:rPr>
          <w:rFonts w:ascii="Cambria" w:hAnsi="Cambria"/>
          <w:color w:val="FF0000"/>
        </w:rPr>
        <w:t xml:space="preserve">↗ kaliémie </w:t>
      </w:r>
      <w:r>
        <w:rPr>
          <w:rFonts w:ascii="Cambria" w:hAnsi="Cambria"/>
        </w:rPr>
        <w:t>(K+ sanguin p.ex $ compression)</w:t>
      </w:r>
    </w:p>
    <w:p w:rsidR="001879ED" w:rsidRDefault="001879ED" w:rsidP="001879ED">
      <w:pPr>
        <w:pStyle w:val="Style1"/>
      </w:pPr>
      <w:r w:rsidRPr="0098292E">
        <w:rPr>
          <w:color w:val="FF0000"/>
        </w:rPr>
        <w:t>Pseudo</w:t>
      </w:r>
      <w:r>
        <w:t>-</w:t>
      </w:r>
      <w:r w:rsidRPr="0098292E">
        <w:rPr>
          <w:color w:val="FF0000"/>
        </w:rPr>
        <w:t>hyperkaliémie </w:t>
      </w:r>
      <w:r>
        <w:t xml:space="preserve">: due au </w:t>
      </w:r>
      <w:r w:rsidR="004C217F">
        <w:t>prélèvement</w:t>
      </w:r>
      <w:r>
        <w:t xml:space="preserve"> sanguin (pompage, garrot)</w:t>
      </w:r>
    </w:p>
    <w:p w:rsidR="001879ED" w:rsidRDefault="001879ED" w:rsidP="001879ED">
      <w:pPr>
        <w:pStyle w:val="Style1"/>
      </w:pPr>
      <w:r>
        <w:t>Hyperkaliémie vraie : hémolyse intravasc, rhabdomyolyse, chimio…</w:t>
      </w:r>
    </w:p>
    <w:p w:rsidR="001879ED" w:rsidRDefault="004C217F" w:rsidP="001879ED">
      <w:r>
        <w:t>Rôle</w:t>
      </w:r>
      <w:r w:rsidR="001879ED">
        <w:t xml:space="preserve"> majeur dans </w:t>
      </w:r>
      <w:r w:rsidR="001879ED" w:rsidRPr="0098292E">
        <w:rPr>
          <w:color w:val="FF0000"/>
        </w:rPr>
        <w:t xml:space="preserve">l’excitabilité musculaire </w:t>
      </w:r>
      <w:r w:rsidR="001879ED">
        <w:t>(</w:t>
      </w:r>
      <w:r>
        <w:t>détermine</w:t>
      </w:r>
      <w:r w:rsidR="001879ED">
        <w:t xml:space="preserve"> le potentiel </w:t>
      </w:r>
      <w:r>
        <w:t>mbr)</w:t>
      </w:r>
    </w:p>
    <w:p w:rsidR="00214D60" w:rsidRPr="00214D60" w:rsidRDefault="00214D60" w:rsidP="00214D60">
      <w:pPr>
        <w:pStyle w:val="Style1"/>
      </w:pPr>
      <w:r w:rsidRPr="0098292E">
        <w:rPr>
          <w:color w:val="FF0000"/>
        </w:rPr>
        <w:t>Hyperkaliémie</w:t>
      </w:r>
      <w:r>
        <w:t xml:space="preserve">= </w:t>
      </w:r>
      <w:r w:rsidRPr="00944AE9">
        <w:rPr>
          <w:rFonts w:ascii="Cambria" w:hAnsi="Cambria"/>
        </w:rPr>
        <w:t>↘</w:t>
      </w:r>
      <w:r>
        <w:rPr>
          <w:rFonts w:ascii="Cambria" w:hAnsi="Cambria"/>
        </w:rPr>
        <w:t xml:space="preserve"> ddp transmbr = </w:t>
      </w:r>
      <w:r w:rsidRPr="0098292E">
        <w:rPr>
          <w:rFonts w:ascii="Cambria" w:hAnsi="Cambria"/>
          <w:color w:val="FF0000"/>
        </w:rPr>
        <w:t>hyperexcitabilité</w:t>
      </w:r>
    </w:p>
    <w:p w:rsidR="00214D60" w:rsidRPr="00214D60" w:rsidRDefault="00214D60" w:rsidP="00214D60">
      <w:pPr>
        <w:pStyle w:val="Style1"/>
      </w:pPr>
      <w:r w:rsidRPr="0098292E">
        <w:rPr>
          <w:rFonts w:ascii="Cambria" w:hAnsi="Cambria"/>
          <w:color w:val="FF0000"/>
        </w:rPr>
        <w:t>Hypokaliémie</w:t>
      </w:r>
      <w:r>
        <w:rPr>
          <w:rFonts w:ascii="Cambria" w:hAnsi="Cambria"/>
        </w:rPr>
        <w:t xml:space="preserve">= </w:t>
      </w:r>
      <w:r w:rsidRPr="00214D60">
        <w:rPr>
          <w:rFonts w:ascii="Cambria" w:hAnsi="Cambria"/>
        </w:rPr>
        <w:t>↗</w:t>
      </w:r>
      <w:r>
        <w:rPr>
          <w:rFonts w:ascii="Cambria" w:hAnsi="Cambria"/>
        </w:rPr>
        <w:t xml:space="preserve"> ddp transmbr = </w:t>
      </w:r>
      <w:r w:rsidRPr="0098292E">
        <w:rPr>
          <w:rFonts w:ascii="Cambria" w:hAnsi="Cambria"/>
          <w:color w:val="FF0000"/>
        </w:rPr>
        <w:t>hypoexcitabilité</w:t>
      </w:r>
    </w:p>
    <w:p w:rsidR="00214D60" w:rsidRDefault="00214D60" w:rsidP="00214D60">
      <w:r w:rsidRPr="0098292E">
        <w:rPr>
          <w:color w:val="FF0000"/>
        </w:rPr>
        <w:t>Dyskaliémie TOUJOURS troubles neuromusculaire : ECG +++</w:t>
      </w:r>
    </w:p>
    <w:p w:rsidR="00214D60" w:rsidRDefault="00214D60" w:rsidP="00214D60">
      <w:pPr>
        <w:pStyle w:val="Titre3"/>
      </w:pPr>
      <w:r>
        <w:t>regulation de la kaliémie</w:t>
      </w:r>
    </w:p>
    <w:p w:rsidR="00214D60" w:rsidRDefault="003C0F8C" w:rsidP="00036214">
      <w:pPr>
        <w:pStyle w:val="Titre4"/>
      </w:pPr>
      <w:r>
        <w:t xml:space="preserve">Balance </w:t>
      </w:r>
      <w:r w:rsidRPr="0098292E">
        <w:rPr>
          <w:color w:val="FF0000"/>
        </w:rPr>
        <w:t>interne </w:t>
      </w:r>
      <w:r>
        <w:t>:</w:t>
      </w:r>
    </w:p>
    <w:p w:rsidR="003C0F8C" w:rsidRDefault="003C0F8C" w:rsidP="003C0F8C">
      <w:r>
        <w:t xml:space="preserve">Assurée par les </w:t>
      </w:r>
      <w:r w:rsidRPr="0098292E">
        <w:rPr>
          <w:color w:val="FF0000"/>
        </w:rPr>
        <w:t xml:space="preserve">transferts </w:t>
      </w:r>
      <w:r w:rsidRPr="0098292E">
        <w:rPr>
          <w:color w:val="FF0000"/>
          <w:sz w:val="28"/>
        </w:rPr>
        <w:t>cellulaires</w:t>
      </w:r>
    </w:p>
    <w:p w:rsidR="003C0F8C" w:rsidRDefault="003C0F8C" w:rsidP="003C0F8C">
      <w:r>
        <w:t>Entrée cellulaire :</w:t>
      </w:r>
    </w:p>
    <w:p w:rsidR="003C0F8C" w:rsidRDefault="003C0F8C" w:rsidP="003C0F8C">
      <w:pPr>
        <w:pStyle w:val="Style1"/>
      </w:pPr>
      <w:r w:rsidRPr="0098292E">
        <w:rPr>
          <w:color w:val="FF0000"/>
        </w:rPr>
        <w:t xml:space="preserve">Insuline </w:t>
      </w:r>
      <w:r>
        <w:t xml:space="preserve">et T3 </w:t>
      </w:r>
      <w:r w:rsidR="00B23188">
        <w:t>contrecarre</w:t>
      </w:r>
      <w:r>
        <w:t xml:space="preserve"> l’effet hyperkaliémiant des repas</w:t>
      </w:r>
    </w:p>
    <w:p w:rsidR="003C0F8C" w:rsidRPr="003C0F8C" w:rsidRDefault="00B23188" w:rsidP="003C0F8C">
      <w:pPr>
        <w:pStyle w:val="Style1"/>
      </w:pPr>
      <w:r w:rsidRPr="0098292E">
        <w:rPr>
          <w:color w:val="FF0000"/>
        </w:rPr>
        <w:t>Catécholamines</w:t>
      </w:r>
      <w:r w:rsidR="003C0F8C" w:rsidRPr="0098292E">
        <w:rPr>
          <w:color w:val="FF0000"/>
        </w:rPr>
        <w:t> </w:t>
      </w:r>
      <w:r w:rsidR="003C0F8C">
        <w:t xml:space="preserve">: </w:t>
      </w:r>
      <w:r w:rsidR="003C0F8C" w:rsidRPr="00944AE9">
        <w:rPr>
          <w:rFonts w:ascii="Cambria" w:hAnsi="Cambria"/>
        </w:rPr>
        <w:t>↘</w:t>
      </w:r>
      <w:r w:rsidR="003C0F8C">
        <w:rPr>
          <w:rFonts w:ascii="Cambria" w:hAnsi="Cambria"/>
        </w:rPr>
        <w:t xml:space="preserve"> l’effet hyperkaliémiant des contractions musculaires</w:t>
      </w:r>
    </w:p>
    <w:p w:rsidR="003C0F8C" w:rsidRPr="00B23188" w:rsidRDefault="00B23188" w:rsidP="003C0F8C">
      <w:pPr>
        <w:pStyle w:val="Style1"/>
      </w:pPr>
      <w:r>
        <w:rPr>
          <w:rFonts w:ascii="Cambria" w:hAnsi="Cambria"/>
        </w:rPr>
        <w:t>Alcalose digestive : sortie H+ entrée K+</w:t>
      </w:r>
    </w:p>
    <w:p w:rsidR="00B23188" w:rsidRPr="00B23188" w:rsidRDefault="00B23188" w:rsidP="00B23188">
      <w:r>
        <w:t>Sorties cellulaires</w:t>
      </w:r>
    </w:p>
    <w:p w:rsidR="00B23188" w:rsidRPr="00B23188" w:rsidRDefault="00B23188" w:rsidP="003C0F8C">
      <w:pPr>
        <w:pStyle w:val="Style1"/>
      </w:pPr>
      <w:r>
        <w:rPr>
          <w:rFonts w:ascii="Cambria" w:hAnsi="Cambria"/>
        </w:rPr>
        <w:t>Acidose digestive sortie K+ entrée H+</w:t>
      </w:r>
    </w:p>
    <w:p w:rsidR="00B23188" w:rsidRDefault="00B23188" w:rsidP="003C0F8C">
      <w:pPr>
        <w:pStyle w:val="Style1"/>
      </w:pPr>
      <w:r>
        <w:t xml:space="preserve">Hyperosmolarité </w:t>
      </w:r>
      <w:r w:rsidR="004C217F">
        <w:t>(??)</w:t>
      </w:r>
    </w:p>
    <w:p w:rsidR="00B23188" w:rsidRDefault="00B23188" w:rsidP="00B23188">
      <w:pPr>
        <w:pStyle w:val="Style1"/>
        <w:numPr>
          <w:ilvl w:val="0"/>
          <w:numId w:val="0"/>
        </w:numPr>
        <w:ind w:left="2136" w:hanging="360"/>
      </w:pPr>
    </w:p>
    <w:p w:rsidR="00562FA0" w:rsidRPr="00562FA0" w:rsidRDefault="00B23188" w:rsidP="00562FA0">
      <w:pPr>
        <w:pStyle w:val="Sous-titr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562FA0">
        <w:rPr>
          <w:color w:val="FF0000"/>
        </w:rPr>
        <w:t>!! diabete = pas d’insuline = hyperkaliémie</w:t>
      </w:r>
    </w:p>
    <w:p w:rsidR="00562FA0" w:rsidRDefault="00562FA0" w:rsidP="00036214">
      <w:pPr>
        <w:pStyle w:val="Titre4"/>
      </w:pPr>
      <w:r>
        <w:t xml:space="preserve">Balance </w:t>
      </w:r>
      <w:r w:rsidRPr="0098292E">
        <w:rPr>
          <w:color w:val="FF0000"/>
        </w:rPr>
        <w:t xml:space="preserve">externe </w:t>
      </w:r>
      <w:r>
        <w:t>du potassium</w:t>
      </w:r>
    </w:p>
    <w:p w:rsidR="00562FA0" w:rsidRDefault="00562FA0" w:rsidP="00562FA0">
      <w:r>
        <w:t xml:space="preserve">Assurée par le </w:t>
      </w:r>
      <w:r w:rsidRPr="0098292E">
        <w:rPr>
          <w:color w:val="FF0000"/>
        </w:rPr>
        <w:t>rein</w:t>
      </w:r>
    </w:p>
    <w:p w:rsidR="00562FA0" w:rsidRDefault="00562FA0" w:rsidP="00562FA0">
      <w:r>
        <w:t xml:space="preserve">TCP : </w:t>
      </w:r>
      <w:r w:rsidR="004C217F">
        <w:t>absorption</w:t>
      </w:r>
      <w:r>
        <w:t xml:space="preserve"> massive non </w:t>
      </w:r>
      <w:r w:rsidR="004C217F">
        <w:t>régulée</w:t>
      </w:r>
    </w:p>
    <w:p w:rsidR="00562FA0" w:rsidRDefault="00562FA0" w:rsidP="00562FA0">
      <w:r>
        <w:t xml:space="preserve">TCD : </w:t>
      </w:r>
      <w:r w:rsidR="004C217F">
        <w:t>absorption</w:t>
      </w:r>
      <w:r>
        <w:t>/</w:t>
      </w:r>
      <w:r w:rsidR="004C217F">
        <w:t>excrétion</w:t>
      </w:r>
      <w:r>
        <w:t xml:space="preserve"> </w:t>
      </w:r>
      <w:r w:rsidR="004C217F">
        <w:t>régulée</w:t>
      </w:r>
    </w:p>
    <w:p w:rsidR="00562FA0" w:rsidRDefault="00562FA0" w:rsidP="00562FA0">
      <w:r>
        <w:t xml:space="preserve">Cellules principales : </w:t>
      </w:r>
      <w:r w:rsidR="004C217F">
        <w:t>excrétion</w:t>
      </w:r>
      <w:r>
        <w:t xml:space="preserve"> K+</w:t>
      </w:r>
    </w:p>
    <w:p w:rsidR="00562FA0" w:rsidRDefault="00562FA0" w:rsidP="00562FA0">
      <w:r>
        <w:t xml:space="preserve">Cellules intercalaire : </w:t>
      </w:r>
      <w:r w:rsidR="004C217F">
        <w:t>absorption</w:t>
      </w:r>
      <w:r>
        <w:t xml:space="preserve"> K+</w:t>
      </w:r>
    </w:p>
    <w:p w:rsidR="00562FA0" w:rsidRDefault="00562FA0" w:rsidP="00562FA0">
      <w:pPr>
        <w:numPr>
          <w:ilvl w:val="0"/>
          <w:numId w:val="0"/>
        </w:numPr>
        <w:ind w:left="720" w:hanging="360"/>
      </w:pPr>
    </w:p>
    <w:p w:rsidR="00562FA0" w:rsidRDefault="00562FA0" w:rsidP="00562FA0">
      <w:pPr>
        <w:numPr>
          <w:ilvl w:val="0"/>
          <w:numId w:val="0"/>
        </w:numPr>
        <w:ind w:left="720" w:hanging="360"/>
      </w:pPr>
    </w:p>
    <w:p w:rsidR="00562FA0" w:rsidRDefault="00562FA0" w:rsidP="00562FA0">
      <w:pPr>
        <w:numPr>
          <w:ilvl w:val="0"/>
          <w:numId w:val="0"/>
        </w:numPr>
        <w:ind w:left="720" w:hanging="360"/>
      </w:pPr>
    </w:p>
    <w:p w:rsidR="00562FA0" w:rsidRDefault="00562FA0" w:rsidP="00562FA0">
      <w:pPr>
        <w:numPr>
          <w:ilvl w:val="0"/>
          <w:numId w:val="0"/>
        </w:numPr>
        <w:ind w:left="720" w:hanging="360"/>
      </w:pPr>
    </w:p>
    <w:p w:rsidR="00562FA0" w:rsidRDefault="00562FA0" w:rsidP="00562FA0">
      <w:pPr>
        <w:pStyle w:val="Titre3"/>
      </w:pPr>
      <w:r>
        <w:lastRenderedPageBreak/>
        <w:t>hypokaliémies</w:t>
      </w:r>
    </w:p>
    <w:p w:rsidR="00562FA0" w:rsidRDefault="00562FA0" w:rsidP="00562FA0">
      <w:pPr>
        <w:spacing w:line="360" w:lineRule="auto"/>
      </w:pPr>
      <w:r>
        <w:t>K+&lt;3,5 mmol/l</w:t>
      </w:r>
    </w:p>
    <w:p w:rsidR="00562FA0" w:rsidRDefault="00562FA0" w:rsidP="00036214">
      <w:pPr>
        <w:pStyle w:val="Titre4"/>
        <w:numPr>
          <w:ilvl w:val="0"/>
          <w:numId w:val="27"/>
        </w:numPr>
      </w:pPr>
      <w:r>
        <w:t>Clinique</w:t>
      </w:r>
    </w:p>
    <w:p w:rsidR="00562FA0" w:rsidRDefault="00562FA0" w:rsidP="00562FA0">
      <w:r w:rsidRPr="0098292E">
        <w:rPr>
          <w:color w:val="FF0000"/>
        </w:rPr>
        <w:t xml:space="preserve">Diminution </w:t>
      </w:r>
      <w:r>
        <w:t xml:space="preserve">de </w:t>
      </w:r>
      <w:r w:rsidRPr="0098292E">
        <w:rPr>
          <w:color w:val="FF0000"/>
        </w:rPr>
        <w:t xml:space="preserve">l’excitabilité </w:t>
      </w:r>
      <w:r>
        <w:t>musculaire (</w:t>
      </w:r>
      <w:r w:rsidR="00FB26D7">
        <w:t xml:space="preserve">crampes, </w:t>
      </w:r>
      <w:r w:rsidR="00FB26D7" w:rsidRPr="0098292E">
        <w:rPr>
          <w:color w:val="FF0000"/>
        </w:rPr>
        <w:t>TDR</w:t>
      </w:r>
      <w:r w:rsidR="00FB26D7">
        <w:t>, constipations)</w:t>
      </w:r>
    </w:p>
    <w:p w:rsidR="00FB26D7" w:rsidRDefault="00FB26D7" w:rsidP="00562FA0">
      <w:r>
        <w:t xml:space="preserve">Troubles </w:t>
      </w:r>
      <w:r w:rsidR="004C217F">
        <w:t>métaboliques</w:t>
      </w:r>
      <w:r>
        <w:t xml:space="preserve"> </w:t>
      </w:r>
      <w:r w:rsidR="004C217F">
        <w:t>rénaux</w:t>
      </w:r>
      <w:r>
        <w:t xml:space="preserve"> associés (polyurie hypotonique, alcalose </w:t>
      </w:r>
      <w:r w:rsidR="004C217F">
        <w:t>métabolique</w:t>
      </w:r>
      <w:r>
        <w:t xml:space="preserve"> </w:t>
      </w:r>
      <w:r w:rsidR="004C217F">
        <w:t>réabsorption</w:t>
      </w:r>
      <w:r>
        <w:t xml:space="preserve"> K+ contre </w:t>
      </w:r>
      <w:r w:rsidR="004C217F">
        <w:t>excrétion</w:t>
      </w:r>
      <w:r>
        <w:t xml:space="preserve"> H+= acidurie)</w:t>
      </w:r>
    </w:p>
    <w:p w:rsidR="00FB26D7" w:rsidRDefault="00FB26D7" w:rsidP="00036214">
      <w:pPr>
        <w:pStyle w:val="Titre4"/>
      </w:pPr>
      <w:r>
        <w:t>Etiologies</w:t>
      </w:r>
    </w:p>
    <w:p w:rsidR="00FB26D7" w:rsidRDefault="00FB26D7" w:rsidP="00FB26D7">
      <w:r>
        <w:t>Transfert cellulaire accru :</w:t>
      </w:r>
    </w:p>
    <w:p w:rsidR="00FB26D7" w:rsidRDefault="004C217F" w:rsidP="00FB26D7">
      <w:pPr>
        <w:pStyle w:val="Style1"/>
      </w:pPr>
      <w:r w:rsidRPr="0098292E">
        <w:rPr>
          <w:color w:val="FF0000"/>
        </w:rPr>
        <w:t>Iatrogénique</w:t>
      </w:r>
      <w:r w:rsidR="00FB26D7" w:rsidRPr="0098292E">
        <w:rPr>
          <w:color w:val="FF0000"/>
        </w:rPr>
        <w:t> </w:t>
      </w:r>
      <w:r w:rsidR="00FB26D7">
        <w:t xml:space="preserve">: ttt insuline ou β-2 </w:t>
      </w:r>
      <w:r>
        <w:t>mimétiques</w:t>
      </w:r>
    </w:p>
    <w:p w:rsidR="00FB26D7" w:rsidRDefault="00FB26D7" w:rsidP="00FB26D7">
      <w:pPr>
        <w:pStyle w:val="Style1"/>
      </w:pPr>
      <w:r w:rsidRPr="0098292E">
        <w:rPr>
          <w:color w:val="FF0000"/>
        </w:rPr>
        <w:t xml:space="preserve">Alcalose </w:t>
      </w:r>
      <w:r w:rsidR="004C217F" w:rsidRPr="0098292E">
        <w:rPr>
          <w:color w:val="FF0000"/>
        </w:rPr>
        <w:t>métaboliques</w:t>
      </w:r>
      <w:r w:rsidRPr="0098292E">
        <w:rPr>
          <w:color w:val="FF0000"/>
        </w:rPr>
        <w:t xml:space="preserve"> </w:t>
      </w:r>
      <w:r>
        <w:t xml:space="preserve">ou </w:t>
      </w:r>
      <w:r w:rsidRPr="0098292E">
        <w:rPr>
          <w:color w:val="FF0000"/>
        </w:rPr>
        <w:t>respi</w:t>
      </w:r>
    </w:p>
    <w:p w:rsidR="00FB26D7" w:rsidRDefault="00FB26D7" w:rsidP="00FB26D7">
      <w:r>
        <w:t xml:space="preserve">Pertes </w:t>
      </w:r>
      <w:r w:rsidR="004C217F" w:rsidRPr="0098292E">
        <w:rPr>
          <w:color w:val="FF0000"/>
        </w:rPr>
        <w:t>rénales</w:t>
      </w:r>
      <w:r w:rsidRPr="0098292E">
        <w:rPr>
          <w:color w:val="FF0000"/>
        </w:rPr>
        <w:t> </w:t>
      </w:r>
      <w:r>
        <w:t>:</w:t>
      </w:r>
    </w:p>
    <w:p w:rsidR="00FB26D7" w:rsidRDefault="00FB26D7" w:rsidP="00FB26D7">
      <w:pPr>
        <w:pStyle w:val="Style1"/>
      </w:pPr>
      <w:r w:rsidRPr="0098292E">
        <w:rPr>
          <w:color w:val="FF0000"/>
        </w:rPr>
        <w:t xml:space="preserve">Hyperaldosteronisme </w:t>
      </w:r>
      <w:r>
        <w:t>primaire ou secondaire</w:t>
      </w:r>
    </w:p>
    <w:p w:rsidR="00FB26D7" w:rsidRDefault="00FB26D7" w:rsidP="00FB26D7">
      <w:pPr>
        <w:pStyle w:val="Style1"/>
      </w:pPr>
      <w:r>
        <w:t xml:space="preserve">Ttt </w:t>
      </w:r>
      <w:r w:rsidR="004C217F">
        <w:t>diurétiques</w:t>
      </w:r>
    </w:p>
    <w:p w:rsidR="00FB26D7" w:rsidRDefault="00FB26D7" w:rsidP="00FB26D7">
      <w:pPr>
        <w:pStyle w:val="Style1"/>
      </w:pPr>
      <w:r>
        <w:t>Génétique</w:t>
      </w:r>
    </w:p>
    <w:p w:rsidR="00FB26D7" w:rsidRDefault="00FB26D7" w:rsidP="00FB26D7">
      <w:r>
        <w:t xml:space="preserve">Pertes extra </w:t>
      </w:r>
      <w:r w:rsidR="004C217F">
        <w:t>rénales</w:t>
      </w:r>
      <w:r>
        <w:t> : vomissement diarrhées</w:t>
      </w:r>
    </w:p>
    <w:p w:rsidR="00FB26D7" w:rsidRDefault="00FB26D7" w:rsidP="00FB26D7">
      <w:r>
        <w:t>Carence d’apport (anorexie mentale)</w:t>
      </w:r>
    </w:p>
    <w:p w:rsidR="00FB26D7" w:rsidRDefault="00FB26D7" w:rsidP="00FB26D7">
      <w:pPr>
        <w:numPr>
          <w:ilvl w:val="0"/>
          <w:numId w:val="0"/>
        </w:numPr>
        <w:ind w:left="720" w:hanging="360"/>
      </w:pPr>
    </w:p>
    <w:p w:rsidR="00FB26D7" w:rsidRDefault="00FB26D7" w:rsidP="00FB26D7">
      <w:pPr>
        <w:numPr>
          <w:ilvl w:val="0"/>
          <w:numId w:val="0"/>
        </w:numPr>
        <w:ind w:left="720" w:hanging="360"/>
      </w:pPr>
    </w:p>
    <w:p w:rsidR="00FB26D7" w:rsidRDefault="00FB26D7" w:rsidP="00FB26D7">
      <w:pPr>
        <w:pStyle w:val="Titre3"/>
      </w:pPr>
      <w:r>
        <w:t>hyperkaliémies</w:t>
      </w:r>
    </w:p>
    <w:p w:rsidR="00FB26D7" w:rsidRDefault="00FB26D7" w:rsidP="00FB26D7">
      <w:r>
        <w:t>K+&gt;5mmol/l</w:t>
      </w:r>
    </w:p>
    <w:p w:rsidR="00FB26D7" w:rsidRDefault="00FB26D7" w:rsidP="00036214">
      <w:pPr>
        <w:pStyle w:val="Titre4"/>
        <w:numPr>
          <w:ilvl w:val="0"/>
          <w:numId w:val="28"/>
        </w:numPr>
      </w:pPr>
      <w:r>
        <w:t>Clinique</w:t>
      </w:r>
    </w:p>
    <w:p w:rsidR="00FB26D7" w:rsidRDefault="00036214" w:rsidP="00FB26D7">
      <w:r w:rsidRPr="0098292E">
        <w:rPr>
          <w:color w:val="FF0000"/>
        </w:rPr>
        <w:t xml:space="preserve">Hyperexcitabilité musculaire </w:t>
      </w:r>
      <w:r w:rsidR="004C217F">
        <w:t>(TDR</w:t>
      </w:r>
      <w:r>
        <w:t xml:space="preserve">, risque </w:t>
      </w:r>
      <w:r w:rsidR="004C217F" w:rsidRPr="0098292E">
        <w:rPr>
          <w:color w:val="FF0000"/>
        </w:rPr>
        <w:t>arrêt</w:t>
      </w:r>
      <w:r w:rsidRPr="0098292E">
        <w:rPr>
          <w:color w:val="FF0000"/>
        </w:rPr>
        <w:t xml:space="preserve"> cardiaque </w:t>
      </w:r>
      <w:r w:rsidR="004C217F">
        <w:t>au-dessus</w:t>
      </w:r>
      <w:r>
        <w:t xml:space="preserve"> de 7mmol)</w:t>
      </w:r>
    </w:p>
    <w:p w:rsidR="00036214" w:rsidRPr="00036214" w:rsidRDefault="00036214" w:rsidP="00036214">
      <w:r>
        <w:t xml:space="preserve">Troubles </w:t>
      </w:r>
      <w:r w:rsidR="004C217F">
        <w:t>métaboliques</w:t>
      </w:r>
      <w:r>
        <w:t xml:space="preserve"> associés (acidose </w:t>
      </w:r>
      <w:r w:rsidR="004C217F">
        <w:t>métabolique</w:t>
      </w:r>
      <w:r>
        <w:t xml:space="preserve"> : </w:t>
      </w:r>
      <w:r w:rsidRPr="00944AE9">
        <w:rPr>
          <w:rFonts w:ascii="Cambria" w:hAnsi="Cambria"/>
        </w:rPr>
        <w:t>↘</w:t>
      </w:r>
      <w:r w:rsidR="004C217F">
        <w:rPr>
          <w:rFonts w:ascii="Cambria" w:hAnsi="Cambria"/>
        </w:rPr>
        <w:t>absorption</w:t>
      </w:r>
      <w:r>
        <w:rPr>
          <w:rFonts w:ascii="Cambria" w:hAnsi="Cambria"/>
        </w:rPr>
        <w:t xml:space="preserve"> K+</w:t>
      </w:r>
      <w:r w:rsidRPr="00036214">
        <w:rPr>
          <w:rFonts w:ascii="Cambria" w:hAnsi="Cambria"/>
        </w:rPr>
        <w:t>→↘</w:t>
      </w:r>
      <w:r w:rsidR="004C217F">
        <w:rPr>
          <w:rFonts w:ascii="Cambria" w:hAnsi="Cambria"/>
        </w:rPr>
        <w:t>excrétion</w:t>
      </w:r>
      <w:r>
        <w:rPr>
          <w:rFonts w:ascii="Cambria" w:hAnsi="Cambria"/>
        </w:rPr>
        <w:t xml:space="preserve"> H+)</w:t>
      </w:r>
    </w:p>
    <w:p w:rsidR="00036214" w:rsidRDefault="00036214" w:rsidP="00036214">
      <w:pPr>
        <w:pStyle w:val="Titre4"/>
      </w:pPr>
      <w:r>
        <w:t>Étiologies</w:t>
      </w:r>
    </w:p>
    <w:p w:rsidR="00036214" w:rsidRDefault="00036214" w:rsidP="00036214">
      <w:r w:rsidRPr="0098292E">
        <w:rPr>
          <w:color w:val="FF0000"/>
        </w:rPr>
        <w:t xml:space="preserve">Eliminer pseudo hyperkaliémie </w:t>
      </w:r>
      <w:r>
        <w:t>(</w:t>
      </w:r>
      <w:r w:rsidR="004C217F">
        <w:t>hémolyse</w:t>
      </w:r>
      <w:r>
        <w:t xml:space="preserve"> du </w:t>
      </w:r>
      <w:r w:rsidR="004C217F">
        <w:t>prélèvement</w:t>
      </w:r>
      <w:r>
        <w:t>) sans manifestation clinique !!</w:t>
      </w:r>
    </w:p>
    <w:p w:rsidR="00036214" w:rsidRDefault="00036214" w:rsidP="00036214">
      <w:r>
        <w:t>Sortie cellulaire du K+ :</w:t>
      </w:r>
    </w:p>
    <w:p w:rsidR="00036214" w:rsidRDefault="00036214" w:rsidP="00036214">
      <w:pPr>
        <w:pStyle w:val="Style1"/>
      </w:pPr>
      <w:r w:rsidRPr="0098292E">
        <w:rPr>
          <w:color w:val="FF0000"/>
        </w:rPr>
        <w:t xml:space="preserve">Lyse cellulaire </w:t>
      </w:r>
      <w:r>
        <w:t>(</w:t>
      </w:r>
      <w:r w:rsidR="004C217F">
        <w:t>hémolyse</w:t>
      </w:r>
      <w:r>
        <w:t xml:space="preserve">, </w:t>
      </w:r>
      <w:r w:rsidR="004C217F">
        <w:t>rhabdomyolyse</w:t>
      </w:r>
      <w:r>
        <w:t>, traumas….)</w:t>
      </w:r>
    </w:p>
    <w:p w:rsidR="00036214" w:rsidRDefault="00036214" w:rsidP="00036214">
      <w:pPr>
        <w:pStyle w:val="Style1"/>
      </w:pPr>
      <w:r w:rsidRPr="0098292E">
        <w:rPr>
          <w:color w:val="FF0000"/>
        </w:rPr>
        <w:t xml:space="preserve">Acidose </w:t>
      </w:r>
      <w:r w:rsidR="004C217F" w:rsidRPr="0098292E">
        <w:rPr>
          <w:color w:val="FF0000"/>
        </w:rPr>
        <w:t>métabolique</w:t>
      </w:r>
      <w:r w:rsidRPr="0098292E">
        <w:rPr>
          <w:color w:val="FF0000"/>
        </w:rPr>
        <w:t xml:space="preserve"> </w:t>
      </w:r>
      <w:r>
        <w:t xml:space="preserve">ou respi </w:t>
      </w:r>
      <w:r w:rsidR="004C217F">
        <w:t>empêchant</w:t>
      </w:r>
      <w:r>
        <w:t xml:space="preserve"> l’</w:t>
      </w:r>
      <w:r w:rsidR="004C217F">
        <w:t>excrétion</w:t>
      </w:r>
      <w:r>
        <w:t xml:space="preserve"> de K+</w:t>
      </w:r>
    </w:p>
    <w:p w:rsidR="00036214" w:rsidRDefault="004C217F" w:rsidP="00036214">
      <w:r w:rsidRPr="004C217F">
        <w:rPr>
          <w:color w:val="FF0000"/>
        </w:rPr>
        <w:t>Défaut</w:t>
      </w:r>
      <w:r w:rsidR="00036214" w:rsidRPr="004C217F">
        <w:rPr>
          <w:color w:val="FF0000"/>
        </w:rPr>
        <w:t xml:space="preserve"> </w:t>
      </w:r>
      <w:r w:rsidR="00036214">
        <w:t>d’</w:t>
      </w:r>
      <w:r>
        <w:t>élimination</w:t>
      </w:r>
      <w:r w:rsidR="00036214">
        <w:t xml:space="preserve"> </w:t>
      </w:r>
      <w:r w:rsidRPr="004C217F">
        <w:rPr>
          <w:color w:val="FF0000"/>
        </w:rPr>
        <w:t>rénale</w:t>
      </w:r>
      <w:r w:rsidR="00036214" w:rsidRPr="004C217F">
        <w:rPr>
          <w:color w:val="FF0000"/>
        </w:rPr>
        <w:t> </w:t>
      </w:r>
      <w:r w:rsidR="00036214">
        <w:t>:</w:t>
      </w:r>
    </w:p>
    <w:p w:rsidR="00036214" w:rsidRDefault="00036214" w:rsidP="00036214">
      <w:pPr>
        <w:pStyle w:val="Style1"/>
      </w:pPr>
      <w:r>
        <w:t>IRA, IRC</w:t>
      </w:r>
    </w:p>
    <w:p w:rsidR="00036214" w:rsidRDefault="0098292E" w:rsidP="00036214">
      <w:pPr>
        <w:pStyle w:val="Style1"/>
      </w:pPr>
      <w:r w:rsidRPr="004C217F">
        <w:rPr>
          <w:color w:val="FF0000"/>
        </w:rPr>
        <w:t xml:space="preserve">Hypoaldosteronisme </w:t>
      </w:r>
      <w:r>
        <w:t>de l’IRA</w:t>
      </w:r>
    </w:p>
    <w:p w:rsidR="0098292E" w:rsidRDefault="004C217F" w:rsidP="00036214">
      <w:pPr>
        <w:pStyle w:val="Style1"/>
      </w:pPr>
      <w:r>
        <w:t>Médicaments</w:t>
      </w:r>
    </w:p>
    <w:p w:rsidR="0098292E" w:rsidRDefault="0098292E" w:rsidP="00036214">
      <w:pPr>
        <w:pStyle w:val="Style1"/>
      </w:pPr>
      <w:r>
        <w:t>Génétique</w:t>
      </w:r>
    </w:p>
    <w:p w:rsidR="0098292E" w:rsidRDefault="0098292E" w:rsidP="0098292E">
      <w:pPr>
        <w:pStyle w:val="Style1"/>
        <w:numPr>
          <w:ilvl w:val="0"/>
          <w:numId w:val="0"/>
        </w:numPr>
        <w:ind w:left="2136" w:hanging="360"/>
      </w:pPr>
    </w:p>
    <w:p w:rsidR="0098292E" w:rsidRDefault="0098292E" w:rsidP="0098292E">
      <w:pPr>
        <w:pStyle w:val="Style1"/>
        <w:numPr>
          <w:ilvl w:val="0"/>
          <w:numId w:val="0"/>
        </w:numPr>
        <w:ind w:left="2136" w:hanging="360"/>
      </w:pPr>
      <w:bookmarkStart w:id="0" w:name="_GoBack"/>
      <w:bookmarkEnd w:id="0"/>
    </w:p>
    <w:p w:rsidR="0098292E" w:rsidRDefault="0098292E" w:rsidP="0098292E">
      <w:pPr>
        <w:pStyle w:val="Style1"/>
        <w:numPr>
          <w:ilvl w:val="0"/>
          <w:numId w:val="0"/>
        </w:numPr>
        <w:ind w:left="2136" w:hanging="360"/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0" locked="0" layoutInCell="1" allowOverlap="1" wp14:anchorId="5E02197F" wp14:editId="1199043E">
            <wp:simplePos x="0" y="0"/>
            <wp:positionH relativeFrom="column">
              <wp:posOffset>-309245</wp:posOffset>
            </wp:positionH>
            <wp:positionV relativeFrom="paragraph">
              <wp:posOffset>-236220</wp:posOffset>
            </wp:positionV>
            <wp:extent cx="6654800" cy="4519930"/>
            <wp:effectExtent l="0" t="0" r="0" b="0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0" cy="451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292E" w:rsidRPr="00036214" w:rsidRDefault="0098292E" w:rsidP="0098292E">
      <w:pPr>
        <w:pStyle w:val="Style1"/>
        <w:numPr>
          <w:ilvl w:val="0"/>
          <w:numId w:val="0"/>
        </w:numPr>
      </w:pPr>
      <w:r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36447DFD" wp14:editId="7CA226FA">
            <wp:simplePos x="0" y="0"/>
            <wp:positionH relativeFrom="column">
              <wp:posOffset>-313690</wp:posOffset>
            </wp:positionH>
            <wp:positionV relativeFrom="paragraph">
              <wp:posOffset>332740</wp:posOffset>
            </wp:positionV>
            <wp:extent cx="6540500" cy="4175125"/>
            <wp:effectExtent l="0" t="0" r="0" b="0"/>
            <wp:wrapTopAndBottom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417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292E" w:rsidRPr="000362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C9F2C3B8"/>
    <w:lvl w:ilvl="0" w:tplc="FBB84564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5808946E"/>
    <w:lvl w:ilvl="0" w:tplc="B6C2AC1A">
      <w:start w:val="1"/>
      <w:numFmt w:val="lowerLetter"/>
      <w:pStyle w:val="Titre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4"/>
    <w:lvlOverride w:ilvl="0">
      <w:startOverride w:val="1"/>
    </w:lvlOverride>
  </w:num>
  <w:num w:numId="28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779"/>
    <w:rsid w:val="00036214"/>
    <w:rsid w:val="001879ED"/>
    <w:rsid w:val="00214D60"/>
    <w:rsid w:val="00252B06"/>
    <w:rsid w:val="00390DEB"/>
    <w:rsid w:val="003C0F8C"/>
    <w:rsid w:val="004C217F"/>
    <w:rsid w:val="00562FA0"/>
    <w:rsid w:val="008D7779"/>
    <w:rsid w:val="0098292E"/>
    <w:rsid w:val="00B23188"/>
    <w:rsid w:val="00B30B32"/>
    <w:rsid w:val="00BD7184"/>
    <w:rsid w:val="00C91BBC"/>
    <w:rsid w:val="00D13263"/>
    <w:rsid w:val="00D5507D"/>
    <w:rsid w:val="00FB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D13263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036214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D13263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36214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8292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29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D13263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036214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D13263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36214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8292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829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334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6</vt:i4>
      </vt:variant>
    </vt:vector>
  </HeadingPairs>
  <TitlesOfParts>
    <vt:vector size="7" baseType="lpstr">
      <vt:lpstr/>
      <vt:lpstr>les dyskaliémies</vt:lpstr>
      <vt:lpstr>    potassium dans l’organisme</vt:lpstr>
      <vt:lpstr>        généralités</vt:lpstr>
      <vt:lpstr>        regulation de la kaliémie</vt:lpstr>
      <vt:lpstr>        hypokaliémies</vt:lpstr>
      <vt:lpstr>        hyperkaliémies</vt:lpstr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2012-06-08T10:33:00Z</dcterms:created>
  <dcterms:modified xsi:type="dcterms:W3CDTF">2012-06-08T11:22:00Z</dcterms:modified>
</cp:coreProperties>
</file>