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B3C" w:rsidRDefault="00DD6B3C" w:rsidP="00DD6B3C">
      <w:pPr>
        <w:pStyle w:val="Titre1"/>
      </w:pPr>
      <w:r>
        <w:t xml:space="preserve">   metabolisme du fer</w:t>
      </w:r>
      <w:r>
        <w:br/>
        <w:t>surcharges martiales</w:t>
      </w:r>
    </w:p>
    <w:p w:rsidR="00DD6B3C" w:rsidRDefault="00DD6B3C" w:rsidP="00DD6B3C">
      <w:pPr>
        <w:pStyle w:val="Titre2"/>
      </w:pPr>
      <w:r>
        <w:t>métabolisme du fer</w:t>
      </w:r>
    </w:p>
    <w:p w:rsidR="00DD6B3C" w:rsidRDefault="00DD6B3C" w:rsidP="00A36D1F">
      <w:pPr>
        <w:pStyle w:val="Titre3"/>
      </w:pPr>
      <w:r>
        <w:t>généralités</w:t>
      </w:r>
    </w:p>
    <w:p w:rsidR="00DD6B3C" w:rsidRDefault="00DD6B3C" w:rsidP="00DD6B3C">
      <w:r>
        <w:t>Le fer est indispensable (transport O2, cofacteur enzymatique)</w:t>
      </w:r>
    </w:p>
    <w:p w:rsidR="00DD6B3C" w:rsidRDefault="00DD6B3C" w:rsidP="00DD6B3C">
      <w:r>
        <w:t xml:space="preserve">Le fer </w:t>
      </w:r>
      <w:r w:rsidRPr="00DF49E6">
        <w:rPr>
          <w:color w:val="FF0000"/>
        </w:rPr>
        <w:t xml:space="preserve">libre </w:t>
      </w:r>
      <w:r>
        <w:t xml:space="preserve">est potentiellement </w:t>
      </w:r>
      <w:r w:rsidRPr="00DF49E6">
        <w:rPr>
          <w:color w:val="FF0000"/>
        </w:rPr>
        <w:t>toxique</w:t>
      </w:r>
      <w:r>
        <w:t xml:space="preserve">, insoluble et réagit avec l’O2 pour former des radicaux libres </w:t>
      </w:r>
      <w:r w:rsidRPr="00981C3F">
        <w:rPr>
          <w:rFonts w:ascii="Cambria" w:hAnsi="Cambria"/>
        </w:rPr>
        <w:t>→</w:t>
      </w:r>
      <w:r>
        <w:rPr>
          <w:rFonts w:ascii="Cambria" w:hAnsi="Cambria"/>
        </w:rPr>
        <w:t xml:space="preserve"> liaison a des prot de transport</w:t>
      </w:r>
    </w:p>
    <w:p w:rsidR="00DD6B3C" w:rsidRDefault="00C254E4" w:rsidP="00A36D1F">
      <w:pPr>
        <w:pStyle w:val="Titre3"/>
      </w:pPr>
      <w:r>
        <w:t>stocks de fer dans l’organisme</w:t>
      </w:r>
    </w:p>
    <w:p w:rsidR="00C254E4" w:rsidRDefault="00C254E4" w:rsidP="00C254E4">
      <w:r>
        <w:t>3-4g chez l’adulte</w:t>
      </w:r>
    </w:p>
    <w:p w:rsidR="00C254E4" w:rsidRDefault="00C254E4" w:rsidP="00C254E4">
      <w:pPr>
        <w:pStyle w:val="Style1"/>
      </w:pPr>
      <w:r>
        <w:t xml:space="preserve">Compartiment fonctionnel (70%)= fer des </w:t>
      </w:r>
      <w:r w:rsidR="00DF49E6">
        <w:t>hémoprotéines</w:t>
      </w:r>
    </w:p>
    <w:p w:rsidR="00C254E4" w:rsidRDefault="00C254E4" w:rsidP="00C254E4">
      <w:pPr>
        <w:pStyle w:val="Style1"/>
      </w:pPr>
      <w:r>
        <w:t xml:space="preserve">Compartiment de </w:t>
      </w:r>
      <w:r w:rsidR="00DF49E6" w:rsidRPr="00DF49E6">
        <w:rPr>
          <w:color w:val="FF0000"/>
        </w:rPr>
        <w:t>réserve</w:t>
      </w:r>
      <w:r w:rsidRPr="00DF49E6">
        <w:rPr>
          <w:color w:val="FF0000"/>
        </w:rPr>
        <w:t xml:space="preserve"> </w:t>
      </w:r>
      <w:r>
        <w:t xml:space="preserve">(30%)= </w:t>
      </w:r>
      <w:r w:rsidRPr="00DF49E6">
        <w:rPr>
          <w:color w:val="FF0000"/>
        </w:rPr>
        <w:t xml:space="preserve">ferritine </w:t>
      </w:r>
      <w:r>
        <w:t>(foie, rate, MO)</w:t>
      </w:r>
    </w:p>
    <w:p w:rsidR="00C254E4" w:rsidRDefault="00C254E4" w:rsidP="00C254E4">
      <w:pPr>
        <w:pStyle w:val="Style1"/>
      </w:pPr>
      <w:r>
        <w:t xml:space="preserve">Compartiment de </w:t>
      </w:r>
      <w:r w:rsidRPr="00DF49E6">
        <w:rPr>
          <w:color w:val="FF0000"/>
        </w:rPr>
        <w:t xml:space="preserve">transport </w:t>
      </w:r>
      <w:r>
        <w:t xml:space="preserve">(0,1%)= </w:t>
      </w:r>
      <w:r w:rsidR="00DF49E6">
        <w:t>transferrine</w:t>
      </w:r>
      <w:r>
        <w:t xml:space="preserve"> </w:t>
      </w:r>
      <w:r w:rsidRPr="00DF49E6">
        <w:rPr>
          <w:color w:val="FF0000"/>
        </w:rPr>
        <w:t>(CST= coef de saturation de la transferrine ~30%)</w:t>
      </w:r>
      <w:r w:rsidR="005D0E94" w:rsidRPr="00DF49E6">
        <w:rPr>
          <w:color w:val="FF0000"/>
        </w:rPr>
        <w:t xml:space="preserve"> </w:t>
      </w:r>
      <w:r w:rsidRPr="00DF49E6">
        <w:rPr>
          <w:color w:val="FF0000"/>
        </w:rPr>
        <w:t>(CTF= capacité totale de fixation</w:t>
      </w:r>
      <w:r w:rsidR="005D0E94" w:rsidRPr="00DF49E6">
        <w:rPr>
          <w:color w:val="FF0000"/>
        </w:rPr>
        <w:t>= transferrine (g/l) x25</w:t>
      </w:r>
      <w:r w:rsidR="005D0E94">
        <w:t>)</w:t>
      </w:r>
    </w:p>
    <w:p w:rsidR="005D0E94" w:rsidRDefault="005D0E94" w:rsidP="00A36D1F">
      <w:pPr>
        <w:pStyle w:val="Titre3"/>
      </w:pPr>
      <w:r>
        <w:t>metabolisme du fer dans l’organisme </w:t>
      </w:r>
    </w:p>
    <w:p w:rsidR="005D0E94" w:rsidRDefault="005D0E94" w:rsidP="005D0E94">
      <w:r>
        <w:t xml:space="preserve">Il est dit fermé car les pertes sont minimes et le fer est </w:t>
      </w:r>
      <w:r w:rsidRPr="00DF49E6">
        <w:rPr>
          <w:color w:val="FF0000"/>
        </w:rPr>
        <w:t>recyclé ++</w:t>
      </w:r>
    </w:p>
    <w:p w:rsidR="005D0E94" w:rsidRDefault="005D0E94" w:rsidP="00A36D1F">
      <w:pPr>
        <w:pStyle w:val="Titre4"/>
      </w:pPr>
      <w:r>
        <w:t>Balance externe du fer</w:t>
      </w:r>
    </w:p>
    <w:p w:rsidR="005D0E94" w:rsidRDefault="00DF49E6" w:rsidP="005D0E94">
      <w:r>
        <w:t>Absorption</w:t>
      </w:r>
      <w:r w:rsidR="005D0E94">
        <w:t xml:space="preserve"> intestinale : ajuste l’</w:t>
      </w:r>
      <w:r>
        <w:t>absorption</w:t>
      </w:r>
      <w:r w:rsidR="005D0E94">
        <w:t xml:space="preserve"> aux pertes</w:t>
      </w:r>
    </w:p>
    <w:p w:rsidR="005D0E94" w:rsidRDefault="005D0E94" w:rsidP="005D0E94">
      <w:r>
        <w:t>Pertes passives non ajustables : desquamation cut muqueuses, menstruations</w:t>
      </w:r>
    </w:p>
    <w:p w:rsidR="005D0E94" w:rsidRDefault="005D0E94" w:rsidP="005D0E94">
      <w:r>
        <w:t xml:space="preserve">Apports alimentaires </w:t>
      </w:r>
      <w:r w:rsidR="00DF49E6">
        <w:t>très</w:t>
      </w:r>
      <w:r>
        <w:t xml:space="preserve"> sup aux besoins (seul 1à-20% absorbé)</w:t>
      </w:r>
    </w:p>
    <w:p w:rsidR="00B65968" w:rsidRDefault="00DF49E6" w:rsidP="00B65968">
      <w:r>
        <w:t>Absorption</w:t>
      </w:r>
      <w:r w:rsidR="00B65968">
        <w:t xml:space="preserve"> du fer :</w:t>
      </w:r>
    </w:p>
    <w:p w:rsidR="00B65968" w:rsidRDefault="00B65968" w:rsidP="00B65968">
      <w:pPr>
        <w:pStyle w:val="Style1"/>
      </w:pPr>
      <w:r w:rsidRPr="00DF49E6">
        <w:rPr>
          <w:color w:val="FF0000"/>
        </w:rPr>
        <w:t>Non hémique </w:t>
      </w:r>
      <w:r w:rsidR="00DF49E6">
        <w:t>: gagne</w:t>
      </w:r>
      <w:r>
        <w:t xml:space="preserve"> le plasma par la </w:t>
      </w:r>
      <w:r w:rsidRPr="00DF49E6">
        <w:rPr>
          <w:color w:val="FF0000"/>
        </w:rPr>
        <w:t>ferroportine</w:t>
      </w:r>
      <w:r>
        <w:t xml:space="preserve"> puis se lie à la transferrine</w:t>
      </w:r>
    </w:p>
    <w:p w:rsidR="00B65968" w:rsidRDefault="00B65968" w:rsidP="00B65968">
      <w:pPr>
        <w:pStyle w:val="Style1"/>
      </w:pPr>
      <w:r w:rsidRPr="00DF49E6">
        <w:rPr>
          <w:color w:val="FF0000"/>
        </w:rPr>
        <w:t>Hémique </w:t>
      </w:r>
      <w:r>
        <w:t xml:space="preserve">: </w:t>
      </w:r>
      <w:r w:rsidR="00DF49E6">
        <w:t>rejoint</w:t>
      </w:r>
      <w:r>
        <w:t xml:space="preserve"> le fer </w:t>
      </w:r>
      <w:r w:rsidRPr="00DF49E6">
        <w:rPr>
          <w:color w:val="FF0000"/>
        </w:rPr>
        <w:t>cytosolique</w:t>
      </w:r>
    </w:p>
    <w:p w:rsidR="00B65968" w:rsidRDefault="00B65968" w:rsidP="00A36D1F">
      <w:pPr>
        <w:pStyle w:val="Titre4"/>
      </w:pPr>
      <w:r>
        <w:t>Balance interne du fer</w:t>
      </w:r>
    </w:p>
    <w:p w:rsidR="00B65968" w:rsidRDefault="00B65968" w:rsidP="00B65968">
      <w:r w:rsidRPr="00DF49E6">
        <w:rPr>
          <w:color w:val="FF0000"/>
        </w:rPr>
        <w:t xml:space="preserve">Recyclage macrophagique </w:t>
      </w:r>
      <w:r>
        <w:t>du fer</w:t>
      </w:r>
    </w:p>
    <w:p w:rsidR="00B65968" w:rsidRDefault="00B65968" w:rsidP="00B65968">
      <w:r>
        <w:t xml:space="preserve">Apres 120 jour les </w:t>
      </w:r>
      <w:r w:rsidR="00DF49E6">
        <w:t>érythrocytes</w:t>
      </w:r>
      <w:r>
        <w:t xml:space="preserve"> sont phagocytés et le fer </w:t>
      </w:r>
      <w:r w:rsidR="00DF49E6">
        <w:t>récupéré</w:t>
      </w:r>
      <w:r>
        <w:t xml:space="preserve"> par </w:t>
      </w:r>
      <w:r w:rsidR="00DF49E6">
        <w:t>les macrophages</w:t>
      </w:r>
      <w:r>
        <w:t xml:space="preserve"> </w:t>
      </w:r>
      <w:r w:rsidR="00DF49E6">
        <w:t>grâce</w:t>
      </w:r>
      <w:r>
        <w:t xml:space="preserve"> à l’hème </w:t>
      </w:r>
      <w:r w:rsidR="00DF49E6">
        <w:t>oxygénase</w:t>
      </w:r>
    </w:p>
    <w:p w:rsidR="00B65968" w:rsidRDefault="00B65968" w:rsidP="00B65968">
      <w:r w:rsidRPr="00DF49E6">
        <w:rPr>
          <w:color w:val="FF0000"/>
        </w:rPr>
        <w:t xml:space="preserve">Stockage </w:t>
      </w:r>
      <w:r w:rsidR="00DF49E6" w:rsidRPr="00DF49E6">
        <w:rPr>
          <w:color w:val="FF0000"/>
        </w:rPr>
        <w:t>hépatique</w:t>
      </w:r>
      <w:r w:rsidRPr="00DF49E6">
        <w:rPr>
          <w:color w:val="FF0000"/>
        </w:rPr>
        <w:t xml:space="preserve"> </w:t>
      </w:r>
      <w:r>
        <w:t xml:space="preserve">et </w:t>
      </w:r>
      <w:r w:rsidRPr="00DF49E6">
        <w:rPr>
          <w:color w:val="FF0000"/>
        </w:rPr>
        <w:t>macrophagique</w:t>
      </w:r>
    </w:p>
    <w:p w:rsidR="00CF04C4" w:rsidRDefault="00CF04C4" w:rsidP="00CF04C4">
      <w:r>
        <w:t xml:space="preserve">Captation cellulaire du fer : </w:t>
      </w:r>
      <w:r w:rsidRPr="00DF49E6">
        <w:rPr>
          <w:color w:val="FF0000"/>
        </w:rPr>
        <w:t xml:space="preserve">internalisé </w:t>
      </w:r>
      <w:r w:rsidR="00DF49E6">
        <w:t>grâce</w:t>
      </w:r>
      <w:r>
        <w:t xml:space="preserve"> à un </w:t>
      </w:r>
      <w:r w:rsidR="00DF49E6">
        <w:t>récepteur</w:t>
      </w:r>
      <w:r>
        <w:t xml:space="preserve"> à la transferrine (</w:t>
      </w:r>
      <w:r w:rsidRPr="00DF49E6">
        <w:rPr>
          <w:color w:val="FF0000"/>
        </w:rPr>
        <w:t>TfR1</w:t>
      </w:r>
      <w:r>
        <w:t>= érythroblastes/ 2=hépatocytes)</w:t>
      </w:r>
    </w:p>
    <w:p w:rsidR="00CF04C4" w:rsidRDefault="00CF04C4" w:rsidP="00CF04C4">
      <w:pPr>
        <w:numPr>
          <w:ilvl w:val="0"/>
          <w:numId w:val="0"/>
        </w:numPr>
        <w:ind w:left="720" w:hanging="360"/>
      </w:pPr>
    </w:p>
    <w:p w:rsidR="00CF04C4" w:rsidRDefault="00CF04C4" w:rsidP="00CF04C4">
      <w:pPr>
        <w:numPr>
          <w:ilvl w:val="0"/>
          <w:numId w:val="0"/>
        </w:numPr>
        <w:ind w:left="720" w:hanging="360"/>
      </w:pPr>
    </w:p>
    <w:p w:rsidR="00CF04C4" w:rsidRDefault="00CF04C4" w:rsidP="00CF04C4">
      <w:pPr>
        <w:numPr>
          <w:ilvl w:val="0"/>
          <w:numId w:val="0"/>
        </w:numPr>
        <w:ind w:left="720" w:hanging="360"/>
      </w:pPr>
    </w:p>
    <w:p w:rsidR="00CF04C4" w:rsidRDefault="00CF04C4" w:rsidP="00CF04C4">
      <w:pPr>
        <w:numPr>
          <w:ilvl w:val="0"/>
          <w:numId w:val="0"/>
        </w:numPr>
        <w:ind w:left="720" w:hanging="360"/>
      </w:pPr>
    </w:p>
    <w:p w:rsidR="00CF04C4" w:rsidRDefault="00CF04C4" w:rsidP="00A36D1F">
      <w:pPr>
        <w:pStyle w:val="Titre4"/>
      </w:pPr>
      <w:r>
        <w:lastRenderedPageBreak/>
        <w:t>Régulation recyclage et absorption du fer</w:t>
      </w:r>
    </w:p>
    <w:p w:rsidR="00CF04C4" w:rsidRDefault="00DF49E6" w:rsidP="00CF04C4">
      <w:r w:rsidRPr="00DF49E6">
        <w:rPr>
          <w:color w:val="FF0000"/>
        </w:rPr>
        <w:t>Régulation</w:t>
      </w:r>
      <w:r w:rsidR="00CF04C4" w:rsidRPr="00DF49E6">
        <w:rPr>
          <w:color w:val="FF0000"/>
        </w:rPr>
        <w:t xml:space="preserve"> directe </w:t>
      </w:r>
      <w:r w:rsidR="00CF04C4">
        <w:t xml:space="preserve">par le fer : </w:t>
      </w:r>
      <w:r w:rsidRPr="00DF49E6">
        <w:rPr>
          <w:color w:val="FF0000"/>
        </w:rPr>
        <w:t>rétro</w:t>
      </w:r>
      <w:r>
        <w:t>c</w:t>
      </w:r>
      <w:r w:rsidRPr="00DF49E6">
        <w:rPr>
          <w:color w:val="FF0000"/>
        </w:rPr>
        <w:t>ontrôle</w:t>
      </w:r>
      <w:r w:rsidR="00CF04C4" w:rsidRPr="00DF49E6">
        <w:rPr>
          <w:color w:val="FF0000"/>
        </w:rPr>
        <w:t xml:space="preserve"> </w:t>
      </w:r>
      <w:r w:rsidR="00CF04C4">
        <w:t xml:space="preserve">post transcriptionnel sur la </w:t>
      </w:r>
      <w:r w:rsidRPr="00DF49E6">
        <w:rPr>
          <w:color w:val="FF0000"/>
        </w:rPr>
        <w:t>synthèse</w:t>
      </w:r>
      <w:r w:rsidR="00CF04C4" w:rsidRPr="00DF49E6">
        <w:rPr>
          <w:color w:val="FF0000"/>
        </w:rPr>
        <w:t xml:space="preserve"> </w:t>
      </w:r>
      <w:r w:rsidR="00CF04C4">
        <w:t xml:space="preserve">des prot de son </w:t>
      </w:r>
      <w:r w:rsidRPr="00DF49E6">
        <w:rPr>
          <w:color w:val="FF0000"/>
        </w:rPr>
        <w:t>métabolisme</w:t>
      </w:r>
    </w:p>
    <w:p w:rsidR="00CF04C4" w:rsidRDefault="00DF49E6" w:rsidP="00CF04C4">
      <w:r>
        <w:t>Régulation</w:t>
      </w:r>
      <w:r w:rsidR="00CF04C4">
        <w:t xml:space="preserve"> par </w:t>
      </w:r>
      <w:r w:rsidR="00CF04C4" w:rsidRPr="00DF49E6">
        <w:rPr>
          <w:color w:val="FF0000"/>
        </w:rPr>
        <w:t>l’hepcidine </w:t>
      </w:r>
      <w:r w:rsidR="00CF04C4">
        <w:t>:</w:t>
      </w:r>
    </w:p>
    <w:p w:rsidR="00F12458" w:rsidRDefault="00F12458" w:rsidP="00CF04C4">
      <w:pPr>
        <w:pStyle w:val="Style1"/>
      </w:pPr>
      <w:r>
        <w:t xml:space="preserve">Peptide </w:t>
      </w:r>
      <w:r w:rsidR="00DF49E6">
        <w:t>antibactérien</w:t>
      </w:r>
      <w:r>
        <w:t xml:space="preserve"> $ par le foie </w:t>
      </w:r>
      <w:r w:rsidR="00DF49E6">
        <w:t>(gène</w:t>
      </w:r>
      <w:r>
        <w:t xml:space="preserve"> HAMP)</w:t>
      </w:r>
    </w:p>
    <w:p w:rsidR="00CF04C4" w:rsidRPr="00CF04C4" w:rsidRDefault="00CF04C4" w:rsidP="00CF04C4">
      <w:pPr>
        <w:pStyle w:val="Style1"/>
      </w:pPr>
      <w:r w:rsidRPr="00DF49E6">
        <w:rPr>
          <w:color w:val="FF0000"/>
        </w:rPr>
        <w:t xml:space="preserve">$ </w:t>
      </w:r>
      <w:r w:rsidRPr="00DF49E6">
        <w:rPr>
          <w:rFonts w:ascii="Cambria" w:hAnsi="Cambria"/>
          <w:color w:val="FF0000"/>
        </w:rPr>
        <w:t>↗en cas de surcharge martiale</w:t>
      </w:r>
    </w:p>
    <w:p w:rsidR="00CF04C4" w:rsidRPr="00CF04C4" w:rsidRDefault="00CF04C4" w:rsidP="00CF04C4">
      <w:pPr>
        <w:pStyle w:val="Style1"/>
      </w:pPr>
      <w:r>
        <w:t xml:space="preserve">$ </w:t>
      </w:r>
      <w:r w:rsidRPr="00944AE9">
        <w:rPr>
          <w:rFonts w:ascii="Cambria" w:hAnsi="Cambria"/>
        </w:rPr>
        <w:t>↘</w:t>
      </w:r>
      <w:r>
        <w:rPr>
          <w:rFonts w:ascii="Cambria" w:hAnsi="Cambria"/>
        </w:rPr>
        <w:t xml:space="preserve"> en cas de </w:t>
      </w:r>
      <w:r w:rsidR="00DF49E6">
        <w:rPr>
          <w:rFonts w:ascii="Cambria" w:hAnsi="Cambria"/>
        </w:rPr>
        <w:t>carence</w:t>
      </w:r>
      <w:r>
        <w:rPr>
          <w:rFonts w:ascii="Cambria" w:hAnsi="Cambria"/>
        </w:rPr>
        <w:t xml:space="preserve">, hypoxie, ou </w:t>
      </w:r>
      <w:r w:rsidRPr="00CF04C4">
        <w:rPr>
          <w:rFonts w:ascii="Cambria" w:hAnsi="Cambria"/>
        </w:rPr>
        <w:t>↗</w:t>
      </w:r>
      <w:r>
        <w:rPr>
          <w:rFonts w:ascii="Cambria" w:hAnsi="Cambria"/>
        </w:rPr>
        <w:t xml:space="preserve"> érythropoïèse</w:t>
      </w:r>
    </w:p>
    <w:p w:rsidR="00CF04C4" w:rsidRPr="00F12458" w:rsidRDefault="00F12458" w:rsidP="00CF04C4">
      <w:pPr>
        <w:pStyle w:val="Style1"/>
      </w:pPr>
      <w:r>
        <w:rPr>
          <w:rFonts w:ascii="Cambria" w:hAnsi="Cambria"/>
        </w:rPr>
        <w:t xml:space="preserve">Bloque l’export du fer par </w:t>
      </w:r>
      <w:r w:rsidRPr="00DF49E6">
        <w:rPr>
          <w:rFonts w:ascii="Cambria" w:hAnsi="Cambria"/>
          <w:color w:val="FF0000"/>
        </w:rPr>
        <w:t xml:space="preserve">internalisation </w:t>
      </w:r>
      <w:r>
        <w:rPr>
          <w:rFonts w:ascii="Cambria" w:hAnsi="Cambria"/>
        </w:rPr>
        <w:t xml:space="preserve">de la </w:t>
      </w:r>
      <w:r w:rsidRPr="00DF49E6">
        <w:rPr>
          <w:rFonts w:ascii="Cambria" w:hAnsi="Cambria"/>
          <w:color w:val="FF0000"/>
        </w:rPr>
        <w:t xml:space="preserve">ferroportine </w:t>
      </w:r>
      <w:r>
        <w:rPr>
          <w:rFonts w:ascii="Cambria" w:hAnsi="Cambria"/>
        </w:rPr>
        <w:t xml:space="preserve">(le fer des </w:t>
      </w:r>
      <w:r w:rsidR="00DF49E6">
        <w:rPr>
          <w:rFonts w:ascii="Cambria" w:hAnsi="Cambria"/>
        </w:rPr>
        <w:t>anthérocytes</w:t>
      </w:r>
      <w:r>
        <w:rPr>
          <w:rFonts w:ascii="Cambria" w:hAnsi="Cambria"/>
        </w:rPr>
        <w:t xml:space="preserve"> sera </w:t>
      </w:r>
      <w:r w:rsidR="00DF49E6">
        <w:rPr>
          <w:rFonts w:ascii="Cambria" w:hAnsi="Cambria"/>
        </w:rPr>
        <w:t>éliminé</w:t>
      </w:r>
      <w:r>
        <w:rPr>
          <w:rFonts w:ascii="Cambria" w:hAnsi="Cambria"/>
        </w:rPr>
        <w:t xml:space="preserve"> par desquamation)</w:t>
      </w:r>
    </w:p>
    <w:p w:rsidR="00F12458" w:rsidRDefault="00F12458" w:rsidP="00CF04C4">
      <w:pPr>
        <w:pStyle w:val="Style1"/>
      </w:pPr>
      <w:r>
        <w:t xml:space="preserve">Mutation HAMP ou ferroportine= surcharge= </w:t>
      </w:r>
      <w:r w:rsidR="00DF49E6">
        <w:t>hémochromatose</w:t>
      </w:r>
    </w:p>
    <w:p w:rsidR="00F12458" w:rsidRDefault="00F12458" w:rsidP="00F12458">
      <w:pPr>
        <w:pStyle w:val="Style1"/>
        <w:numPr>
          <w:ilvl w:val="0"/>
          <w:numId w:val="0"/>
        </w:numPr>
        <w:ind w:left="2136" w:hanging="360"/>
      </w:pPr>
    </w:p>
    <w:p w:rsidR="00F12458" w:rsidRDefault="00F12458" w:rsidP="00F12458">
      <w:pPr>
        <w:pStyle w:val="Titre2"/>
      </w:pPr>
      <w:r>
        <w:t>diagnostic biologique d’une hemochromatose</w:t>
      </w:r>
    </w:p>
    <w:p w:rsidR="00DD2375" w:rsidRPr="00DD2375" w:rsidRDefault="00DD2375" w:rsidP="00DD2375">
      <w:pPr>
        <w:numPr>
          <w:ilvl w:val="0"/>
          <w:numId w:val="0"/>
        </w:numPr>
        <w:ind w:left="720" w:hanging="360"/>
      </w:pPr>
    </w:p>
    <w:p w:rsidR="00F12458" w:rsidRDefault="00DD2375" w:rsidP="00F12458">
      <w:r>
        <w:t xml:space="preserve">Dosage du fer </w:t>
      </w:r>
      <w:r w:rsidR="00DF49E6">
        <w:t>sérique</w:t>
      </w:r>
      <w:r>
        <w:t> : peu d’</w:t>
      </w:r>
      <w:r w:rsidR="00DF49E6">
        <w:t>intérêt</w:t>
      </w:r>
      <w:r>
        <w:t xml:space="preserve"> seul</w:t>
      </w:r>
    </w:p>
    <w:p w:rsidR="00DD2375" w:rsidRDefault="00DD2375" w:rsidP="00F12458">
      <w:r>
        <w:t xml:space="preserve">Dosage </w:t>
      </w:r>
      <w:r w:rsidRPr="00DF49E6">
        <w:rPr>
          <w:color w:val="FF0000"/>
        </w:rPr>
        <w:t>transferrine </w:t>
      </w:r>
      <w:r>
        <w:t>:</w:t>
      </w:r>
    </w:p>
    <w:p w:rsidR="00DD2375" w:rsidRDefault="00DD2375" w:rsidP="00DD2375">
      <w:pPr>
        <w:pStyle w:val="Style1"/>
      </w:pPr>
      <w:r>
        <w:t xml:space="preserve">Calcul </w:t>
      </w:r>
      <w:r w:rsidRPr="00DF49E6">
        <w:rPr>
          <w:color w:val="FF0000"/>
        </w:rPr>
        <w:t>CST</w:t>
      </w:r>
      <w:r w:rsidR="008D7735" w:rsidRPr="00DF49E6">
        <w:rPr>
          <w:color w:val="FF0000"/>
        </w:rPr>
        <w:t xml:space="preserve"> </w:t>
      </w:r>
      <w:r w:rsidR="00DF49E6" w:rsidRPr="00DF49E6">
        <w:rPr>
          <w:color w:val="FF0000"/>
        </w:rPr>
        <w:t>élément</w:t>
      </w:r>
      <w:r w:rsidR="008D7735" w:rsidRPr="00DF49E6">
        <w:rPr>
          <w:color w:val="FF0000"/>
        </w:rPr>
        <w:t xml:space="preserve"> </w:t>
      </w:r>
      <w:r w:rsidR="008D7735">
        <w:t>clé ++</w:t>
      </w:r>
    </w:p>
    <w:p w:rsidR="008D7735" w:rsidRPr="008D7735" w:rsidRDefault="008D7735" w:rsidP="00DD2375">
      <w:pPr>
        <w:pStyle w:val="Style1"/>
      </w:pP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= </w:t>
      </w:r>
      <w:r w:rsidR="00DF49E6">
        <w:rPr>
          <w:rFonts w:ascii="Cambria" w:hAnsi="Cambria"/>
        </w:rPr>
        <w:t>hémochromatose</w:t>
      </w:r>
    </w:p>
    <w:p w:rsidR="008D7735" w:rsidRPr="008D7735" w:rsidRDefault="008D7735" w:rsidP="00DD2375">
      <w:pPr>
        <w:pStyle w:val="Style1"/>
      </w:pPr>
      <w:r w:rsidRPr="00DF49E6">
        <w:rPr>
          <w:rFonts w:ascii="Cambria" w:hAnsi="Cambria"/>
          <w:color w:val="FF0000"/>
        </w:rPr>
        <w:t xml:space="preserve">Faux </w:t>
      </w:r>
      <w:r w:rsidR="00DF49E6" w:rsidRPr="00DF49E6">
        <w:rPr>
          <w:rFonts w:ascii="Cambria" w:hAnsi="Cambria"/>
          <w:color w:val="FF0000"/>
        </w:rPr>
        <w:t>positifs</w:t>
      </w:r>
      <w:r w:rsidRPr="00DF49E6">
        <w:rPr>
          <w:rFonts w:ascii="Cambria" w:hAnsi="Cambria"/>
          <w:color w:val="FF0000"/>
        </w:rPr>
        <w:t xml:space="preserve"> </w:t>
      </w:r>
      <w:r>
        <w:rPr>
          <w:rFonts w:ascii="Cambria" w:hAnsi="Cambria"/>
        </w:rPr>
        <w:t>++ : cytolyse hépatique= relargage de fer, insuff hépatique =</w:t>
      </w:r>
      <w:r w:rsidRPr="008D7735">
        <w:rPr>
          <w:rFonts w:ascii="Cambria" w:hAnsi="Cambria"/>
        </w:rPr>
        <w:t>↘</w:t>
      </w:r>
      <w:r>
        <w:rPr>
          <w:rFonts w:ascii="Cambria" w:hAnsi="Cambria"/>
        </w:rPr>
        <w:t>$ transferrine</w:t>
      </w:r>
    </w:p>
    <w:p w:rsidR="008D7735" w:rsidRDefault="008D7735" w:rsidP="008D7735">
      <w:r w:rsidRPr="00DF49E6">
        <w:rPr>
          <w:color w:val="FF0000"/>
        </w:rPr>
        <w:t xml:space="preserve">Dosage </w:t>
      </w:r>
      <w:r>
        <w:t xml:space="preserve">de la </w:t>
      </w:r>
      <w:r w:rsidRPr="00DF49E6">
        <w:rPr>
          <w:color w:val="FF0000"/>
        </w:rPr>
        <w:t xml:space="preserve">ferritinémie </w:t>
      </w:r>
      <w:r>
        <w:t>(proportionnelle à la concentration de ferritine cellulaire)</w:t>
      </w:r>
    </w:p>
    <w:p w:rsidR="008D7735" w:rsidRDefault="008D7735" w:rsidP="008D7735">
      <w:pPr>
        <w:pStyle w:val="Style1"/>
      </w:pPr>
      <w:r>
        <w:t xml:space="preserve">Normale= </w:t>
      </w:r>
      <w:r w:rsidR="00DF49E6">
        <w:t>réserve</w:t>
      </w:r>
      <w:r>
        <w:t xml:space="preserve"> normale, mais une </w:t>
      </w:r>
      <w:r w:rsidR="00DF49E6" w:rsidRPr="00DF49E6">
        <w:rPr>
          <w:color w:val="FF0000"/>
        </w:rPr>
        <w:t>hémochromatose</w:t>
      </w:r>
      <w:r w:rsidRPr="00DF49E6">
        <w:rPr>
          <w:color w:val="FF0000"/>
        </w:rPr>
        <w:t xml:space="preserve"> débute </w:t>
      </w:r>
      <w:r>
        <w:t xml:space="preserve">par une surcharge plasmatique sans </w:t>
      </w:r>
      <w:r w:rsidR="00DF49E6">
        <w:t>surcharge</w:t>
      </w:r>
      <w:r>
        <w:t xml:space="preserve"> cellulaire</w:t>
      </w:r>
    </w:p>
    <w:p w:rsidR="008D7735" w:rsidRPr="008D7735" w:rsidRDefault="008D7735" w:rsidP="008D7735">
      <w:pPr>
        <w:pStyle w:val="Style1"/>
      </w:pPr>
      <w:r w:rsidRPr="000F416B">
        <w:rPr>
          <w:rFonts w:ascii="Cambria" w:hAnsi="Cambria"/>
        </w:rPr>
        <w:t>↗</w:t>
      </w:r>
      <w:r>
        <w:rPr>
          <w:rFonts w:ascii="Cambria" w:hAnsi="Cambria"/>
        </w:rPr>
        <w:t xml:space="preserve"> ferritinémie= hémochromatose</w:t>
      </w:r>
    </w:p>
    <w:p w:rsidR="008D7735" w:rsidRPr="00A36D1F" w:rsidRDefault="00A36D1F" w:rsidP="008D7735">
      <w:pPr>
        <w:pStyle w:val="Style1"/>
      </w:pPr>
      <w:r w:rsidRPr="00DF49E6">
        <w:rPr>
          <w:noProof/>
          <w:color w:val="FF0000"/>
          <w:lang w:val="fr-FR" w:eastAsia="fr-FR"/>
        </w:rPr>
        <w:drawing>
          <wp:anchor distT="0" distB="0" distL="114300" distR="114300" simplePos="0" relativeHeight="251658240" behindDoc="0" locked="0" layoutInCell="1" allowOverlap="1" wp14:anchorId="26736B52" wp14:editId="34E8F930">
            <wp:simplePos x="0" y="0"/>
            <wp:positionH relativeFrom="column">
              <wp:posOffset>678180</wp:posOffset>
            </wp:positionH>
            <wp:positionV relativeFrom="paragraph">
              <wp:posOffset>245745</wp:posOffset>
            </wp:positionV>
            <wp:extent cx="4140200" cy="531495"/>
            <wp:effectExtent l="0" t="0" r="0" b="1905"/>
            <wp:wrapTopAndBottom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0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735" w:rsidRPr="00DF49E6">
        <w:rPr>
          <w:rFonts w:ascii="Cambria" w:hAnsi="Cambria"/>
          <w:color w:val="FF0000"/>
        </w:rPr>
        <w:t xml:space="preserve">Faux positifs </w:t>
      </w:r>
      <w:r w:rsidR="008D7735">
        <w:rPr>
          <w:rFonts w:ascii="Cambria" w:hAnsi="Cambria"/>
        </w:rPr>
        <w:t>++ (</w:t>
      </w:r>
      <w:r w:rsidR="00DF49E6">
        <w:rPr>
          <w:rFonts w:ascii="Cambria" w:hAnsi="Cambria"/>
        </w:rPr>
        <w:t>inflammation,</w:t>
      </w:r>
      <w:r w:rsidR="008D7735">
        <w:rPr>
          <w:rFonts w:ascii="Cambria" w:hAnsi="Cambria"/>
        </w:rPr>
        <w:t xml:space="preserve"> cytolyse, DT2</w:t>
      </w:r>
      <w:r w:rsidR="00DF49E6">
        <w:rPr>
          <w:rFonts w:ascii="Cambria" w:hAnsi="Cambria"/>
        </w:rPr>
        <w:t>...)</w:t>
      </w:r>
    </w:p>
    <w:p w:rsidR="00A36D1F" w:rsidRDefault="00A36D1F" w:rsidP="00A36D1F">
      <w:pPr>
        <w:pStyle w:val="Style1"/>
        <w:numPr>
          <w:ilvl w:val="0"/>
          <w:numId w:val="0"/>
        </w:numPr>
        <w:ind w:left="2136" w:hanging="360"/>
        <w:rPr>
          <w:rFonts w:ascii="Cambria" w:hAnsi="Cambria"/>
        </w:rPr>
      </w:pPr>
    </w:p>
    <w:p w:rsidR="00A36D1F" w:rsidRDefault="00A36D1F" w:rsidP="00A36D1F">
      <w:pPr>
        <w:pStyle w:val="Titre2"/>
      </w:pPr>
      <w:r>
        <w:t>hemochromatoses</w:t>
      </w:r>
    </w:p>
    <w:p w:rsidR="00A36D1F" w:rsidRDefault="00A36D1F" w:rsidP="00A36D1F">
      <w:pPr>
        <w:pStyle w:val="Titre3"/>
        <w:numPr>
          <w:ilvl w:val="0"/>
          <w:numId w:val="27"/>
        </w:numPr>
      </w:pPr>
      <w:r>
        <w:t>definition et physiopathologie</w:t>
      </w:r>
    </w:p>
    <w:p w:rsidR="00A36D1F" w:rsidRDefault="000C5FD5" w:rsidP="00A36D1F">
      <w:r>
        <w:t>Surcharge martiale plasma+ tissus d’origine génétique</w:t>
      </w:r>
    </w:p>
    <w:p w:rsidR="000C5FD5" w:rsidRDefault="00DF49E6" w:rsidP="000C5FD5">
      <w:r w:rsidRPr="00DF49E6">
        <w:rPr>
          <w:color w:val="FF0000"/>
        </w:rPr>
        <w:t>Défaut</w:t>
      </w:r>
      <w:r w:rsidR="000C5FD5" w:rsidRPr="00DF49E6">
        <w:rPr>
          <w:color w:val="FF0000"/>
        </w:rPr>
        <w:t xml:space="preserve"> </w:t>
      </w:r>
      <w:r w:rsidR="000C5FD5">
        <w:t xml:space="preserve">d’action de </w:t>
      </w:r>
      <w:r w:rsidR="000C5FD5" w:rsidRPr="00DF49E6">
        <w:rPr>
          <w:color w:val="FF0000"/>
        </w:rPr>
        <w:t xml:space="preserve">l’hepcidine  </w:t>
      </w:r>
      <w:r w:rsidR="000C5FD5">
        <w:t>(</w:t>
      </w:r>
      <w:r>
        <w:t>défaut</w:t>
      </w:r>
      <w:r w:rsidR="000C5FD5">
        <w:t xml:space="preserve"> de </w:t>
      </w:r>
      <w:r>
        <w:t>synthèse</w:t>
      </w:r>
      <w:r w:rsidR="000C5FD5">
        <w:t xml:space="preserve"> ou </w:t>
      </w:r>
      <w:r>
        <w:t>résistance</w:t>
      </w:r>
      <w:r w:rsidR="000C5FD5">
        <w:t>)</w:t>
      </w:r>
    </w:p>
    <w:p w:rsidR="000C5FD5" w:rsidRDefault="000C5FD5" w:rsidP="000C5FD5">
      <w:r>
        <w:t>Hyperabsorption du fer :</w:t>
      </w:r>
    </w:p>
    <w:p w:rsidR="000C5FD5" w:rsidRDefault="000C5FD5" w:rsidP="000C5FD5">
      <w:pPr>
        <w:pStyle w:val="Style1"/>
      </w:pPr>
      <w:r>
        <w:t xml:space="preserve">1) saturation du compartiment </w:t>
      </w:r>
      <w:r w:rsidRPr="000C5FD5">
        <w:rPr>
          <w:color w:val="FF0000"/>
        </w:rPr>
        <w:t xml:space="preserve">plasmatique </w:t>
      </w:r>
      <w:r>
        <w:t>(CST&gt;45%)</w:t>
      </w:r>
    </w:p>
    <w:p w:rsidR="000C5FD5" w:rsidRPr="000C5FD5" w:rsidRDefault="000C5FD5" w:rsidP="000C5FD5">
      <w:pPr>
        <w:pStyle w:val="Style1"/>
      </w:pPr>
      <w:r>
        <w:t xml:space="preserve">2) accumulation tissulaire= </w:t>
      </w:r>
      <w:r w:rsidRPr="000F416B">
        <w:rPr>
          <w:rFonts w:ascii="Cambria" w:hAnsi="Cambria"/>
        </w:rPr>
        <w:t>↗</w:t>
      </w:r>
      <w:r w:rsidRPr="000C5FD5">
        <w:rPr>
          <w:rFonts w:ascii="Cambria" w:hAnsi="Cambria"/>
          <w:color w:val="FF0000"/>
        </w:rPr>
        <w:t>ferritine secondaire</w:t>
      </w:r>
    </w:p>
    <w:p w:rsidR="000C5FD5" w:rsidRDefault="000C5FD5" w:rsidP="000C5FD5">
      <w:pPr>
        <w:pStyle w:val="Style1"/>
        <w:numPr>
          <w:ilvl w:val="0"/>
          <w:numId w:val="0"/>
        </w:numPr>
        <w:ind w:left="2136" w:hanging="360"/>
      </w:pPr>
    </w:p>
    <w:p w:rsidR="000C5FD5" w:rsidRDefault="000C5FD5" w:rsidP="000C5FD5">
      <w:pPr>
        <w:pStyle w:val="Style1"/>
        <w:numPr>
          <w:ilvl w:val="0"/>
          <w:numId w:val="0"/>
        </w:numPr>
        <w:ind w:left="2136" w:hanging="360"/>
      </w:pPr>
    </w:p>
    <w:p w:rsidR="000C5FD5" w:rsidRDefault="000C5FD5" w:rsidP="000C5FD5">
      <w:pPr>
        <w:pStyle w:val="Style1"/>
        <w:numPr>
          <w:ilvl w:val="0"/>
          <w:numId w:val="0"/>
        </w:numPr>
        <w:ind w:left="2136" w:hanging="360"/>
      </w:pPr>
    </w:p>
    <w:p w:rsidR="000C5FD5" w:rsidRDefault="000C5FD5" w:rsidP="000C5FD5">
      <w:pPr>
        <w:pStyle w:val="Titre3"/>
      </w:pPr>
      <w:r>
        <w:t xml:space="preserve">diagnostic </w:t>
      </w:r>
      <w:r w:rsidRPr="00DF49E6">
        <w:rPr>
          <w:color w:val="FF0000"/>
        </w:rPr>
        <w:t>differentiel</w:t>
      </w:r>
    </w:p>
    <w:p w:rsidR="000C5FD5" w:rsidRDefault="000C5FD5" w:rsidP="000C5FD5">
      <w:r>
        <w:t xml:space="preserve">Hyperferritinemies </w:t>
      </w:r>
      <w:r w:rsidR="00DF49E6">
        <w:t>héréditaires</w:t>
      </w:r>
      <w:r>
        <w:t> :</w:t>
      </w:r>
    </w:p>
    <w:p w:rsidR="000C5FD5" w:rsidRDefault="000C5FD5" w:rsidP="000C5FD5">
      <w:pPr>
        <w:pStyle w:val="Style1"/>
      </w:pPr>
      <w:r>
        <w:t xml:space="preserve">Pas de surcharge plasmatique ! </w:t>
      </w:r>
      <w:r w:rsidRPr="00DF49E6">
        <w:rPr>
          <w:color w:val="FF0000"/>
        </w:rPr>
        <w:t>CST normal</w:t>
      </w:r>
    </w:p>
    <w:p w:rsidR="002050F4" w:rsidRDefault="002050F4" w:rsidP="002050F4">
      <w:r>
        <w:t xml:space="preserve">Surcharges martiales </w:t>
      </w:r>
      <w:r w:rsidRPr="00DF49E6">
        <w:rPr>
          <w:color w:val="FF0000"/>
        </w:rPr>
        <w:t>secondaires </w:t>
      </w:r>
      <w:r>
        <w:t>:</w:t>
      </w:r>
    </w:p>
    <w:p w:rsidR="002050F4" w:rsidRDefault="002050F4" w:rsidP="002050F4">
      <w:pPr>
        <w:pStyle w:val="Style1"/>
      </w:pPr>
      <w:r>
        <w:t>Nombreuses++</w:t>
      </w:r>
    </w:p>
    <w:p w:rsidR="002050F4" w:rsidRDefault="002050F4" w:rsidP="002050F4">
      <w:pPr>
        <w:pStyle w:val="Style1"/>
      </w:pPr>
      <w:r>
        <w:t>Causes hépatiques : hepatosideroses</w:t>
      </w:r>
    </w:p>
    <w:p w:rsidR="002050F4" w:rsidRDefault="002050F4" w:rsidP="002050F4">
      <w:pPr>
        <w:pStyle w:val="Style1"/>
      </w:pPr>
      <w:r>
        <w:t>Causes hematologiques : thalassémies, drépanocytose</w:t>
      </w:r>
    </w:p>
    <w:p w:rsidR="002050F4" w:rsidRDefault="002050F4" w:rsidP="002050F4">
      <w:pPr>
        <w:pStyle w:val="Style1"/>
      </w:pPr>
      <w:r>
        <w:t xml:space="preserve">Causes </w:t>
      </w:r>
      <w:r w:rsidR="00DF49E6">
        <w:t>iatrogènes</w:t>
      </w:r>
      <w:r>
        <w:t xml:space="preserve"> (transfusion, dialyse) et nutritionnelles</w:t>
      </w:r>
    </w:p>
    <w:p w:rsidR="002050F4" w:rsidRDefault="002050F4" w:rsidP="002050F4">
      <w:pPr>
        <w:pStyle w:val="Style1"/>
        <w:numPr>
          <w:ilvl w:val="0"/>
          <w:numId w:val="0"/>
        </w:numPr>
        <w:ind w:left="2136" w:hanging="360"/>
      </w:pPr>
    </w:p>
    <w:p w:rsidR="002050F4" w:rsidRDefault="002050F4" w:rsidP="002050F4">
      <w:pPr>
        <w:pStyle w:val="Titre3"/>
      </w:pPr>
      <w:r>
        <w:t>clinique</w:t>
      </w:r>
    </w:p>
    <w:p w:rsidR="002050F4" w:rsidRDefault="00DF49E6" w:rsidP="002050F4">
      <w:r>
        <w:t>Hémochromatose</w:t>
      </w:r>
      <w:r w:rsidR="002050F4">
        <w:t xml:space="preserve"> classique de l’adulte </w:t>
      </w:r>
    </w:p>
    <w:p w:rsidR="002050F4" w:rsidRDefault="002050F4" w:rsidP="002050F4">
      <w:r>
        <w:t xml:space="preserve">Accumulation </w:t>
      </w:r>
      <w:r w:rsidR="00DF49E6" w:rsidRPr="00DF49E6">
        <w:rPr>
          <w:color w:val="FF0000"/>
        </w:rPr>
        <w:t>progressive</w:t>
      </w:r>
      <w:r w:rsidRPr="00DF49E6">
        <w:rPr>
          <w:color w:val="FF0000"/>
        </w:rPr>
        <w:t xml:space="preserve"> </w:t>
      </w:r>
      <w:r>
        <w:t>du fer et destruction tissulaire</w:t>
      </w:r>
    </w:p>
    <w:p w:rsidR="002050F4" w:rsidRDefault="002050F4" w:rsidP="002050F4">
      <w:r>
        <w:t xml:space="preserve">Signes tardifs </w:t>
      </w:r>
      <w:r w:rsidRPr="00DF49E6">
        <w:rPr>
          <w:color w:val="FF0000"/>
        </w:rPr>
        <w:t>40 ans</w:t>
      </w:r>
    </w:p>
    <w:p w:rsidR="002050F4" w:rsidRDefault="002050F4" w:rsidP="002050F4">
      <w:r>
        <w:t xml:space="preserve">Triade classique : </w:t>
      </w:r>
      <w:r w:rsidRPr="00DF49E6">
        <w:rPr>
          <w:color w:val="FF0000"/>
        </w:rPr>
        <w:t xml:space="preserve">cirrhose, bronzé, </w:t>
      </w:r>
      <w:r w:rsidR="00DF49E6" w:rsidRPr="00DF49E6">
        <w:rPr>
          <w:color w:val="FF0000"/>
        </w:rPr>
        <w:t>diabète</w:t>
      </w:r>
    </w:p>
    <w:p w:rsidR="00CC303B" w:rsidRDefault="00CC303B" w:rsidP="00CC303B">
      <w:pPr>
        <w:numPr>
          <w:ilvl w:val="0"/>
          <w:numId w:val="0"/>
        </w:numPr>
        <w:ind w:left="720" w:hanging="360"/>
      </w:pPr>
    </w:p>
    <w:p w:rsidR="00CC303B" w:rsidRDefault="00CC303B" w:rsidP="00CC303B">
      <w:pPr>
        <w:pStyle w:val="Titre3"/>
      </w:pPr>
      <w:r>
        <w:t>biologie</w:t>
      </w:r>
    </w:p>
    <w:p w:rsidR="00A36D1F" w:rsidRDefault="00CC303B" w:rsidP="00CC303B">
      <w:r w:rsidRPr="00DF49E6">
        <w:rPr>
          <w:color w:val="FF0000"/>
        </w:rPr>
        <w:t xml:space="preserve">CST&gt;45%  </w:t>
      </w:r>
      <w:r>
        <w:t>à jeun, à deux reprises</w:t>
      </w:r>
    </w:p>
    <w:p w:rsidR="00CC303B" w:rsidRDefault="00DF49E6" w:rsidP="00CC303B">
      <w:r>
        <w:t>Elévation</w:t>
      </w:r>
      <w:r w:rsidR="00CC303B">
        <w:t xml:space="preserve"> </w:t>
      </w:r>
      <w:r w:rsidR="00CC303B" w:rsidRPr="00DF49E6">
        <w:rPr>
          <w:color w:val="FF0000"/>
        </w:rPr>
        <w:t xml:space="preserve">progressive de la ferritinémie </w:t>
      </w:r>
      <w:r w:rsidR="00CC303B">
        <w:t xml:space="preserve">(normale n’élimine pas l’hémochromatose débutante !) </w:t>
      </w:r>
    </w:p>
    <w:p w:rsidR="00CC303B" w:rsidRDefault="00CC303B" w:rsidP="00CC303B">
      <w:pPr>
        <w:numPr>
          <w:ilvl w:val="0"/>
          <w:numId w:val="0"/>
        </w:numPr>
        <w:ind w:left="720" w:hanging="360"/>
      </w:pPr>
    </w:p>
    <w:p w:rsidR="00CC303B" w:rsidRDefault="00CC303B" w:rsidP="00CC303B">
      <w:pPr>
        <w:pStyle w:val="Titre3"/>
      </w:pPr>
      <w:r>
        <w:t>imagerie</w:t>
      </w:r>
      <w:bookmarkStart w:id="0" w:name="_GoBack"/>
      <w:bookmarkEnd w:id="0"/>
    </w:p>
    <w:p w:rsidR="00CC303B" w:rsidRDefault="00CC303B" w:rsidP="00CC303B">
      <w:r>
        <w:t xml:space="preserve">IRM </w:t>
      </w:r>
      <w:r w:rsidR="00DF49E6">
        <w:t>hépatique</w:t>
      </w:r>
      <w:r>
        <w:t xml:space="preserve"> et </w:t>
      </w:r>
      <w:r w:rsidR="00DF49E6">
        <w:t>splénique</w:t>
      </w:r>
      <w:r>
        <w:t> : quantifie et localise la surcharge</w:t>
      </w:r>
    </w:p>
    <w:p w:rsidR="00D35AD1" w:rsidRDefault="00D35AD1" w:rsidP="00D35AD1">
      <w:pPr>
        <w:numPr>
          <w:ilvl w:val="0"/>
          <w:numId w:val="0"/>
        </w:numPr>
        <w:ind w:left="720" w:hanging="360"/>
      </w:pPr>
    </w:p>
    <w:p w:rsidR="00D35AD1" w:rsidRDefault="00D35AD1" w:rsidP="00D35AD1">
      <w:pPr>
        <w:pStyle w:val="Titre3"/>
      </w:pPr>
      <w:r>
        <w:t>diagnostic de certitude : etude génétique</w:t>
      </w:r>
    </w:p>
    <w:p w:rsidR="00D35AD1" w:rsidRDefault="00D35AD1" w:rsidP="00D35AD1">
      <w:r>
        <w:t>Type 1 : mutation HFE (95%)</w:t>
      </w:r>
    </w:p>
    <w:p w:rsidR="00D35AD1" w:rsidRDefault="00D35AD1" w:rsidP="00D35AD1">
      <w:r>
        <w:t>III : mutation TfR2</w:t>
      </w:r>
    </w:p>
    <w:p w:rsidR="00D35AD1" w:rsidRDefault="00D35AD1" w:rsidP="00D35AD1">
      <w:r>
        <w:t>Hémochromatoses juvéniles</w:t>
      </w:r>
    </w:p>
    <w:p w:rsidR="00D35AD1" w:rsidRDefault="00DF49E6" w:rsidP="00D35AD1">
      <w:r>
        <w:t>Hémochromatose</w:t>
      </w:r>
      <w:r w:rsidR="00D35AD1">
        <w:t xml:space="preserve"> type IVB : ferroportine </w:t>
      </w:r>
      <w:r>
        <w:t>résistante</w:t>
      </w:r>
      <w:r w:rsidR="00D35AD1">
        <w:t xml:space="preserve"> à l’hepcidine</w:t>
      </w:r>
    </w:p>
    <w:p w:rsidR="00D35AD1" w:rsidRDefault="00D35AD1" w:rsidP="00D35AD1">
      <w:pPr>
        <w:numPr>
          <w:ilvl w:val="0"/>
          <w:numId w:val="0"/>
        </w:numPr>
        <w:ind w:left="720" w:hanging="360"/>
      </w:pPr>
      <w:r>
        <w:rPr>
          <w:noProof/>
          <w:lang w:val="fr-FR" w:eastAsia="fr-FR"/>
        </w:rPr>
        <w:drawing>
          <wp:anchor distT="0" distB="0" distL="114300" distR="114300" simplePos="0" relativeHeight="251659264" behindDoc="1" locked="0" layoutInCell="1" allowOverlap="1" wp14:anchorId="0986F467" wp14:editId="195AB8A9">
            <wp:simplePos x="0" y="0"/>
            <wp:positionH relativeFrom="column">
              <wp:posOffset>2618740</wp:posOffset>
            </wp:positionH>
            <wp:positionV relativeFrom="paragraph">
              <wp:posOffset>160020</wp:posOffset>
            </wp:positionV>
            <wp:extent cx="3605530" cy="2286000"/>
            <wp:effectExtent l="0" t="0" r="0" b="0"/>
            <wp:wrapNone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553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5AD1" w:rsidRDefault="00D35AD1" w:rsidP="00D35AD1">
      <w:pPr>
        <w:numPr>
          <w:ilvl w:val="0"/>
          <w:numId w:val="0"/>
        </w:numPr>
        <w:ind w:left="720" w:hanging="360"/>
      </w:pPr>
    </w:p>
    <w:p w:rsidR="00D35AD1" w:rsidRDefault="00D35AD1" w:rsidP="00D35AD1">
      <w:pPr>
        <w:pStyle w:val="Titre3"/>
      </w:pPr>
      <w:r>
        <w:t>traitement de l’hémochromatose</w:t>
      </w:r>
    </w:p>
    <w:p w:rsidR="00D35AD1" w:rsidRDefault="00D35AD1" w:rsidP="00D35AD1">
      <w:r>
        <w:t xml:space="preserve">Saignées </w:t>
      </w:r>
    </w:p>
    <w:p w:rsidR="00D35AD1" w:rsidRPr="00D35AD1" w:rsidRDefault="00D35AD1" w:rsidP="00D35AD1">
      <w:pPr>
        <w:numPr>
          <w:ilvl w:val="0"/>
          <w:numId w:val="0"/>
        </w:numPr>
        <w:ind w:left="720" w:hanging="360"/>
      </w:pPr>
    </w:p>
    <w:sectPr w:rsidR="00D35AD1" w:rsidRPr="00D35A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A3B08"/>
    <w:multiLevelType w:val="hybridMultilevel"/>
    <w:tmpl w:val="DCF40966"/>
    <w:lvl w:ilvl="0" w:tplc="8FE6D7EC">
      <w:start w:val="1"/>
      <w:numFmt w:val="bullet"/>
      <w:pStyle w:val="Style1"/>
      <w:lvlText w:val=""/>
      <w:lvlJc w:val="left"/>
      <w:pPr>
        <w:ind w:left="213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">
    <w:nsid w:val="044209D0"/>
    <w:multiLevelType w:val="hybridMultilevel"/>
    <w:tmpl w:val="A4A4BAA6"/>
    <w:lvl w:ilvl="0" w:tplc="AEC8AB20">
      <w:start w:val="1"/>
      <w:numFmt w:val="lowerLetter"/>
      <w:lvlText w:val="%1)"/>
      <w:lvlJc w:val="left"/>
      <w:pPr>
        <w:ind w:left="1428" w:hanging="360"/>
      </w:pPr>
    </w:lvl>
    <w:lvl w:ilvl="1" w:tplc="040C0019" w:tentative="1">
      <w:start w:val="1"/>
      <w:numFmt w:val="lowerLetter"/>
      <w:lvlText w:val="%2."/>
      <w:lvlJc w:val="left"/>
      <w:pPr>
        <w:ind w:left="2148" w:hanging="360"/>
      </w:pPr>
    </w:lvl>
    <w:lvl w:ilvl="2" w:tplc="040C001B" w:tentative="1">
      <w:start w:val="1"/>
      <w:numFmt w:val="lowerRoman"/>
      <w:lvlText w:val="%3."/>
      <w:lvlJc w:val="right"/>
      <w:pPr>
        <w:ind w:left="2868" w:hanging="180"/>
      </w:pPr>
    </w:lvl>
    <w:lvl w:ilvl="3" w:tplc="040C000F" w:tentative="1">
      <w:start w:val="1"/>
      <w:numFmt w:val="decimal"/>
      <w:lvlText w:val="%4."/>
      <w:lvlJc w:val="left"/>
      <w:pPr>
        <w:ind w:left="3588" w:hanging="360"/>
      </w:pPr>
    </w:lvl>
    <w:lvl w:ilvl="4" w:tplc="040C0019" w:tentative="1">
      <w:start w:val="1"/>
      <w:numFmt w:val="lowerLetter"/>
      <w:lvlText w:val="%5."/>
      <w:lvlJc w:val="left"/>
      <w:pPr>
        <w:ind w:left="4308" w:hanging="360"/>
      </w:pPr>
    </w:lvl>
    <w:lvl w:ilvl="5" w:tplc="040C001B" w:tentative="1">
      <w:start w:val="1"/>
      <w:numFmt w:val="lowerRoman"/>
      <w:lvlText w:val="%6."/>
      <w:lvlJc w:val="right"/>
      <w:pPr>
        <w:ind w:left="5028" w:hanging="180"/>
      </w:pPr>
    </w:lvl>
    <w:lvl w:ilvl="6" w:tplc="040C000F" w:tentative="1">
      <w:start w:val="1"/>
      <w:numFmt w:val="decimal"/>
      <w:lvlText w:val="%7."/>
      <w:lvlJc w:val="left"/>
      <w:pPr>
        <w:ind w:left="5748" w:hanging="360"/>
      </w:pPr>
    </w:lvl>
    <w:lvl w:ilvl="7" w:tplc="040C0019" w:tentative="1">
      <w:start w:val="1"/>
      <w:numFmt w:val="lowerLetter"/>
      <w:lvlText w:val="%8."/>
      <w:lvlJc w:val="left"/>
      <w:pPr>
        <w:ind w:left="6468" w:hanging="360"/>
      </w:pPr>
    </w:lvl>
    <w:lvl w:ilvl="8" w:tplc="040C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0B5861B8"/>
    <w:multiLevelType w:val="hybridMultilevel"/>
    <w:tmpl w:val="2BD04E68"/>
    <w:lvl w:ilvl="0" w:tplc="DD46565A">
      <w:start w:val="1"/>
      <w:numFmt w:val="upperLetter"/>
      <w:pStyle w:val="Titre2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3D74850"/>
    <w:multiLevelType w:val="hybridMultilevel"/>
    <w:tmpl w:val="0E5E87E4"/>
    <w:lvl w:ilvl="0" w:tplc="AB1E3B40">
      <w:start w:val="1"/>
      <w:numFmt w:val="upperRoman"/>
      <w:pStyle w:val="Titre3"/>
      <w:lvlText w:val="%1."/>
      <w:lvlJc w:val="righ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66C84372"/>
    <w:multiLevelType w:val="hybridMultilevel"/>
    <w:tmpl w:val="6952FDB6"/>
    <w:lvl w:ilvl="0" w:tplc="45EE2870">
      <w:start w:val="1"/>
      <w:numFmt w:val="lowerLetter"/>
      <w:pStyle w:val="Titre4"/>
      <w:lvlText w:val="%1)"/>
      <w:lvlJc w:val="left"/>
      <w:pPr>
        <w:ind w:left="2136" w:hanging="360"/>
      </w:pPr>
    </w:lvl>
    <w:lvl w:ilvl="1" w:tplc="040C0019" w:tentative="1">
      <w:start w:val="1"/>
      <w:numFmt w:val="lowerLetter"/>
      <w:lvlText w:val="%2."/>
      <w:lvlJc w:val="left"/>
      <w:pPr>
        <w:ind w:left="2856" w:hanging="360"/>
      </w:pPr>
    </w:lvl>
    <w:lvl w:ilvl="2" w:tplc="040C001B" w:tentative="1">
      <w:start w:val="1"/>
      <w:numFmt w:val="lowerRoman"/>
      <w:lvlText w:val="%3."/>
      <w:lvlJc w:val="right"/>
      <w:pPr>
        <w:ind w:left="3576" w:hanging="180"/>
      </w:pPr>
    </w:lvl>
    <w:lvl w:ilvl="3" w:tplc="040C000F" w:tentative="1">
      <w:start w:val="1"/>
      <w:numFmt w:val="decimal"/>
      <w:lvlText w:val="%4."/>
      <w:lvlJc w:val="left"/>
      <w:pPr>
        <w:ind w:left="4296" w:hanging="360"/>
      </w:pPr>
    </w:lvl>
    <w:lvl w:ilvl="4" w:tplc="040C0019" w:tentative="1">
      <w:start w:val="1"/>
      <w:numFmt w:val="lowerLetter"/>
      <w:lvlText w:val="%5."/>
      <w:lvlJc w:val="left"/>
      <w:pPr>
        <w:ind w:left="5016" w:hanging="360"/>
      </w:pPr>
    </w:lvl>
    <w:lvl w:ilvl="5" w:tplc="040C001B" w:tentative="1">
      <w:start w:val="1"/>
      <w:numFmt w:val="lowerRoman"/>
      <w:lvlText w:val="%6."/>
      <w:lvlJc w:val="right"/>
      <w:pPr>
        <w:ind w:left="5736" w:hanging="180"/>
      </w:pPr>
    </w:lvl>
    <w:lvl w:ilvl="6" w:tplc="040C000F" w:tentative="1">
      <w:start w:val="1"/>
      <w:numFmt w:val="decimal"/>
      <w:lvlText w:val="%7."/>
      <w:lvlJc w:val="left"/>
      <w:pPr>
        <w:ind w:left="6456" w:hanging="360"/>
      </w:pPr>
    </w:lvl>
    <w:lvl w:ilvl="7" w:tplc="040C0019" w:tentative="1">
      <w:start w:val="1"/>
      <w:numFmt w:val="lowerLetter"/>
      <w:lvlText w:val="%8."/>
      <w:lvlJc w:val="left"/>
      <w:pPr>
        <w:ind w:left="7176" w:hanging="360"/>
      </w:pPr>
    </w:lvl>
    <w:lvl w:ilvl="8" w:tplc="040C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5">
    <w:nsid w:val="6B317EE5"/>
    <w:multiLevelType w:val="hybridMultilevel"/>
    <w:tmpl w:val="E3B89068"/>
    <w:lvl w:ilvl="0" w:tplc="137E250E">
      <w:start w:val="1"/>
      <w:numFmt w:val="bullet"/>
      <w:pStyle w:val="Nor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294C02"/>
    <w:multiLevelType w:val="hybridMultilevel"/>
    <w:tmpl w:val="585E7A60"/>
    <w:lvl w:ilvl="0" w:tplc="44085122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53AC"/>
    <w:multiLevelType w:val="hybridMultilevel"/>
    <w:tmpl w:val="5FEEA2FE"/>
    <w:lvl w:ilvl="0" w:tplc="1A28C2C0">
      <w:start w:val="1"/>
      <w:numFmt w:val="upperLetter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637811"/>
    <w:multiLevelType w:val="hybridMultilevel"/>
    <w:tmpl w:val="6248E1AE"/>
    <w:lvl w:ilvl="0" w:tplc="B248F37C">
      <w:start w:val="1"/>
      <w:numFmt w:val="upperLetter"/>
      <w:lvlText w:val="%1."/>
      <w:lvlJc w:val="left"/>
      <w:pPr>
        <w:ind w:left="1080" w:hanging="360"/>
      </w:pPr>
    </w:lvl>
    <w:lvl w:ilvl="1" w:tplc="040C0019" w:tentative="1">
      <w:start w:val="1"/>
      <w:numFmt w:val="lowerLetter"/>
      <w:lvlText w:val="%2."/>
      <w:lvlJc w:val="left"/>
      <w:pPr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5"/>
  </w:num>
  <w:num w:numId="3">
    <w:abstractNumId w:val="7"/>
  </w:num>
  <w:num w:numId="4">
    <w:abstractNumId w:val="6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5"/>
  </w:num>
  <w:num w:numId="10">
    <w:abstractNumId w:val="5"/>
  </w:num>
  <w:num w:numId="11">
    <w:abstractNumId w:val="5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5"/>
  </w:num>
  <w:num w:numId="17">
    <w:abstractNumId w:val="5"/>
  </w:num>
  <w:num w:numId="18">
    <w:abstractNumId w:val="5"/>
  </w:num>
  <w:num w:numId="19">
    <w:abstractNumId w:val="2"/>
  </w:num>
  <w:num w:numId="20">
    <w:abstractNumId w:val="8"/>
  </w:num>
  <w:num w:numId="21">
    <w:abstractNumId w:val="0"/>
  </w:num>
  <w:num w:numId="22">
    <w:abstractNumId w:val="1"/>
  </w:num>
  <w:num w:numId="23">
    <w:abstractNumId w:val="1"/>
  </w:num>
  <w:num w:numId="24">
    <w:abstractNumId w:val="3"/>
  </w:num>
  <w:num w:numId="25">
    <w:abstractNumId w:val="2"/>
  </w:num>
  <w:num w:numId="26">
    <w:abstractNumId w:val="4"/>
  </w:num>
  <w:num w:numId="27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B3C"/>
    <w:rsid w:val="000C5FD5"/>
    <w:rsid w:val="002050F4"/>
    <w:rsid w:val="00252B06"/>
    <w:rsid w:val="00390DEB"/>
    <w:rsid w:val="005D0E94"/>
    <w:rsid w:val="008D7735"/>
    <w:rsid w:val="00A36D1F"/>
    <w:rsid w:val="00B30B32"/>
    <w:rsid w:val="00B65968"/>
    <w:rsid w:val="00BD7184"/>
    <w:rsid w:val="00C254E4"/>
    <w:rsid w:val="00C91BBC"/>
    <w:rsid w:val="00CC303B"/>
    <w:rsid w:val="00CF04C4"/>
    <w:rsid w:val="00D13263"/>
    <w:rsid w:val="00D35AD1"/>
    <w:rsid w:val="00D5507D"/>
    <w:rsid w:val="00DD2375"/>
    <w:rsid w:val="00DD6B3C"/>
    <w:rsid w:val="00DF49E6"/>
    <w:rsid w:val="00F1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A36D1F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252B06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A36D1F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252B06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36D1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6D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fr-MC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texte"/>
    <w:qFormat/>
    <w:rsid w:val="00D5507D"/>
    <w:pPr>
      <w:numPr>
        <w:numId w:val="18"/>
      </w:numPr>
      <w:spacing w:after="80" w:line="240" w:lineRule="auto"/>
    </w:pPr>
  </w:style>
  <w:style w:type="paragraph" w:styleId="Titre1">
    <w:name w:val="heading 1"/>
    <w:basedOn w:val="Normal"/>
    <w:next w:val="Normal"/>
    <w:link w:val="Titre1Car"/>
    <w:uiPriority w:val="9"/>
    <w:qFormat/>
    <w:rsid w:val="00D5507D"/>
    <w:pPr>
      <w:numPr>
        <w:numId w:val="0"/>
      </w:numPr>
      <w:pBdr>
        <w:bottom w:val="thinThickSmallGap" w:sz="12" w:space="1" w:color="943634" w:themeColor="accent2" w:themeShade="BF"/>
      </w:pBdr>
      <w:spacing w:before="400"/>
      <w:ind w:left="720" w:hanging="360"/>
      <w:jc w:val="center"/>
      <w:outlineLvl w:val="0"/>
    </w:pPr>
    <w:rPr>
      <w:caps/>
      <w:color w:val="632423" w:themeColor="accent2" w:themeShade="80"/>
      <w:spacing w:val="20"/>
      <w:sz w:val="28"/>
      <w:szCs w:val="28"/>
    </w:rPr>
  </w:style>
  <w:style w:type="paragraph" w:styleId="Titre2">
    <w:name w:val="heading 2"/>
    <w:basedOn w:val="Normal"/>
    <w:next w:val="Normal"/>
    <w:link w:val="Titre2Car"/>
    <w:autoRedefine/>
    <w:uiPriority w:val="9"/>
    <w:unhideWhenUsed/>
    <w:qFormat/>
    <w:rsid w:val="00D13263"/>
    <w:pPr>
      <w:numPr>
        <w:numId w:val="19"/>
      </w:num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Titre3">
    <w:name w:val="heading 3"/>
    <w:basedOn w:val="Normal"/>
    <w:next w:val="Normal"/>
    <w:link w:val="Titre3Car"/>
    <w:autoRedefine/>
    <w:uiPriority w:val="9"/>
    <w:unhideWhenUsed/>
    <w:qFormat/>
    <w:rsid w:val="00A36D1F"/>
    <w:pPr>
      <w:numPr>
        <w:numId w:val="24"/>
      </w:numPr>
      <w:spacing w:before="300"/>
      <w:outlineLvl w:val="2"/>
    </w:pPr>
    <w:rPr>
      <w:caps/>
      <w:color w:val="622423" w:themeColor="accent2" w:themeShade="7F"/>
      <w:sz w:val="24"/>
      <w:szCs w:val="24"/>
      <w:u w:val="single"/>
    </w:rPr>
  </w:style>
  <w:style w:type="paragraph" w:styleId="Titre4">
    <w:name w:val="heading 4"/>
    <w:basedOn w:val="Titre3"/>
    <w:next w:val="Normal"/>
    <w:link w:val="Titre4Car"/>
    <w:autoRedefine/>
    <w:uiPriority w:val="9"/>
    <w:unhideWhenUsed/>
    <w:qFormat/>
    <w:rsid w:val="00252B06"/>
    <w:pPr>
      <w:numPr>
        <w:numId w:val="26"/>
      </w:numPr>
      <w:spacing w:after="120"/>
      <w:outlineLvl w:val="3"/>
    </w:pPr>
    <w:rPr>
      <w:caps w:val="0"/>
      <w:spacing w:val="10"/>
      <w:u w:val="dottedHeavy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D5507D"/>
    <w:pPr>
      <w:numPr>
        <w:numId w:val="0"/>
      </w:numPr>
      <w:spacing w:before="320" w:after="120"/>
      <w:ind w:left="720" w:hanging="360"/>
      <w:jc w:val="center"/>
      <w:outlineLvl w:val="4"/>
    </w:pPr>
    <w:rPr>
      <w:caps/>
      <w:color w:val="622423" w:themeColor="accent2" w:themeShade="7F"/>
      <w:spacing w:val="10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5"/>
    </w:pPr>
    <w:rPr>
      <w:caps/>
      <w:color w:val="943634" w:themeColor="accent2" w:themeShade="BF"/>
      <w:spacing w:val="10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6"/>
    </w:pPr>
    <w:rPr>
      <w:i/>
      <w:iCs/>
      <w:caps/>
      <w:color w:val="943634" w:themeColor="accent2" w:themeShade="BF"/>
      <w:spacing w:val="10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7"/>
    </w:pPr>
    <w:rPr>
      <w:caps/>
      <w:spacing w:val="10"/>
      <w:sz w:val="20"/>
      <w:szCs w:val="20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507D"/>
    <w:pPr>
      <w:numPr>
        <w:numId w:val="0"/>
      </w:numPr>
      <w:spacing w:after="120"/>
      <w:ind w:left="720" w:hanging="36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507D"/>
    <w:rPr>
      <w:caps/>
      <w:color w:val="632423" w:themeColor="accent2" w:themeShade="80"/>
      <w:spacing w:val="20"/>
      <w:sz w:val="28"/>
      <w:szCs w:val="28"/>
    </w:rPr>
  </w:style>
  <w:style w:type="character" w:customStyle="1" w:styleId="Titre2Car">
    <w:name w:val="Titre 2 Car"/>
    <w:basedOn w:val="Policepardfaut"/>
    <w:link w:val="Titre2"/>
    <w:uiPriority w:val="9"/>
    <w:rsid w:val="00D13263"/>
    <w:rPr>
      <w:caps/>
      <w:color w:val="632423" w:themeColor="accent2" w:themeShade="80"/>
      <w:spacing w:val="15"/>
      <w:sz w:val="24"/>
      <w:szCs w:val="24"/>
    </w:rPr>
  </w:style>
  <w:style w:type="character" w:customStyle="1" w:styleId="Titre3Car">
    <w:name w:val="Titre 3 Car"/>
    <w:basedOn w:val="Policepardfaut"/>
    <w:link w:val="Titre3"/>
    <w:uiPriority w:val="9"/>
    <w:rsid w:val="00A36D1F"/>
    <w:rPr>
      <w:caps/>
      <w:color w:val="622423" w:themeColor="accent2" w:themeShade="7F"/>
      <w:sz w:val="24"/>
      <w:szCs w:val="24"/>
      <w:u w:val="single"/>
    </w:rPr>
  </w:style>
  <w:style w:type="character" w:customStyle="1" w:styleId="Titre4Car">
    <w:name w:val="Titre 4 Car"/>
    <w:basedOn w:val="Policepardfaut"/>
    <w:link w:val="Titre4"/>
    <w:uiPriority w:val="9"/>
    <w:rsid w:val="00252B06"/>
    <w:rPr>
      <w:color w:val="622423" w:themeColor="accent2" w:themeShade="7F"/>
      <w:spacing w:val="10"/>
      <w:sz w:val="24"/>
      <w:szCs w:val="24"/>
      <w:u w:val="dottedHeavy"/>
    </w:rPr>
  </w:style>
  <w:style w:type="character" w:customStyle="1" w:styleId="Titre5Car">
    <w:name w:val="Titre 5 Car"/>
    <w:basedOn w:val="Policepardfaut"/>
    <w:link w:val="Titre5"/>
    <w:uiPriority w:val="9"/>
    <w:rsid w:val="00D5507D"/>
    <w:rPr>
      <w:caps/>
      <w:color w:val="622423" w:themeColor="accent2" w:themeShade="7F"/>
      <w:spacing w:val="10"/>
    </w:rPr>
  </w:style>
  <w:style w:type="character" w:customStyle="1" w:styleId="Titre6Car">
    <w:name w:val="Titre 6 Car"/>
    <w:basedOn w:val="Policepardfaut"/>
    <w:link w:val="Titre6"/>
    <w:uiPriority w:val="9"/>
    <w:rsid w:val="00D5507D"/>
    <w:rPr>
      <w:caps/>
      <w:color w:val="943634" w:themeColor="accent2" w:themeShade="BF"/>
      <w:spacing w:val="10"/>
    </w:rPr>
  </w:style>
  <w:style w:type="character" w:customStyle="1" w:styleId="Titre7Car">
    <w:name w:val="Titre 7 Car"/>
    <w:basedOn w:val="Policepardfaut"/>
    <w:link w:val="Titre7"/>
    <w:uiPriority w:val="9"/>
    <w:semiHidden/>
    <w:rsid w:val="00D5507D"/>
    <w:rPr>
      <w:i/>
      <w:iCs/>
      <w:caps/>
      <w:color w:val="943634" w:themeColor="accent2" w:themeShade="BF"/>
      <w:spacing w:val="10"/>
    </w:rPr>
  </w:style>
  <w:style w:type="character" w:customStyle="1" w:styleId="Titre8Car">
    <w:name w:val="Titre 8 Car"/>
    <w:basedOn w:val="Policepardfaut"/>
    <w:link w:val="Titre8"/>
    <w:uiPriority w:val="9"/>
    <w:semiHidden/>
    <w:rsid w:val="00D5507D"/>
    <w:rPr>
      <w:caps/>
      <w:spacing w:val="10"/>
      <w:sz w:val="20"/>
      <w:szCs w:val="20"/>
    </w:rPr>
  </w:style>
  <w:style w:type="character" w:customStyle="1" w:styleId="Titre9Car">
    <w:name w:val="Titre 9 Car"/>
    <w:basedOn w:val="Policepardfaut"/>
    <w:link w:val="Titre9"/>
    <w:uiPriority w:val="9"/>
    <w:semiHidden/>
    <w:rsid w:val="00D5507D"/>
    <w:rPr>
      <w:i/>
      <w:iCs/>
      <w:caps/>
      <w:spacing w:val="10"/>
      <w:sz w:val="20"/>
      <w:szCs w:val="20"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D5507D"/>
    <w:pPr>
      <w:numPr>
        <w:numId w:val="0"/>
      </w:numPr>
    </w:pPr>
    <w:rPr>
      <w:caps/>
      <w:spacing w:val="10"/>
      <w:sz w:val="18"/>
      <w:szCs w:val="18"/>
    </w:rPr>
  </w:style>
  <w:style w:type="paragraph" w:styleId="Titre">
    <w:name w:val="Title"/>
    <w:basedOn w:val="Normal"/>
    <w:next w:val="Normal"/>
    <w:link w:val="TitreCar"/>
    <w:uiPriority w:val="10"/>
    <w:qFormat/>
    <w:rsid w:val="00D5507D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/>
      <w:jc w:val="center"/>
    </w:pPr>
    <w:rPr>
      <w:caps/>
      <w:color w:val="632423" w:themeColor="accent2" w:themeShade="80"/>
      <w:spacing w:val="50"/>
      <w:sz w:val="44"/>
      <w:szCs w:val="44"/>
    </w:rPr>
  </w:style>
  <w:style w:type="character" w:customStyle="1" w:styleId="TitreCar">
    <w:name w:val="Titre Car"/>
    <w:basedOn w:val="Policepardfaut"/>
    <w:link w:val="Titre"/>
    <w:uiPriority w:val="10"/>
    <w:rsid w:val="00D5507D"/>
    <w:rPr>
      <w:caps/>
      <w:color w:val="632423" w:themeColor="accent2" w:themeShade="80"/>
      <w:spacing w:val="50"/>
      <w:sz w:val="44"/>
      <w:szCs w:val="44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507D"/>
    <w:pPr>
      <w:numPr>
        <w:numId w:val="0"/>
      </w:numPr>
      <w:spacing w:after="560"/>
      <w:ind w:left="720" w:hanging="360"/>
      <w:jc w:val="center"/>
    </w:pPr>
    <w:rPr>
      <w:caps/>
      <w:spacing w:val="20"/>
      <w:sz w:val="18"/>
      <w:szCs w:val="18"/>
    </w:rPr>
  </w:style>
  <w:style w:type="character" w:customStyle="1" w:styleId="Sous-titreCar">
    <w:name w:val="Sous-titre Car"/>
    <w:basedOn w:val="Policepardfaut"/>
    <w:link w:val="Sous-titre"/>
    <w:uiPriority w:val="11"/>
    <w:rsid w:val="00D5507D"/>
    <w:rPr>
      <w:caps/>
      <w:spacing w:val="20"/>
      <w:sz w:val="18"/>
      <w:szCs w:val="18"/>
    </w:rPr>
  </w:style>
  <w:style w:type="character" w:styleId="lev">
    <w:name w:val="Strong"/>
    <w:uiPriority w:val="22"/>
    <w:qFormat/>
    <w:rsid w:val="00D5507D"/>
    <w:rPr>
      <w:b/>
      <w:bCs/>
      <w:color w:val="943634" w:themeColor="accent2" w:themeShade="BF"/>
      <w:spacing w:val="5"/>
    </w:rPr>
  </w:style>
  <w:style w:type="character" w:styleId="Accentuation">
    <w:name w:val="Emphasis"/>
    <w:uiPriority w:val="20"/>
    <w:qFormat/>
    <w:rsid w:val="00D5507D"/>
    <w:rPr>
      <w:caps/>
      <w:spacing w:val="5"/>
      <w:sz w:val="20"/>
      <w:szCs w:val="20"/>
    </w:rPr>
  </w:style>
  <w:style w:type="paragraph" w:styleId="Sansinterligne">
    <w:name w:val="No Spacing"/>
    <w:basedOn w:val="Normal"/>
    <w:link w:val="SansinterligneCar"/>
    <w:uiPriority w:val="1"/>
    <w:qFormat/>
    <w:rsid w:val="00D5507D"/>
    <w:pPr>
      <w:numPr>
        <w:numId w:val="0"/>
      </w:numPr>
      <w:spacing w:after="0"/>
      <w:ind w:left="720" w:hanging="360"/>
    </w:pPr>
  </w:style>
  <w:style w:type="character" w:customStyle="1" w:styleId="SansinterligneCar">
    <w:name w:val="Sans interligne Car"/>
    <w:basedOn w:val="Policepardfaut"/>
    <w:link w:val="Sansinterligne"/>
    <w:uiPriority w:val="1"/>
    <w:rsid w:val="00D5507D"/>
  </w:style>
  <w:style w:type="paragraph" w:styleId="Paragraphedeliste">
    <w:name w:val="List Paragraph"/>
    <w:basedOn w:val="Normal"/>
    <w:uiPriority w:val="34"/>
    <w:qFormat/>
    <w:rsid w:val="00D5507D"/>
    <w:pPr>
      <w:numPr>
        <w:numId w:val="0"/>
      </w:numPr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D5507D"/>
    <w:pPr>
      <w:numPr>
        <w:numId w:val="0"/>
      </w:numPr>
      <w:ind w:left="720" w:hanging="360"/>
    </w:pPr>
    <w:rPr>
      <w:i/>
      <w:iCs/>
    </w:rPr>
  </w:style>
  <w:style w:type="character" w:customStyle="1" w:styleId="CitationCar">
    <w:name w:val="Citation Car"/>
    <w:basedOn w:val="Policepardfaut"/>
    <w:link w:val="Citation"/>
    <w:uiPriority w:val="29"/>
    <w:rsid w:val="00D5507D"/>
    <w:rPr>
      <w:i/>
      <w:iCs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507D"/>
    <w:pPr>
      <w:numPr>
        <w:numId w:val="0"/>
      </w:num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 w:hanging="360"/>
    </w:pPr>
    <w:rPr>
      <w:caps/>
      <w:color w:val="622423" w:themeColor="accent2" w:themeShade="7F"/>
      <w:spacing w:val="5"/>
      <w:sz w:val="20"/>
      <w:szCs w:val="20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507D"/>
    <w:rPr>
      <w:caps/>
      <w:color w:val="622423" w:themeColor="accent2" w:themeShade="7F"/>
      <w:spacing w:val="5"/>
      <w:sz w:val="20"/>
      <w:szCs w:val="20"/>
    </w:rPr>
  </w:style>
  <w:style w:type="character" w:styleId="Emphaseple">
    <w:name w:val="Subtle Emphasis"/>
    <w:uiPriority w:val="19"/>
    <w:qFormat/>
    <w:rsid w:val="00D5507D"/>
    <w:rPr>
      <w:i/>
      <w:iCs/>
    </w:rPr>
  </w:style>
  <w:style w:type="character" w:styleId="Emphaseintense">
    <w:name w:val="Intense Emphasis"/>
    <w:uiPriority w:val="21"/>
    <w:qFormat/>
    <w:rsid w:val="00D5507D"/>
    <w:rPr>
      <w:i/>
      <w:iCs/>
      <w:caps/>
      <w:spacing w:val="10"/>
      <w:sz w:val="20"/>
      <w:szCs w:val="20"/>
    </w:rPr>
  </w:style>
  <w:style w:type="character" w:styleId="Rfrenceple">
    <w:name w:val="Subtle Reference"/>
    <w:basedOn w:val="Policepardfaut"/>
    <w:uiPriority w:val="31"/>
    <w:qFormat/>
    <w:rsid w:val="00D5507D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Rfrenceintense">
    <w:name w:val="Intense Reference"/>
    <w:uiPriority w:val="32"/>
    <w:qFormat/>
    <w:rsid w:val="00D5507D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itredulivre">
    <w:name w:val="Book Title"/>
    <w:uiPriority w:val="33"/>
    <w:qFormat/>
    <w:rsid w:val="00D5507D"/>
    <w:rPr>
      <w:caps/>
      <w:color w:val="622423" w:themeColor="accent2" w:themeShade="7F"/>
      <w:spacing w:val="5"/>
      <w:u w:color="622423" w:themeColor="accent2" w:themeShade="7F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D5507D"/>
    <w:pPr>
      <w:ind w:left="0" w:firstLine="0"/>
      <w:outlineLvl w:val="9"/>
    </w:pPr>
  </w:style>
  <w:style w:type="paragraph" w:customStyle="1" w:styleId="Style1">
    <w:name w:val="Style1"/>
    <w:basedOn w:val="Normal"/>
    <w:autoRedefine/>
    <w:qFormat/>
    <w:rsid w:val="00C91BBC"/>
    <w:pPr>
      <w:numPr>
        <w:numId w:val="21"/>
      </w:numPr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A36D1F"/>
    <w:pPr>
      <w:spacing w:after="0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A36D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554</Words>
  <Characters>3049</Characters>
  <Application>Microsoft Office Word</Application>
  <DocSecurity>0</DocSecurity>
  <Lines>25</Lines>
  <Paragraphs>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Titres</vt:lpstr>
      </vt:variant>
      <vt:variant>
        <vt:i4>14</vt:i4>
      </vt:variant>
    </vt:vector>
  </HeadingPairs>
  <TitlesOfParts>
    <vt:vector size="15" baseType="lpstr">
      <vt:lpstr/>
      <vt:lpstr>metabolisme du fer surcharges martiales</vt:lpstr>
      <vt:lpstr>    métabolisme du fer</vt:lpstr>
      <vt:lpstr>        généralités</vt:lpstr>
      <vt:lpstr>        stocks de fer dans l’organisme</vt:lpstr>
      <vt:lpstr>        metabolisme du fer dans l’organisme </vt:lpstr>
      <vt:lpstr>    diagnostic biologique d’une hemochromatose</vt:lpstr>
      <vt:lpstr>    hemochromatoses</vt:lpstr>
      <vt:lpstr>        definition et physiopathologie</vt:lpstr>
      <vt:lpstr>        diagnostic differentiel</vt:lpstr>
      <vt:lpstr>        clinique</vt:lpstr>
      <vt:lpstr>        biologie</vt:lpstr>
      <vt:lpstr>        imagerie</vt:lpstr>
      <vt:lpstr>        diagnostic de certitude : etude génétique</vt:lpstr>
      <vt:lpstr>        traitement de l’hémochromatose</vt:lpstr>
    </vt:vector>
  </TitlesOfParts>
  <Company/>
  <LinksUpToDate>false</LinksUpToDate>
  <CharactersWithSpaces>3596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lilou</dc:creator>
  <cp:lastModifiedBy>lilou</cp:lastModifiedBy>
  <cp:revision>1</cp:revision>
  <dcterms:created xsi:type="dcterms:W3CDTF">2012-06-09T10:19:00Z</dcterms:created>
  <dcterms:modified xsi:type="dcterms:W3CDTF">2012-06-09T11:32:00Z</dcterms:modified>
</cp:coreProperties>
</file>