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553" w:rsidRDefault="00351553" w:rsidP="00351553">
      <w:pPr>
        <w:pStyle w:val="Titre1"/>
      </w:pPr>
      <w:r>
        <w:t>les marqueurs osseux</w:t>
      </w:r>
    </w:p>
    <w:p w:rsidR="00351553" w:rsidRDefault="00463BE8" w:rsidP="00351553">
      <w:pPr>
        <w:pStyle w:val="Titre2"/>
      </w:pPr>
      <w:r>
        <w:t xml:space="preserve">rappels sur </w:t>
      </w:r>
      <w:r w:rsidR="00351553">
        <w:t>le tissu osseux</w:t>
      </w:r>
    </w:p>
    <w:p w:rsidR="00ED22B9" w:rsidRPr="00ED22B9" w:rsidRDefault="00ED22B9" w:rsidP="00411164">
      <w:pPr>
        <w:pStyle w:val="Titre3"/>
      </w:pPr>
      <w:r>
        <w:t>généralités</w:t>
      </w:r>
    </w:p>
    <w:p w:rsidR="00351553" w:rsidRDefault="00463BE8" w:rsidP="00351553">
      <w:r>
        <w:t xml:space="preserve">Tissus </w:t>
      </w:r>
      <w:r w:rsidR="00E37A18">
        <w:t>spécialisé</w:t>
      </w:r>
      <w:r>
        <w:t>, fonctions multiples (soutien, homéostasie phosphocalcique)</w:t>
      </w:r>
    </w:p>
    <w:p w:rsidR="00463BE8" w:rsidRDefault="00463BE8" w:rsidP="00463BE8">
      <w:r>
        <w:t>Os cortica</w:t>
      </w:r>
      <w:r w:rsidR="00DC4AB0">
        <w:t>l</w:t>
      </w:r>
      <w:r>
        <w:t xml:space="preserve"> 90% + trabéculair 10%</w:t>
      </w:r>
    </w:p>
    <w:p w:rsidR="00AF5AFF" w:rsidRDefault="00463BE8" w:rsidP="00AF5AFF">
      <w:r>
        <w:t>Cellules (5%) : ostéoblastes, ostéoclastes</w:t>
      </w:r>
      <w:r w:rsidR="00AF5AFF">
        <w:t> :</w:t>
      </w:r>
      <w:r w:rsidR="00AF5AFF" w:rsidRPr="00AF5AFF">
        <w:t xml:space="preserve"> </w:t>
      </w:r>
    </w:p>
    <w:p w:rsidR="00AF5AFF" w:rsidRDefault="00AF5AFF" w:rsidP="00AF5AFF">
      <w:pPr>
        <w:pStyle w:val="Style1"/>
      </w:pPr>
      <w:r w:rsidRPr="00E37A18">
        <w:rPr>
          <w:color w:val="FF0000"/>
        </w:rPr>
        <w:t>Ostéoblastes </w:t>
      </w:r>
      <w:r>
        <w:t xml:space="preserve">: formation </w:t>
      </w:r>
      <w:r w:rsidR="00E37A18">
        <w:t>osseuses,</w:t>
      </w:r>
      <w:r>
        <w:t xml:space="preserve"> </w:t>
      </w:r>
      <w:r w:rsidRPr="00E75E1E">
        <w:rPr>
          <w:rFonts w:ascii="Cambria" w:hAnsi="Cambria"/>
        </w:rPr>
        <w:t>ȼ</w:t>
      </w:r>
      <w:r>
        <w:t xml:space="preserve"> </w:t>
      </w:r>
      <w:r w:rsidR="00E37A18">
        <w:t>mésenchymateuses</w:t>
      </w:r>
    </w:p>
    <w:p w:rsidR="00AF5AFF" w:rsidRPr="00463BE8" w:rsidRDefault="00AF5AFF" w:rsidP="00AF5AFF">
      <w:pPr>
        <w:pStyle w:val="Style1"/>
      </w:pPr>
      <w:r w:rsidRPr="00E37A18">
        <w:rPr>
          <w:color w:val="FF0000"/>
        </w:rPr>
        <w:t>Ostéoclastes </w:t>
      </w:r>
      <w:r>
        <w:t xml:space="preserve">: </w:t>
      </w:r>
      <w:r w:rsidR="00E37A18">
        <w:t>résorption</w:t>
      </w:r>
      <w:r>
        <w:t xml:space="preserve"> osseuse, dérivés des macrophages</w:t>
      </w:r>
    </w:p>
    <w:p w:rsidR="00463BE8" w:rsidRDefault="00463BE8" w:rsidP="00AF5AFF">
      <w:r>
        <w:t xml:space="preserve">MEC (95%) : phase organique+ phase </w:t>
      </w:r>
      <w:r w:rsidR="00E37A18">
        <w:t>minérale</w:t>
      </w:r>
      <w:r w:rsidR="00AF5AFF">
        <w:t> :</w:t>
      </w:r>
    </w:p>
    <w:p w:rsidR="00AF5AFF" w:rsidRDefault="00AF5AFF" w:rsidP="00AF5AFF">
      <w:pPr>
        <w:pStyle w:val="Style1"/>
      </w:pPr>
      <w:r w:rsidRPr="00E37A18">
        <w:rPr>
          <w:color w:val="FF0000"/>
        </w:rPr>
        <w:t xml:space="preserve">Collagène I </w:t>
      </w:r>
      <w:r>
        <w:t>(90% de la phase organique)</w:t>
      </w:r>
    </w:p>
    <w:p w:rsidR="00AF5AFF" w:rsidRDefault="00AF5AFF" w:rsidP="00AF5AFF">
      <w:pPr>
        <w:pStyle w:val="Style1"/>
      </w:pPr>
      <w:r w:rsidRPr="00E37A18">
        <w:rPr>
          <w:color w:val="FF0000"/>
        </w:rPr>
        <w:t xml:space="preserve">Ostéocalcine </w:t>
      </w:r>
      <w:r>
        <w:t>(</w:t>
      </w:r>
      <w:r w:rsidR="00E37A18">
        <w:t>rôle</w:t>
      </w:r>
      <w:r>
        <w:t xml:space="preserve"> ?, spé des ostéoblastes, </w:t>
      </w:r>
      <w:r w:rsidR="00E37A18">
        <w:t>abondante</w:t>
      </w:r>
      <w:r>
        <w:t xml:space="preserve"> ++) et </w:t>
      </w:r>
      <w:r w:rsidRPr="00E37A18">
        <w:rPr>
          <w:color w:val="FF0000"/>
        </w:rPr>
        <w:t xml:space="preserve">ostéonectine </w:t>
      </w:r>
      <w:r>
        <w:t>(</w:t>
      </w:r>
      <w:r w:rsidR="00E37A18">
        <w:t>adhésion</w:t>
      </w:r>
      <w:r>
        <w:t>) (phase organique 10%)</w:t>
      </w:r>
    </w:p>
    <w:p w:rsidR="00AF5AFF" w:rsidRDefault="00AF5AFF" w:rsidP="00AF5AFF">
      <w:pPr>
        <w:pStyle w:val="Style1"/>
      </w:pPr>
      <w:r>
        <w:t>Cristaux d’hydroxyapatites</w:t>
      </w:r>
    </w:p>
    <w:p w:rsidR="00AF5AFF" w:rsidRDefault="00AF5AFF" w:rsidP="00AF5AFF">
      <w:pPr>
        <w:pStyle w:val="Style1"/>
        <w:numPr>
          <w:ilvl w:val="0"/>
          <w:numId w:val="0"/>
        </w:numPr>
        <w:ind w:left="2136" w:hanging="360"/>
      </w:pPr>
    </w:p>
    <w:p w:rsidR="00ED22B9" w:rsidRDefault="008B6417" w:rsidP="00411164">
      <w:pPr>
        <w:pStyle w:val="Titre3"/>
      </w:pPr>
      <w:r>
        <w:rPr>
          <w:noProof/>
          <w:lang w:val="fr-FR" w:eastAsia="fr-FR"/>
        </w:rPr>
        <w:drawing>
          <wp:anchor distT="0" distB="0" distL="114300" distR="114300" simplePos="0" relativeHeight="251658240" behindDoc="0" locked="0" layoutInCell="1" allowOverlap="1" wp14:anchorId="68A3919A" wp14:editId="66159E74">
            <wp:simplePos x="0" y="0"/>
            <wp:positionH relativeFrom="column">
              <wp:posOffset>3338195</wp:posOffset>
            </wp:positionH>
            <wp:positionV relativeFrom="paragraph">
              <wp:posOffset>168910</wp:posOffset>
            </wp:positionV>
            <wp:extent cx="3235960" cy="2359025"/>
            <wp:effectExtent l="0" t="0" r="2540" b="3175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5960" cy="235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22B9">
        <w:t>Sequence de remodelage</w:t>
      </w:r>
    </w:p>
    <w:p w:rsidR="00ED22B9" w:rsidRDefault="00ED22B9" w:rsidP="008B6417">
      <w:r>
        <w:t xml:space="preserve">La matrice osseuse est entourée de cellules </w:t>
      </w:r>
      <w:r w:rsidR="00E37A18">
        <w:t>bordantes</w:t>
      </w:r>
    </w:p>
    <w:p w:rsidR="00ED22B9" w:rsidRDefault="00E37A18" w:rsidP="00ED22B9">
      <w:r>
        <w:t>1) Activation</w:t>
      </w:r>
      <w:r w:rsidR="00ED22B9">
        <w:t xml:space="preserve"> : des </w:t>
      </w:r>
      <w:r w:rsidR="00ED22B9" w:rsidRPr="00E75E1E">
        <w:rPr>
          <w:rFonts w:ascii="Cambria" w:hAnsi="Cambria"/>
        </w:rPr>
        <w:t>ȼ</w:t>
      </w:r>
      <w:r w:rsidR="00ED22B9">
        <w:t xml:space="preserve"> bordantes= formation de préostéoclastes à partir de </w:t>
      </w:r>
      <w:r w:rsidR="00ED22B9" w:rsidRPr="00E75E1E">
        <w:rPr>
          <w:rFonts w:ascii="Cambria" w:hAnsi="Cambria"/>
        </w:rPr>
        <w:t>ȼ</w:t>
      </w:r>
      <w:r w:rsidR="00ED22B9">
        <w:t xml:space="preserve"> souches </w:t>
      </w:r>
      <w:r>
        <w:t>hématopoïétiques</w:t>
      </w:r>
    </w:p>
    <w:p w:rsidR="00ED22B9" w:rsidRDefault="00E37A18" w:rsidP="00ED22B9">
      <w:r>
        <w:t>2) Résorption</w:t>
      </w:r>
      <w:r w:rsidR="00ED22B9">
        <w:t> </w:t>
      </w:r>
      <w:r>
        <w:t>: par</w:t>
      </w:r>
      <w:r w:rsidR="00ED22B9">
        <w:t xml:space="preserve"> les ostéoclastes matures= formation de lacunes</w:t>
      </w:r>
    </w:p>
    <w:p w:rsidR="00ED22B9" w:rsidRDefault="00E37A18" w:rsidP="00ED22B9">
      <w:r>
        <w:t>3) Phase</w:t>
      </w:r>
      <w:r w:rsidR="00ED22B9">
        <w:t xml:space="preserve"> d’inversion : </w:t>
      </w:r>
      <w:r>
        <w:t>on ne sait</w:t>
      </w:r>
      <w:r w:rsidR="00ED22B9">
        <w:t xml:space="preserve"> pas ??</w:t>
      </w:r>
    </w:p>
    <w:p w:rsidR="00ED22B9" w:rsidRDefault="00E37A18" w:rsidP="00ED22B9">
      <w:r>
        <w:t>4) Formation</w:t>
      </w:r>
      <w:r w:rsidR="008B6417">
        <w:t xml:space="preserve"> d’os par activation des ostéoblastes</w:t>
      </w:r>
    </w:p>
    <w:p w:rsidR="008B6417" w:rsidRDefault="008B6417" w:rsidP="00ED22B9">
      <w:r>
        <w:t>Quiescence</w:t>
      </w:r>
    </w:p>
    <w:p w:rsidR="008B6417" w:rsidRDefault="008B6417" w:rsidP="00411164">
      <w:pPr>
        <w:pStyle w:val="Titre3"/>
      </w:pPr>
      <w:r>
        <w:t>regulation de remodelage</w:t>
      </w:r>
    </w:p>
    <w:p w:rsidR="008B6417" w:rsidRDefault="008B6417" w:rsidP="008B6417">
      <w:r>
        <w:t xml:space="preserve">Hormones systémiques </w:t>
      </w:r>
      <w:r w:rsidR="00E37A18">
        <w:t>positives</w:t>
      </w:r>
      <w:r>
        <w:t xml:space="preserve"> et </w:t>
      </w:r>
      <w:r w:rsidR="00E37A18">
        <w:t>négatives</w:t>
      </w:r>
    </w:p>
    <w:p w:rsidR="008B6417" w:rsidRDefault="008B6417" w:rsidP="008B6417">
      <w:r>
        <w:t>Facteurs locaux</w:t>
      </w:r>
    </w:p>
    <w:p w:rsidR="008B6417" w:rsidRDefault="008B6417" w:rsidP="008B6417">
      <w:r>
        <w:t>Pas de contrôle par le SNC</w:t>
      </w:r>
    </w:p>
    <w:p w:rsidR="008B6417" w:rsidRDefault="008B6417" w:rsidP="00411164">
      <w:pPr>
        <w:pStyle w:val="Titre4"/>
      </w:pPr>
      <w:r>
        <w:t>Hormones systémiques</w:t>
      </w:r>
    </w:p>
    <w:p w:rsidR="008B6417" w:rsidRPr="003B3D41" w:rsidRDefault="008B6417" w:rsidP="003B3D41">
      <w:pPr>
        <w:spacing w:after="0"/>
      </w:pPr>
      <w:r>
        <w:t xml:space="preserve">Régulation </w:t>
      </w:r>
      <w:r w:rsidR="00E37A18" w:rsidRPr="00E37A18">
        <w:rPr>
          <w:color w:val="FF0000"/>
        </w:rPr>
        <w:t>positive</w:t>
      </w:r>
      <w:r w:rsidR="003B3D41" w:rsidRPr="00E37A18">
        <w:rPr>
          <w:color w:val="FF0000"/>
        </w:rPr>
        <w:t xml:space="preserve"> </w:t>
      </w:r>
      <w:r w:rsidR="003B3D41">
        <w:t xml:space="preserve">de la </w:t>
      </w:r>
      <w:r w:rsidR="00E37A18">
        <w:t>résorption</w:t>
      </w:r>
      <w:r w:rsidR="003B3D41">
        <w:t xml:space="preserve"> osseuse (</w:t>
      </w:r>
      <w:r w:rsidR="003B3D41" w:rsidRPr="000F416B">
        <w:rPr>
          <w:rFonts w:ascii="Cambria" w:hAnsi="Cambria"/>
        </w:rPr>
        <w:t>↗</w:t>
      </w:r>
      <w:r w:rsidR="003B3D41">
        <w:rPr>
          <w:rFonts w:ascii="Cambria" w:hAnsi="Cambria"/>
        </w:rPr>
        <w:t xml:space="preserve"> Ca</w:t>
      </w:r>
      <w:r w:rsidR="003B3D41">
        <w:rPr>
          <w:rFonts w:ascii="Cambria" w:hAnsi="Cambria"/>
          <w:vertAlign w:val="superscript"/>
        </w:rPr>
        <w:t>++</w:t>
      </w:r>
      <w:r w:rsidR="003B3D41">
        <w:rPr>
          <w:rFonts w:ascii="Cambria" w:hAnsi="Cambria"/>
        </w:rPr>
        <w:t>) :</w:t>
      </w:r>
    </w:p>
    <w:p w:rsidR="003B3D41" w:rsidRDefault="003B3D41" w:rsidP="003B3D41">
      <w:pPr>
        <w:pStyle w:val="Style1"/>
        <w:spacing w:after="0"/>
      </w:pPr>
      <w:r w:rsidRPr="00E37A18">
        <w:rPr>
          <w:color w:val="FF0000"/>
        </w:rPr>
        <w:t xml:space="preserve">Calcitriol 1,25 OH vitD </w:t>
      </w:r>
      <w:r>
        <w:t>(origine alim ou peau+UV)</w:t>
      </w:r>
    </w:p>
    <w:p w:rsidR="003B3D41" w:rsidRDefault="003B3D41" w:rsidP="003B3D41">
      <w:pPr>
        <w:pStyle w:val="Style1"/>
        <w:spacing w:after="0"/>
      </w:pPr>
      <w:r w:rsidRPr="00E37A18">
        <w:rPr>
          <w:color w:val="FF0000"/>
        </w:rPr>
        <w:t xml:space="preserve">Parathormone PTH </w:t>
      </w:r>
      <w:r w:rsidR="00E37A18">
        <w:t>secrétée</w:t>
      </w:r>
      <w:r>
        <w:t xml:space="preserve"> par la </w:t>
      </w:r>
      <w:r w:rsidR="00E37A18">
        <w:t>parathyroïde</w:t>
      </w:r>
    </w:p>
    <w:p w:rsidR="003B3D41" w:rsidRPr="003B3D41" w:rsidRDefault="003B3D41" w:rsidP="003B3D41">
      <w:pPr>
        <w:spacing w:after="0"/>
      </w:pPr>
      <w:r>
        <w:t xml:space="preserve">Régulation </w:t>
      </w:r>
      <w:r w:rsidR="00E37A18" w:rsidRPr="00E37A18">
        <w:rPr>
          <w:color w:val="FF0000"/>
        </w:rPr>
        <w:t>négative</w:t>
      </w:r>
      <w:r w:rsidRPr="00E37A18">
        <w:rPr>
          <w:color w:val="FF0000"/>
        </w:rPr>
        <w:t xml:space="preserve"> </w:t>
      </w:r>
      <w:r>
        <w:t xml:space="preserve">de la </w:t>
      </w:r>
      <w:r w:rsidR="00E37A18">
        <w:t>résorption</w:t>
      </w:r>
      <w:r>
        <w:t xml:space="preserve"> osseuse (</w:t>
      </w:r>
      <w:r w:rsidRPr="00944AE9">
        <w:rPr>
          <w:rFonts w:ascii="Cambria" w:hAnsi="Cambria"/>
        </w:rPr>
        <w:t>↘</w:t>
      </w:r>
      <w:r>
        <w:rPr>
          <w:rFonts w:ascii="Cambria" w:hAnsi="Cambria"/>
        </w:rPr>
        <w:t>Ca</w:t>
      </w:r>
      <w:r>
        <w:rPr>
          <w:rFonts w:ascii="Cambria" w:hAnsi="Cambria"/>
          <w:vertAlign w:val="superscript"/>
        </w:rPr>
        <w:t>++</w:t>
      </w:r>
      <w:r>
        <w:rPr>
          <w:rFonts w:ascii="Cambria" w:hAnsi="Cambria"/>
        </w:rPr>
        <w:t>)</w:t>
      </w:r>
    </w:p>
    <w:p w:rsidR="003B3D41" w:rsidRDefault="003B3D41" w:rsidP="003B3D41">
      <w:pPr>
        <w:pStyle w:val="Style1"/>
        <w:spacing w:after="0"/>
      </w:pPr>
      <w:r w:rsidRPr="00E37A18">
        <w:rPr>
          <w:color w:val="FF0000"/>
        </w:rPr>
        <w:t>Calcitonine </w:t>
      </w:r>
      <w:r>
        <w:t xml:space="preserve">$ par la </w:t>
      </w:r>
      <w:r w:rsidR="00E37A18">
        <w:t>thyroïde</w:t>
      </w:r>
    </w:p>
    <w:p w:rsidR="003B3D41" w:rsidRDefault="00E37A18" w:rsidP="003B3D41">
      <w:pPr>
        <w:pStyle w:val="Style1"/>
      </w:pPr>
      <w:r w:rsidRPr="00E37A18">
        <w:rPr>
          <w:color w:val="FF0000"/>
        </w:rPr>
        <w:t>Œstrogènes</w:t>
      </w:r>
      <w:r w:rsidR="003B3D41" w:rsidRPr="00E37A18">
        <w:rPr>
          <w:color w:val="FF0000"/>
        </w:rPr>
        <w:t> </w:t>
      </w:r>
      <w:r w:rsidR="003B3D41">
        <w:t>: apoptose des ostéoclastes</w:t>
      </w:r>
    </w:p>
    <w:p w:rsidR="003B3D41" w:rsidRDefault="003B3D41" w:rsidP="003B3D41">
      <w:pPr>
        <w:pStyle w:val="Style1"/>
        <w:numPr>
          <w:ilvl w:val="0"/>
          <w:numId w:val="0"/>
        </w:numPr>
        <w:ind w:left="2136" w:hanging="360"/>
      </w:pPr>
    </w:p>
    <w:p w:rsidR="003B3D41" w:rsidRDefault="003B3D41" w:rsidP="00411164">
      <w:pPr>
        <w:pStyle w:val="Titre4"/>
      </w:pPr>
      <w:r>
        <w:t>Facteurs locaux :</w:t>
      </w:r>
    </w:p>
    <w:p w:rsidR="003B3D41" w:rsidRDefault="00B20473" w:rsidP="003B3D41">
      <w:r>
        <w:t xml:space="preserve">Régulation des ostéoclastes : </w:t>
      </w:r>
      <w:r w:rsidR="00E37A18">
        <w:t>régulation</w:t>
      </w:r>
      <w:r>
        <w:t xml:space="preserve"> de la </w:t>
      </w:r>
      <w:r w:rsidR="00E37A18">
        <w:t>prolifération</w:t>
      </w:r>
      <w:r>
        <w:t xml:space="preserve"> des </w:t>
      </w:r>
      <w:r w:rsidR="00E37A18">
        <w:t>précurseurs</w:t>
      </w:r>
      <w:r>
        <w:t xml:space="preserve"> par des </w:t>
      </w:r>
      <w:r w:rsidRPr="00E37A18">
        <w:rPr>
          <w:color w:val="FF0000"/>
        </w:rPr>
        <w:t>cytokines</w:t>
      </w:r>
      <w:r>
        <w:t xml:space="preserve">, des </w:t>
      </w:r>
      <w:r w:rsidRPr="00E37A18">
        <w:rPr>
          <w:color w:val="FF0000"/>
        </w:rPr>
        <w:t xml:space="preserve">facteurs de croissances </w:t>
      </w:r>
      <w:r>
        <w:t xml:space="preserve">ou des </w:t>
      </w:r>
      <w:r w:rsidRPr="00E37A18">
        <w:rPr>
          <w:color w:val="FF0000"/>
        </w:rPr>
        <w:t>IL</w:t>
      </w:r>
    </w:p>
    <w:p w:rsidR="00B20473" w:rsidRDefault="00B20473" w:rsidP="00B20473">
      <w:r>
        <w:t xml:space="preserve">Régulation des ostéoblastes : le </w:t>
      </w:r>
      <w:r w:rsidRPr="00E37A18">
        <w:rPr>
          <w:color w:val="FF0000"/>
        </w:rPr>
        <w:t xml:space="preserve">TGF </w:t>
      </w:r>
      <w:r>
        <w:t xml:space="preserve">est responsable de la </w:t>
      </w:r>
      <w:r w:rsidR="00E37A18">
        <w:t>différenciation</w:t>
      </w:r>
      <w:r>
        <w:t xml:space="preserve"> des ostéoblastes</w:t>
      </w:r>
    </w:p>
    <w:p w:rsidR="00B20473" w:rsidRDefault="00B20473" w:rsidP="00B20473">
      <w:pPr>
        <w:numPr>
          <w:ilvl w:val="0"/>
          <w:numId w:val="0"/>
        </w:numPr>
        <w:ind w:left="720" w:hanging="360"/>
      </w:pPr>
    </w:p>
    <w:p w:rsidR="00B20473" w:rsidRDefault="00B20473" w:rsidP="00B20473">
      <w:pPr>
        <w:numPr>
          <w:ilvl w:val="0"/>
          <w:numId w:val="0"/>
        </w:numPr>
        <w:ind w:left="720" w:hanging="360"/>
      </w:pPr>
    </w:p>
    <w:p w:rsidR="00B20473" w:rsidRDefault="00B20473" w:rsidP="00B20473">
      <w:pPr>
        <w:pStyle w:val="Titre2"/>
      </w:pPr>
      <w:r>
        <w:t>marqueurs biochimiques du remodelage osseux</w:t>
      </w:r>
    </w:p>
    <w:p w:rsidR="00B20473" w:rsidRDefault="00E15EEE" w:rsidP="00411164">
      <w:pPr>
        <w:pStyle w:val="Titre3"/>
        <w:numPr>
          <w:ilvl w:val="0"/>
          <w:numId w:val="27"/>
        </w:numPr>
      </w:pPr>
      <w:r>
        <w:t>marqueur de formation osseuse</w:t>
      </w:r>
    </w:p>
    <w:p w:rsidR="00E15EEE" w:rsidRDefault="00E15EEE" w:rsidP="00E15EEE">
      <w:r>
        <w:t xml:space="preserve">Phosphatase alcaline totale : peu spé </w:t>
      </w:r>
    </w:p>
    <w:p w:rsidR="00E15EEE" w:rsidRDefault="00E15EEE" w:rsidP="00E15EEE">
      <w:r>
        <w:t>Phosphatase alcaline osseuse : reflet de l’activité des ostéoblastes</w:t>
      </w:r>
    </w:p>
    <w:p w:rsidR="00E15EEE" w:rsidRDefault="00BA350A" w:rsidP="00E15EEE">
      <w:r w:rsidRPr="00E37A18">
        <w:rPr>
          <w:color w:val="FF0000"/>
        </w:rPr>
        <w:t>Ostéocalcine sérique</w:t>
      </w:r>
      <w:r w:rsidR="00464B0F">
        <w:t>++</w:t>
      </w:r>
      <w:r>
        <w:t> : sensible et spé, dosage à heures fixes (cycle nycthéméral)</w:t>
      </w:r>
    </w:p>
    <w:p w:rsidR="00BA350A" w:rsidRDefault="00BA350A" w:rsidP="00E15EEE">
      <w:r>
        <w:t xml:space="preserve">Propeptide du </w:t>
      </w:r>
      <w:r w:rsidR="00E37A18">
        <w:t>collagène</w:t>
      </w:r>
      <w:r>
        <w:t xml:space="preserve"> I</w:t>
      </w:r>
      <w:r w:rsidR="00464B0F">
        <w:t>++</w:t>
      </w:r>
      <w:r>
        <w:t xml:space="preserve"> : </w:t>
      </w:r>
      <w:r w:rsidRPr="00E37A18">
        <w:rPr>
          <w:color w:val="FF0000"/>
        </w:rPr>
        <w:t xml:space="preserve">PICP et PINP </w:t>
      </w:r>
      <w:r>
        <w:t xml:space="preserve">libérés lors de la formation de </w:t>
      </w:r>
      <w:r w:rsidR="00E37A18">
        <w:t>collagène</w:t>
      </w:r>
    </w:p>
    <w:p w:rsidR="00BA350A" w:rsidRDefault="00EC566C" w:rsidP="00411164">
      <w:pPr>
        <w:pStyle w:val="Titre3"/>
      </w:pPr>
      <w:r>
        <w:t>marqueurs de la resorption osseuse</w:t>
      </w:r>
    </w:p>
    <w:p w:rsidR="00EC566C" w:rsidRDefault="00EC566C" w:rsidP="00411164">
      <w:pPr>
        <w:pStyle w:val="Titre4"/>
        <w:numPr>
          <w:ilvl w:val="0"/>
          <w:numId w:val="28"/>
        </w:numPr>
      </w:pPr>
      <w:r>
        <w:t>Urinaires</w:t>
      </w:r>
    </w:p>
    <w:p w:rsidR="00EC566C" w:rsidRDefault="00EC566C" w:rsidP="00EC566C">
      <w:r>
        <w:t>Calcium : peu sensible peu spé</w:t>
      </w:r>
    </w:p>
    <w:p w:rsidR="00EC566C" w:rsidRDefault="00BE279D" w:rsidP="00EC566C">
      <w:r>
        <w:t>H</w:t>
      </w:r>
      <w:r w:rsidR="00EC566C">
        <w:t>ydroxyproline</w:t>
      </w:r>
      <w:r>
        <w:t xml:space="preserve"> : reflet de la </w:t>
      </w:r>
      <w:r w:rsidR="00E37A18">
        <w:t>résorption</w:t>
      </w:r>
      <w:r>
        <w:t xml:space="preserve"> mais peu spé car </w:t>
      </w:r>
      <w:r w:rsidR="00E37A18">
        <w:t>influencée</w:t>
      </w:r>
      <w:r>
        <w:t xml:space="preserve"> par l’alimentation </w:t>
      </w:r>
    </w:p>
    <w:p w:rsidR="00BE279D" w:rsidRDefault="00BE279D" w:rsidP="00EC566C">
      <w:r>
        <w:t>Pyridinoline et desoxypyridinoline  libres</w:t>
      </w:r>
      <w:r w:rsidR="00464B0F">
        <w:t xml:space="preserve"> ++</w:t>
      </w:r>
    </w:p>
    <w:p w:rsidR="00BE279D" w:rsidRDefault="00BE279D" w:rsidP="00EC566C">
      <w:r w:rsidRPr="00E37A18">
        <w:rPr>
          <w:color w:val="FF0000"/>
        </w:rPr>
        <w:t>NTX et CTX</w:t>
      </w:r>
      <w:r w:rsidR="00464B0F">
        <w:t>++</w:t>
      </w:r>
      <w:r>
        <w:t xml:space="preserve"> : très sensible et </w:t>
      </w:r>
      <w:r w:rsidR="00E37A18">
        <w:t>spé,</w:t>
      </w:r>
      <w:r>
        <w:t xml:space="preserve"> utilisé dans le suivi </w:t>
      </w:r>
      <w:r w:rsidR="00E37A18">
        <w:t>thérapeutique</w:t>
      </w:r>
    </w:p>
    <w:p w:rsidR="00BE279D" w:rsidRDefault="00BE279D" w:rsidP="00411164">
      <w:pPr>
        <w:pStyle w:val="Titre4"/>
      </w:pPr>
      <w:r>
        <w:t>Sanguins</w:t>
      </w:r>
    </w:p>
    <w:p w:rsidR="00BE279D" w:rsidRDefault="00BE279D" w:rsidP="00BE279D">
      <w:r>
        <w:t>Pyridinolines desoxypiridinolines libres</w:t>
      </w:r>
      <w:r w:rsidR="00464B0F">
        <w:t xml:space="preserve"> ++</w:t>
      </w:r>
    </w:p>
    <w:p w:rsidR="00464B0F" w:rsidRPr="00E37A18" w:rsidRDefault="00464B0F" w:rsidP="00BE279D">
      <w:r w:rsidRPr="00E37A18">
        <w:rPr>
          <w:color w:val="FF0000"/>
        </w:rPr>
        <w:t>CTX NTX ++</w:t>
      </w:r>
    </w:p>
    <w:p w:rsidR="00464B0F" w:rsidRDefault="00464B0F" w:rsidP="00464B0F">
      <w:pPr>
        <w:numPr>
          <w:ilvl w:val="0"/>
          <w:numId w:val="0"/>
        </w:numPr>
        <w:ind w:left="720" w:hanging="360"/>
      </w:pPr>
      <w:r>
        <w:rPr>
          <w:noProof/>
          <w:lang w:val="fr-FR" w:eastAsia="fr-FR"/>
        </w:rPr>
        <w:drawing>
          <wp:inline distT="0" distB="0" distL="0" distR="0" wp14:anchorId="742A76A9" wp14:editId="1C173545">
            <wp:extent cx="4198289" cy="2769933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8289" cy="2769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4B0F" w:rsidRDefault="00464B0F" w:rsidP="00464B0F">
      <w:pPr>
        <w:pStyle w:val="Titre2"/>
      </w:pPr>
      <w:r>
        <w:t>principales maladies osseuses</w:t>
      </w:r>
    </w:p>
    <w:p w:rsidR="00464B0F" w:rsidRDefault="00411164" w:rsidP="00411164">
      <w:pPr>
        <w:pStyle w:val="Titre3"/>
        <w:numPr>
          <w:ilvl w:val="0"/>
          <w:numId w:val="29"/>
        </w:numPr>
      </w:pPr>
      <w:r>
        <w:t>l’ostéoporose </w:t>
      </w:r>
    </w:p>
    <w:p w:rsidR="00411164" w:rsidRDefault="00411164" w:rsidP="00411164">
      <w:r>
        <w:t>Fqt ++</w:t>
      </w:r>
    </w:p>
    <w:p w:rsidR="00411164" w:rsidRDefault="00411164" w:rsidP="00411164">
      <w:r>
        <w:t>Maladie systémique du squelette</w:t>
      </w:r>
    </w:p>
    <w:p w:rsidR="00C56FA6" w:rsidRDefault="00C56FA6" w:rsidP="00411164">
      <w:r>
        <w:t>Diminution de la masse osseuse avec remodelage</w:t>
      </w:r>
    </w:p>
    <w:p w:rsidR="00C56FA6" w:rsidRPr="00C56FA6" w:rsidRDefault="00C56FA6" w:rsidP="00411164">
      <w:r w:rsidRPr="000F416B">
        <w:rPr>
          <w:rFonts w:ascii="Cambria" w:hAnsi="Cambria"/>
        </w:rPr>
        <w:t>↗</w:t>
      </w:r>
      <w:r w:rsidRPr="00C56FA6">
        <w:rPr>
          <w:rFonts w:ascii="Cambria" w:hAnsi="Cambria"/>
        </w:rPr>
        <w:t>↗</w:t>
      </w:r>
      <w:r>
        <w:rPr>
          <w:rFonts w:ascii="Cambria" w:hAnsi="Cambria"/>
        </w:rPr>
        <w:t xml:space="preserve"> risque de fractures</w:t>
      </w:r>
    </w:p>
    <w:p w:rsidR="00C56FA6" w:rsidRPr="001C4436" w:rsidRDefault="00C56FA6" w:rsidP="00411164">
      <w:r>
        <w:rPr>
          <w:rFonts w:ascii="Cambria" w:hAnsi="Cambria"/>
        </w:rPr>
        <w:t xml:space="preserve">Due à un </w:t>
      </w:r>
      <w:r w:rsidR="00E37A18" w:rsidRPr="00E37A18">
        <w:rPr>
          <w:rFonts w:ascii="Cambria" w:hAnsi="Cambria"/>
          <w:color w:val="FF0000"/>
        </w:rPr>
        <w:t>déséquilibre</w:t>
      </w:r>
      <w:r w:rsidRPr="00E37A18">
        <w:rPr>
          <w:rFonts w:ascii="Cambria" w:hAnsi="Cambria"/>
          <w:color w:val="FF0000"/>
        </w:rPr>
        <w:t xml:space="preserve"> entre formation et </w:t>
      </w:r>
      <w:r w:rsidR="00E37A18" w:rsidRPr="00E37A18">
        <w:rPr>
          <w:rFonts w:ascii="Cambria" w:hAnsi="Cambria"/>
          <w:color w:val="FF0000"/>
        </w:rPr>
        <w:t>résorption</w:t>
      </w:r>
    </w:p>
    <w:p w:rsidR="001C4436" w:rsidRPr="001C4436" w:rsidRDefault="001C4436" w:rsidP="00411164">
      <w:r>
        <w:rPr>
          <w:rFonts w:ascii="Cambria" w:hAnsi="Cambria"/>
        </w:rPr>
        <w:t xml:space="preserve">Deux </w:t>
      </w:r>
      <w:r w:rsidR="00E37A18">
        <w:rPr>
          <w:rFonts w:ascii="Cambria" w:hAnsi="Cambria"/>
        </w:rPr>
        <w:t>étiologies</w:t>
      </w:r>
    </w:p>
    <w:p w:rsidR="001C4436" w:rsidRDefault="001C4436" w:rsidP="001C4436">
      <w:pPr>
        <w:pStyle w:val="Style1"/>
      </w:pPr>
      <w:r>
        <w:t>Post-</w:t>
      </w:r>
      <w:r w:rsidR="00E37A18">
        <w:t>ménopause</w:t>
      </w:r>
      <w:r>
        <w:t>=</w:t>
      </w:r>
      <w:r w:rsidRPr="00E37A18">
        <w:rPr>
          <w:color w:val="FF0000"/>
        </w:rPr>
        <w:t>↘</w:t>
      </w:r>
      <w:r w:rsidR="00E37A18" w:rsidRPr="00E37A18">
        <w:rPr>
          <w:color w:val="FF0000"/>
        </w:rPr>
        <w:t>œstrogènes</w:t>
      </w:r>
      <w:r>
        <w:t xml:space="preserve">= </w:t>
      </w:r>
      <w:r w:rsidRPr="00E37A18">
        <w:rPr>
          <w:color w:val="FF0000"/>
        </w:rPr>
        <w:t xml:space="preserve">↘ inhibition de la </w:t>
      </w:r>
      <w:r w:rsidR="00E37A18" w:rsidRPr="00E37A18">
        <w:rPr>
          <w:color w:val="FF0000"/>
        </w:rPr>
        <w:t>résorption</w:t>
      </w:r>
    </w:p>
    <w:p w:rsidR="001C4436" w:rsidRPr="002B4109" w:rsidRDefault="001C4436" w:rsidP="001C4436">
      <w:pPr>
        <w:pStyle w:val="Style1"/>
      </w:pPr>
      <w:r>
        <w:t xml:space="preserve">Sujet </w:t>
      </w:r>
      <w:r w:rsidR="00E37A18">
        <w:t>âgé</w:t>
      </w:r>
      <w:r>
        <w:t xml:space="preserve"> : </w:t>
      </w:r>
      <w:r w:rsidR="00E37A18" w:rsidRPr="00E37A18">
        <w:rPr>
          <w:color w:val="FF0000"/>
        </w:rPr>
        <w:t>carence</w:t>
      </w:r>
      <w:r w:rsidRPr="00E37A18">
        <w:rPr>
          <w:color w:val="FF0000"/>
        </w:rPr>
        <w:t xml:space="preserve"> en vitD </w:t>
      </w:r>
      <w:r>
        <w:t>et</w:t>
      </w:r>
      <w:r w:rsidR="002B4109">
        <w:t>/</w:t>
      </w:r>
      <w:r>
        <w:t xml:space="preserve">ou </w:t>
      </w:r>
      <w:r w:rsidRPr="00E37A18">
        <w:rPr>
          <w:color w:val="FF0000"/>
        </w:rPr>
        <w:t>calcium</w:t>
      </w:r>
      <w:r w:rsidR="0034386E">
        <w:t xml:space="preserve">, diminution de la masse </w:t>
      </w:r>
      <w:r w:rsidR="00E37A18">
        <w:t>rénale</w:t>
      </w:r>
      <w:r w:rsidR="0034386E" w:rsidRPr="00981C3F">
        <w:rPr>
          <w:rFonts w:ascii="Cambria" w:hAnsi="Cambria"/>
        </w:rPr>
        <w:t>→</w:t>
      </w:r>
      <w:r w:rsidR="0034386E" w:rsidRPr="0034386E">
        <w:rPr>
          <w:rFonts w:ascii="Cambria" w:hAnsi="Cambria"/>
        </w:rPr>
        <w:t>↘</w:t>
      </w:r>
      <w:r w:rsidR="0034386E">
        <w:rPr>
          <w:rFonts w:ascii="Cambria" w:hAnsi="Cambria"/>
        </w:rPr>
        <w:t>diminution de la VitD</w:t>
      </w:r>
      <w:r w:rsidR="002B4109">
        <w:rPr>
          <w:rFonts w:ascii="Cambria" w:hAnsi="Cambria"/>
        </w:rPr>
        <w:t xml:space="preserve">. La </w:t>
      </w:r>
      <w:r w:rsidR="002B4109" w:rsidRPr="002B4109">
        <w:rPr>
          <w:rFonts w:ascii="Cambria" w:hAnsi="Cambria"/>
        </w:rPr>
        <w:t>↘</w:t>
      </w:r>
      <w:r w:rsidR="002B4109">
        <w:rPr>
          <w:rFonts w:ascii="Cambria" w:hAnsi="Cambria"/>
        </w:rPr>
        <w:t xml:space="preserve"> de la calcémie va stimuler la PTH qui va stimuler les ostéoclastes. Il y </w:t>
      </w:r>
      <w:r w:rsidR="00E37A18">
        <w:rPr>
          <w:rFonts w:ascii="Cambria" w:hAnsi="Cambria"/>
        </w:rPr>
        <w:t>a</w:t>
      </w:r>
      <w:r w:rsidR="002B4109">
        <w:rPr>
          <w:rFonts w:ascii="Cambria" w:hAnsi="Cambria"/>
        </w:rPr>
        <w:t xml:space="preserve"> aussi une diminution de </w:t>
      </w:r>
      <w:r w:rsidR="00E37A18">
        <w:rPr>
          <w:rFonts w:ascii="Cambria" w:hAnsi="Cambria"/>
        </w:rPr>
        <w:t>certains facteurs</w:t>
      </w:r>
      <w:r w:rsidR="002B4109">
        <w:rPr>
          <w:rFonts w:ascii="Cambria" w:hAnsi="Cambria"/>
        </w:rPr>
        <w:t xml:space="preserve"> de croissance</w:t>
      </w:r>
    </w:p>
    <w:p w:rsidR="002B4109" w:rsidRDefault="002B4109" w:rsidP="002B4109">
      <w:r>
        <w:t>Marqueurs biochimiques dans l’ostéoporose</w:t>
      </w:r>
    </w:p>
    <w:p w:rsidR="002B4109" w:rsidRDefault="002B4109" w:rsidP="002B4109">
      <w:pPr>
        <w:pStyle w:val="Style1"/>
      </w:pPr>
      <w:r>
        <w:t xml:space="preserve">Aucun utilisé pour le diagnostic qui se fait par </w:t>
      </w:r>
      <w:r w:rsidRPr="00E37A18">
        <w:rPr>
          <w:color w:val="FF0000"/>
        </w:rPr>
        <w:t>ostéodensitométrie</w:t>
      </w:r>
    </w:p>
    <w:p w:rsidR="002B4109" w:rsidRDefault="00E37A18" w:rsidP="002B4109">
      <w:pPr>
        <w:pStyle w:val="Style1"/>
      </w:pPr>
      <w:r>
        <w:t>Utilisés</w:t>
      </w:r>
      <w:r w:rsidR="002B4109">
        <w:t xml:space="preserve"> pour </w:t>
      </w:r>
      <w:r>
        <w:t>évaluer</w:t>
      </w:r>
      <w:r w:rsidR="002B4109">
        <w:t xml:space="preserve"> le risque de fracture et l’efficacité du ttt</w:t>
      </w:r>
    </w:p>
    <w:p w:rsidR="002B4109" w:rsidRDefault="007F7D1F" w:rsidP="002B4109">
      <w:pPr>
        <w:pStyle w:val="Style1"/>
      </w:pPr>
      <w:r>
        <w:t>Risques de fractures : dosage CTX et NTX</w:t>
      </w:r>
    </w:p>
    <w:p w:rsidR="007F7D1F" w:rsidRDefault="007F7D1F" w:rsidP="002B4109">
      <w:pPr>
        <w:pStyle w:val="Style1"/>
      </w:pPr>
      <w:r w:rsidRPr="00E37A18">
        <w:rPr>
          <w:color w:val="FF0000"/>
        </w:rPr>
        <w:t>Suivi ttt </w:t>
      </w:r>
      <w:r>
        <w:t>: CTX/NTX ou PINP</w:t>
      </w:r>
    </w:p>
    <w:p w:rsidR="007F7D1F" w:rsidRDefault="007F7D1F" w:rsidP="002B4109">
      <w:pPr>
        <w:pStyle w:val="Style1"/>
      </w:pPr>
      <w:r>
        <w:t xml:space="preserve">On utilise tjrs le </w:t>
      </w:r>
      <w:r w:rsidR="00E37A18">
        <w:t>même</w:t>
      </w:r>
      <w:r>
        <w:t xml:space="preserve"> marqueur choisit pour le suivit</w:t>
      </w:r>
    </w:p>
    <w:p w:rsidR="007F7D1F" w:rsidRDefault="007F7D1F" w:rsidP="007F7D1F">
      <w:pPr>
        <w:pStyle w:val="Titre3"/>
      </w:pPr>
      <w:r>
        <w:t>maladie de paget</w:t>
      </w:r>
    </w:p>
    <w:p w:rsidR="007F7D1F" w:rsidRDefault="007F7D1F" w:rsidP="007F7D1F">
      <w:r w:rsidRPr="00E37A18">
        <w:rPr>
          <w:color w:val="FF0000"/>
        </w:rPr>
        <w:t>Remodelage excessif</w:t>
      </w:r>
      <w:r>
        <w:t xml:space="preserve"> d</w:t>
      </w:r>
      <w:r w:rsidR="00E37A18">
        <w:t>u</w:t>
      </w:r>
      <w:r>
        <w:t xml:space="preserve"> tissu osseu</w:t>
      </w:r>
      <w:r w:rsidR="00E37A18">
        <w:t>x</w:t>
      </w:r>
      <w:r>
        <w:t xml:space="preserve"> avec matrice mal structurée= fragilisation des os</w:t>
      </w:r>
    </w:p>
    <w:p w:rsidR="007F7D1F" w:rsidRDefault="007F7D1F" w:rsidP="007F7D1F">
      <w:r>
        <w:t>Asymptomatique ou douleurs osseuses</w:t>
      </w:r>
    </w:p>
    <w:p w:rsidR="007F7D1F" w:rsidRDefault="007F7D1F" w:rsidP="007F7D1F">
      <w:r>
        <w:t>Marqueurs :</w:t>
      </w:r>
    </w:p>
    <w:p w:rsidR="007F7D1F" w:rsidRDefault="00E37A18" w:rsidP="007F7D1F">
      <w:pPr>
        <w:pStyle w:val="Style1"/>
      </w:pPr>
      <w:r>
        <w:t>Phosphatases</w:t>
      </w:r>
      <w:r w:rsidR="007F7D1F">
        <w:t xml:space="preserve"> alcalines</w:t>
      </w:r>
    </w:p>
    <w:p w:rsidR="007F7D1F" w:rsidRDefault="007F7D1F" w:rsidP="007F7D1F">
      <w:pPr>
        <w:pStyle w:val="Style1"/>
      </w:pPr>
      <w:r>
        <w:t>CTX (cross laps)</w:t>
      </w:r>
    </w:p>
    <w:p w:rsidR="007F7D1F" w:rsidRDefault="00E37A18" w:rsidP="007F7D1F">
      <w:pPr>
        <w:pStyle w:val="Style1"/>
      </w:pPr>
      <w:r>
        <w:t>Intérêt</w:t>
      </w:r>
      <w:r w:rsidR="007F7D1F">
        <w:t xml:space="preserve"> : </w:t>
      </w:r>
      <w:r>
        <w:t>évaluation</w:t>
      </w:r>
      <w:r w:rsidR="007F7D1F">
        <w:t xml:space="preserve"> activité maladie/ttt</w:t>
      </w:r>
    </w:p>
    <w:p w:rsidR="007F7D1F" w:rsidRDefault="007F7D1F" w:rsidP="007F7D1F">
      <w:pPr>
        <w:pStyle w:val="Style1"/>
        <w:numPr>
          <w:ilvl w:val="0"/>
          <w:numId w:val="0"/>
        </w:numPr>
        <w:ind w:left="2136" w:hanging="360"/>
      </w:pPr>
    </w:p>
    <w:p w:rsidR="007F7D1F" w:rsidRDefault="007F7D1F" w:rsidP="007F7D1F">
      <w:pPr>
        <w:pStyle w:val="Titre3"/>
      </w:pPr>
      <w:r>
        <w:t>hyperparathyroidie primaire</w:t>
      </w:r>
    </w:p>
    <w:p w:rsidR="007F7D1F" w:rsidRDefault="00DC4AB0" w:rsidP="007F7D1F">
      <w:r w:rsidRPr="00E37A18">
        <w:rPr>
          <w:noProof/>
          <w:color w:val="FF0000"/>
          <w:lang w:val="fr-FR" w:eastAsia="fr-FR"/>
        </w:rPr>
        <w:drawing>
          <wp:anchor distT="0" distB="0" distL="114300" distR="114300" simplePos="0" relativeHeight="251659264" behindDoc="0" locked="0" layoutInCell="1" allowOverlap="1" wp14:anchorId="1E15FFBE" wp14:editId="4D00D4E5">
            <wp:simplePos x="0" y="0"/>
            <wp:positionH relativeFrom="column">
              <wp:posOffset>2487295</wp:posOffset>
            </wp:positionH>
            <wp:positionV relativeFrom="paragraph">
              <wp:posOffset>50800</wp:posOffset>
            </wp:positionV>
            <wp:extent cx="3967480" cy="2967355"/>
            <wp:effectExtent l="0" t="0" r="0" b="4445"/>
            <wp:wrapSquare wrapText="bothSides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7480" cy="296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7A18" w:rsidRPr="00E37A18">
        <w:rPr>
          <w:color w:val="FF0000"/>
        </w:rPr>
        <w:t>Hypersécrétion</w:t>
      </w:r>
      <w:r w:rsidR="007F7D1F" w:rsidRPr="00E37A18">
        <w:rPr>
          <w:color w:val="FF0000"/>
        </w:rPr>
        <w:t xml:space="preserve"> de PTH</w:t>
      </w:r>
    </w:p>
    <w:p w:rsidR="00DC4AB0" w:rsidRDefault="00DC4AB0" w:rsidP="007F7D1F">
      <w:r>
        <w:t xml:space="preserve">Pas de clinique spé </w:t>
      </w:r>
      <w:r w:rsidR="00E37A18">
        <w:t>(lithiases</w:t>
      </w:r>
      <w:r>
        <w:t xml:space="preserve"> rénales, hypercalcémies douleurs…)</w:t>
      </w:r>
    </w:p>
    <w:p w:rsidR="00DC4AB0" w:rsidRDefault="00DC4AB0" w:rsidP="00DC4AB0">
      <w:r>
        <w:t xml:space="preserve">Diagnostic sur </w:t>
      </w:r>
      <w:r w:rsidRPr="00E37A18">
        <w:rPr>
          <w:color w:val="FF0000"/>
        </w:rPr>
        <w:t>dosage PTH</w:t>
      </w:r>
    </w:p>
    <w:p w:rsidR="00DC4AB0" w:rsidRPr="007F7D1F" w:rsidRDefault="00DC4AB0" w:rsidP="00DC4AB0">
      <w:pPr>
        <w:numPr>
          <w:ilvl w:val="0"/>
          <w:numId w:val="0"/>
        </w:numPr>
        <w:ind w:left="720" w:hanging="360"/>
      </w:pPr>
      <w:bookmarkStart w:id="0" w:name="_GoBack"/>
      <w:bookmarkEnd w:id="0"/>
    </w:p>
    <w:sectPr w:rsidR="00DC4AB0" w:rsidRPr="007F7D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A3B08"/>
    <w:multiLevelType w:val="hybridMultilevel"/>
    <w:tmpl w:val="DCF40966"/>
    <w:lvl w:ilvl="0" w:tplc="8FE6D7EC">
      <w:start w:val="1"/>
      <w:numFmt w:val="bullet"/>
      <w:pStyle w:val="Style1"/>
      <w:lvlText w:val=""/>
      <w:lvlJc w:val="left"/>
      <w:pPr>
        <w:ind w:left="21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">
    <w:nsid w:val="044209D0"/>
    <w:multiLevelType w:val="hybridMultilevel"/>
    <w:tmpl w:val="A4A4BAA6"/>
    <w:lvl w:ilvl="0" w:tplc="AEC8AB20">
      <w:start w:val="1"/>
      <w:numFmt w:val="lowerLetter"/>
      <w:lvlText w:val="%1)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B5861B8"/>
    <w:multiLevelType w:val="hybridMultilevel"/>
    <w:tmpl w:val="2BD04E68"/>
    <w:lvl w:ilvl="0" w:tplc="DD46565A">
      <w:start w:val="1"/>
      <w:numFmt w:val="upperLetter"/>
      <w:pStyle w:val="Titre2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3D74850"/>
    <w:multiLevelType w:val="hybridMultilevel"/>
    <w:tmpl w:val="C27CB6B8"/>
    <w:lvl w:ilvl="0" w:tplc="681A0344">
      <w:start w:val="1"/>
      <w:numFmt w:val="upperRoman"/>
      <w:pStyle w:val="Titre3"/>
      <w:lvlText w:val="%1."/>
      <w:lvlJc w:val="righ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66C84372"/>
    <w:multiLevelType w:val="hybridMultilevel"/>
    <w:tmpl w:val="DBF27D54"/>
    <w:lvl w:ilvl="0" w:tplc="9DFC3DE6">
      <w:start w:val="1"/>
      <w:numFmt w:val="lowerLetter"/>
      <w:pStyle w:val="Titre4"/>
      <w:lvlText w:val="%1)"/>
      <w:lvlJc w:val="left"/>
      <w:pPr>
        <w:ind w:left="2136" w:hanging="360"/>
      </w:pPr>
    </w:lvl>
    <w:lvl w:ilvl="1" w:tplc="040C0019" w:tentative="1">
      <w:start w:val="1"/>
      <w:numFmt w:val="lowerLetter"/>
      <w:lvlText w:val="%2."/>
      <w:lvlJc w:val="left"/>
      <w:pPr>
        <w:ind w:left="2856" w:hanging="360"/>
      </w:pPr>
    </w:lvl>
    <w:lvl w:ilvl="2" w:tplc="040C001B" w:tentative="1">
      <w:start w:val="1"/>
      <w:numFmt w:val="lowerRoman"/>
      <w:lvlText w:val="%3."/>
      <w:lvlJc w:val="right"/>
      <w:pPr>
        <w:ind w:left="3576" w:hanging="180"/>
      </w:pPr>
    </w:lvl>
    <w:lvl w:ilvl="3" w:tplc="040C000F" w:tentative="1">
      <w:start w:val="1"/>
      <w:numFmt w:val="decimal"/>
      <w:lvlText w:val="%4."/>
      <w:lvlJc w:val="left"/>
      <w:pPr>
        <w:ind w:left="4296" w:hanging="360"/>
      </w:pPr>
    </w:lvl>
    <w:lvl w:ilvl="4" w:tplc="040C0019" w:tentative="1">
      <w:start w:val="1"/>
      <w:numFmt w:val="lowerLetter"/>
      <w:lvlText w:val="%5."/>
      <w:lvlJc w:val="left"/>
      <w:pPr>
        <w:ind w:left="5016" w:hanging="360"/>
      </w:pPr>
    </w:lvl>
    <w:lvl w:ilvl="5" w:tplc="040C001B" w:tentative="1">
      <w:start w:val="1"/>
      <w:numFmt w:val="lowerRoman"/>
      <w:lvlText w:val="%6."/>
      <w:lvlJc w:val="right"/>
      <w:pPr>
        <w:ind w:left="5736" w:hanging="180"/>
      </w:pPr>
    </w:lvl>
    <w:lvl w:ilvl="6" w:tplc="040C000F" w:tentative="1">
      <w:start w:val="1"/>
      <w:numFmt w:val="decimal"/>
      <w:lvlText w:val="%7."/>
      <w:lvlJc w:val="left"/>
      <w:pPr>
        <w:ind w:left="6456" w:hanging="360"/>
      </w:pPr>
    </w:lvl>
    <w:lvl w:ilvl="7" w:tplc="040C0019" w:tentative="1">
      <w:start w:val="1"/>
      <w:numFmt w:val="lowerLetter"/>
      <w:lvlText w:val="%8."/>
      <w:lvlJc w:val="left"/>
      <w:pPr>
        <w:ind w:left="7176" w:hanging="360"/>
      </w:pPr>
    </w:lvl>
    <w:lvl w:ilvl="8" w:tplc="040C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>
    <w:nsid w:val="6B317EE5"/>
    <w:multiLevelType w:val="hybridMultilevel"/>
    <w:tmpl w:val="E3B89068"/>
    <w:lvl w:ilvl="0" w:tplc="137E250E">
      <w:start w:val="1"/>
      <w:numFmt w:val="bullet"/>
      <w:pStyle w:val="Nor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294C02"/>
    <w:multiLevelType w:val="hybridMultilevel"/>
    <w:tmpl w:val="585E7A60"/>
    <w:lvl w:ilvl="0" w:tplc="44085122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1053AC"/>
    <w:multiLevelType w:val="hybridMultilevel"/>
    <w:tmpl w:val="5FEEA2FE"/>
    <w:lvl w:ilvl="0" w:tplc="1A28C2C0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637811"/>
    <w:multiLevelType w:val="hybridMultilevel"/>
    <w:tmpl w:val="6248E1AE"/>
    <w:lvl w:ilvl="0" w:tplc="B248F37C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5"/>
  </w:num>
  <w:num w:numId="3">
    <w:abstractNumId w:val="7"/>
  </w:num>
  <w:num w:numId="4">
    <w:abstractNumId w:val="6"/>
  </w:num>
  <w:num w:numId="5">
    <w:abstractNumId w:val="5"/>
  </w:num>
  <w:num w:numId="6">
    <w:abstractNumId w:val="5"/>
  </w:num>
  <w:num w:numId="7">
    <w:abstractNumId w:val="5"/>
  </w:num>
  <w:num w:numId="8">
    <w:abstractNumId w:val="5"/>
  </w:num>
  <w:num w:numId="9">
    <w:abstractNumId w:val="5"/>
  </w:num>
  <w:num w:numId="10">
    <w:abstractNumId w:val="5"/>
  </w:num>
  <w:num w:numId="11">
    <w:abstractNumId w:val="5"/>
  </w:num>
  <w:num w:numId="12">
    <w:abstractNumId w:val="5"/>
  </w:num>
  <w:num w:numId="13">
    <w:abstractNumId w:val="5"/>
  </w:num>
  <w:num w:numId="14">
    <w:abstractNumId w:val="5"/>
  </w:num>
  <w:num w:numId="15">
    <w:abstractNumId w:val="5"/>
  </w:num>
  <w:num w:numId="16">
    <w:abstractNumId w:val="5"/>
  </w:num>
  <w:num w:numId="17">
    <w:abstractNumId w:val="5"/>
  </w:num>
  <w:num w:numId="18">
    <w:abstractNumId w:val="5"/>
  </w:num>
  <w:num w:numId="19">
    <w:abstractNumId w:val="2"/>
  </w:num>
  <w:num w:numId="20">
    <w:abstractNumId w:val="8"/>
  </w:num>
  <w:num w:numId="21">
    <w:abstractNumId w:val="0"/>
  </w:num>
  <w:num w:numId="22">
    <w:abstractNumId w:val="1"/>
  </w:num>
  <w:num w:numId="23">
    <w:abstractNumId w:val="1"/>
  </w:num>
  <w:num w:numId="24">
    <w:abstractNumId w:val="3"/>
  </w:num>
  <w:num w:numId="25">
    <w:abstractNumId w:val="2"/>
  </w:num>
  <w:num w:numId="26">
    <w:abstractNumId w:val="4"/>
  </w:num>
  <w:num w:numId="27">
    <w:abstractNumId w:val="3"/>
    <w:lvlOverride w:ilvl="0">
      <w:startOverride w:val="1"/>
    </w:lvlOverride>
  </w:num>
  <w:num w:numId="28">
    <w:abstractNumId w:val="4"/>
    <w:lvlOverride w:ilvl="0">
      <w:startOverride w:val="1"/>
    </w:lvlOverride>
  </w:num>
  <w:num w:numId="29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553"/>
    <w:rsid w:val="001C4436"/>
    <w:rsid w:val="00252B06"/>
    <w:rsid w:val="002B4109"/>
    <w:rsid w:val="0034386E"/>
    <w:rsid w:val="00351553"/>
    <w:rsid w:val="00390DEB"/>
    <w:rsid w:val="003B3D41"/>
    <w:rsid w:val="00411164"/>
    <w:rsid w:val="00463BE8"/>
    <w:rsid w:val="00464B0F"/>
    <w:rsid w:val="007F7D1F"/>
    <w:rsid w:val="008434C4"/>
    <w:rsid w:val="008B6417"/>
    <w:rsid w:val="0098622F"/>
    <w:rsid w:val="00AF5AFF"/>
    <w:rsid w:val="00B20473"/>
    <w:rsid w:val="00B30B32"/>
    <w:rsid w:val="00BA350A"/>
    <w:rsid w:val="00BD7184"/>
    <w:rsid w:val="00BE279D"/>
    <w:rsid w:val="00C56FA6"/>
    <w:rsid w:val="00C91BBC"/>
    <w:rsid w:val="00D13263"/>
    <w:rsid w:val="00D5507D"/>
    <w:rsid w:val="00DC4AB0"/>
    <w:rsid w:val="00E15EEE"/>
    <w:rsid w:val="00E37A18"/>
    <w:rsid w:val="00EC566C"/>
    <w:rsid w:val="00ED2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fr-MC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texte"/>
    <w:qFormat/>
    <w:rsid w:val="00D5507D"/>
    <w:pPr>
      <w:numPr>
        <w:numId w:val="18"/>
      </w:numPr>
      <w:spacing w:after="80" w:line="240" w:lineRule="auto"/>
    </w:pPr>
  </w:style>
  <w:style w:type="paragraph" w:styleId="Titre1">
    <w:name w:val="heading 1"/>
    <w:basedOn w:val="Normal"/>
    <w:next w:val="Normal"/>
    <w:link w:val="Titre1Car"/>
    <w:uiPriority w:val="9"/>
    <w:qFormat/>
    <w:rsid w:val="00D5507D"/>
    <w:pPr>
      <w:numPr>
        <w:numId w:val="0"/>
      </w:numPr>
      <w:pBdr>
        <w:bottom w:val="thinThickSmallGap" w:sz="12" w:space="1" w:color="943634" w:themeColor="accent2" w:themeShade="BF"/>
      </w:pBdr>
      <w:spacing w:before="400"/>
      <w:ind w:left="720" w:hanging="36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Titre2">
    <w:name w:val="heading 2"/>
    <w:basedOn w:val="Normal"/>
    <w:next w:val="Normal"/>
    <w:link w:val="Titre2Car"/>
    <w:autoRedefine/>
    <w:uiPriority w:val="9"/>
    <w:unhideWhenUsed/>
    <w:qFormat/>
    <w:rsid w:val="00D13263"/>
    <w:pPr>
      <w:numPr>
        <w:numId w:val="19"/>
      </w:num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Titre3">
    <w:name w:val="heading 3"/>
    <w:basedOn w:val="Normal"/>
    <w:next w:val="Normal"/>
    <w:link w:val="Titre3Car"/>
    <w:autoRedefine/>
    <w:uiPriority w:val="9"/>
    <w:unhideWhenUsed/>
    <w:qFormat/>
    <w:rsid w:val="00411164"/>
    <w:pPr>
      <w:numPr>
        <w:numId w:val="24"/>
      </w:numPr>
      <w:spacing w:before="300"/>
      <w:outlineLvl w:val="2"/>
    </w:pPr>
    <w:rPr>
      <w:caps/>
      <w:color w:val="622423" w:themeColor="accent2" w:themeShade="7F"/>
      <w:sz w:val="24"/>
      <w:szCs w:val="24"/>
      <w:u w:val="single"/>
    </w:rPr>
  </w:style>
  <w:style w:type="paragraph" w:styleId="Titre4">
    <w:name w:val="heading 4"/>
    <w:basedOn w:val="Titre3"/>
    <w:next w:val="Normal"/>
    <w:link w:val="Titre4Car"/>
    <w:autoRedefine/>
    <w:uiPriority w:val="9"/>
    <w:unhideWhenUsed/>
    <w:qFormat/>
    <w:rsid w:val="00BE279D"/>
    <w:pPr>
      <w:numPr>
        <w:numId w:val="26"/>
      </w:numPr>
      <w:spacing w:after="120"/>
      <w:outlineLvl w:val="3"/>
    </w:pPr>
    <w:rPr>
      <w:caps w:val="0"/>
      <w:spacing w:val="10"/>
      <w:u w:val="dottedHeavy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D5507D"/>
    <w:pPr>
      <w:numPr>
        <w:numId w:val="0"/>
      </w:numPr>
      <w:spacing w:before="320" w:after="120"/>
      <w:ind w:left="720" w:hanging="360"/>
      <w:jc w:val="center"/>
      <w:outlineLvl w:val="4"/>
    </w:pPr>
    <w:rPr>
      <w:caps/>
      <w:color w:val="622423" w:themeColor="accent2" w:themeShade="7F"/>
      <w:spacing w:val="10"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5"/>
    </w:pPr>
    <w:rPr>
      <w:caps/>
      <w:color w:val="943634" w:themeColor="accent2" w:themeShade="BF"/>
      <w:spacing w:val="10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7"/>
    </w:pPr>
    <w:rPr>
      <w:caps/>
      <w:spacing w:val="10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D5507D"/>
    <w:rPr>
      <w:caps/>
      <w:color w:val="632423" w:themeColor="accent2" w:themeShade="80"/>
      <w:spacing w:val="20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D13263"/>
    <w:rPr>
      <w:caps/>
      <w:color w:val="632423" w:themeColor="accent2" w:themeShade="80"/>
      <w:spacing w:val="15"/>
      <w:sz w:val="24"/>
      <w:szCs w:val="24"/>
    </w:rPr>
  </w:style>
  <w:style w:type="character" w:customStyle="1" w:styleId="Titre3Car">
    <w:name w:val="Titre 3 Car"/>
    <w:basedOn w:val="Policepardfaut"/>
    <w:link w:val="Titre3"/>
    <w:uiPriority w:val="9"/>
    <w:rsid w:val="00411164"/>
    <w:rPr>
      <w:caps/>
      <w:color w:val="622423" w:themeColor="accent2" w:themeShade="7F"/>
      <w:sz w:val="24"/>
      <w:szCs w:val="24"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BE279D"/>
    <w:rPr>
      <w:color w:val="622423" w:themeColor="accent2" w:themeShade="7F"/>
      <w:spacing w:val="10"/>
      <w:sz w:val="24"/>
      <w:szCs w:val="24"/>
      <w:u w:val="dottedHeavy"/>
    </w:rPr>
  </w:style>
  <w:style w:type="character" w:customStyle="1" w:styleId="Titre5Car">
    <w:name w:val="Titre 5 Car"/>
    <w:basedOn w:val="Policepardfaut"/>
    <w:link w:val="Titre5"/>
    <w:uiPriority w:val="9"/>
    <w:rsid w:val="00D5507D"/>
    <w:rPr>
      <w:caps/>
      <w:color w:val="622423" w:themeColor="accent2" w:themeShade="7F"/>
      <w:spacing w:val="10"/>
    </w:rPr>
  </w:style>
  <w:style w:type="character" w:customStyle="1" w:styleId="Titre6Car">
    <w:name w:val="Titre 6 Car"/>
    <w:basedOn w:val="Policepardfaut"/>
    <w:link w:val="Titre6"/>
    <w:uiPriority w:val="9"/>
    <w:rsid w:val="00D5507D"/>
    <w:rPr>
      <w:caps/>
      <w:color w:val="943634" w:themeColor="accent2" w:themeShade="BF"/>
      <w:spacing w:val="10"/>
    </w:rPr>
  </w:style>
  <w:style w:type="character" w:customStyle="1" w:styleId="Titre7Car">
    <w:name w:val="Titre 7 Car"/>
    <w:basedOn w:val="Policepardfaut"/>
    <w:link w:val="Titre7"/>
    <w:uiPriority w:val="9"/>
    <w:semiHidden/>
    <w:rsid w:val="00D5507D"/>
    <w:rPr>
      <w:i/>
      <w:iCs/>
      <w:caps/>
      <w:color w:val="943634" w:themeColor="accent2" w:themeShade="BF"/>
      <w:spacing w:val="10"/>
    </w:rPr>
  </w:style>
  <w:style w:type="character" w:customStyle="1" w:styleId="Titre8Car">
    <w:name w:val="Titre 8 Car"/>
    <w:basedOn w:val="Policepardfaut"/>
    <w:link w:val="Titre8"/>
    <w:uiPriority w:val="9"/>
    <w:semiHidden/>
    <w:rsid w:val="00D5507D"/>
    <w:rPr>
      <w:caps/>
      <w:spacing w:val="10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D5507D"/>
    <w:rPr>
      <w:i/>
      <w:iCs/>
      <w:caps/>
      <w:spacing w:val="10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D5507D"/>
    <w:pPr>
      <w:numPr>
        <w:numId w:val="0"/>
      </w:numPr>
    </w:pPr>
    <w:rPr>
      <w:caps/>
      <w:spacing w:val="10"/>
      <w:sz w:val="18"/>
      <w:szCs w:val="18"/>
    </w:rPr>
  </w:style>
  <w:style w:type="paragraph" w:styleId="Titre">
    <w:name w:val="Title"/>
    <w:basedOn w:val="Normal"/>
    <w:next w:val="Normal"/>
    <w:link w:val="TitreCar"/>
    <w:uiPriority w:val="10"/>
    <w:qFormat/>
    <w:rsid w:val="00D5507D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reCar">
    <w:name w:val="Titre Car"/>
    <w:basedOn w:val="Policepardfaut"/>
    <w:link w:val="Titre"/>
    <w:uiPriority w:val="10"/>
    <w:rsid w:val="00D5507D"/>
    <w:rPr>
      <w:caps/>
      <w:color w:val="632423" w:themeColor="accent2" w:themeShade="80"/>
      <w:spacing w:val="50"/>
      <w:sz w:val="44"/>
      <w:szCs w:val="44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D5507D"/>
    <w:pPr>
      <w:numPr>
        <w:numId w:val="0"/>
      </w:numPr>
      <w:spacing w:after="560"/>
      <w:ind w:left="720" w:hanging="360"/>
      <w:jc w:val="center"/>
    </w:pPr>
    <w:rPr>
      <w:caps/>
      <w:spacing w:val="20"/>
      <w:sz w:val="18"/>
      <w:szCs w:val="18"/>
    </w:rPr>
  </w:style>
  <w:style w:type="character" w:customStyle="1" w:styleId="Sous-titreCar">
    <w:name w:val="Sous-titre Car"/>
    <w:basedOn w:val="Policepardfaut"/>
    <w:link w:val="Sous-titre"/>
    <w:uiPriority w:val="11"/>
    <w:rsid w:val="00D5507D"/>
    <w:rPr>
      <w:caps/>
      <w:spacing w:val="20"/>
      <w:sz w:val="18"/>
      <w:szCs w:val="18"/>
    </w:rPr>
  </w:style>
  <w:style w:type="character" w:styleId="lev">
    <w:name w:val="Strong"/>
    <w:uiPriority w:val="22"/>
    <w:qFormat/>
    <w:rsid w:val="00D5507D"/>
    <w:rPr>
      <w:b/>
      <w:bCs/>
      <w:color w:val="943634" w:themeColor="accent2" w:themeShade="BF"/>
      <w:spacing w:val="5"/>
    </w:rPr>
  </w:style>
  <w:style w:type="character" w:styleId="Accentuation">
    <w:name w:val="Emphasis"/>
    <w:uiPriority w:val="20"/>
    <w:qFormat/>
    <w:rsid w:val="00D5507D"/>
    <w:rPr>
      <w:caps/>
      <w:spacing w:val="5"/>
      <w:sz w:val="20"/>
      <w:szCs w:val="20"/>
    </w:rPr>
  </w:style>
  <w:style w:type="paragraph" w:styleId="Sansinterligne">
    <w:name w:val="No Spacing"/>
    <w:basedOn w:val="Normal"/>
    <w:link w:val="SansinterligneCar"/>
    <w:uiPriority w:val="1"/>
    <w:qFormat/>
    <w:rsid w:val="00D5507D"/>
    <w:pPr>
      <w:numPr>
        <w:numId w:val="0"/>
      </w:numPr>
      <w:spacing w:after="0"/>
      <w:ind w:left="720" w:hanging="360"/>
    </w:pPr>
  </w:style>
  <w:style w:type="character" w:customStyle="1" w:styleId="SansinterligneCar">
    <w:name w:val="Sans interligne Car"/>
    <w:basedOn w:val="Policepardfaut"/>
    <w:link w:val="Sansinterligne"/>
    <w:uiPriority w:val="1"/>
    <w:rsid w:val="00D5507D"/>
  </w:style>
  <w:style w:type="paragraph" w:styleId="Paragraphedeliste">
    <w:name w:val="List Paragraph"/>
    <w:basedOn w:val="Normal"/>
    <w:uiPriority w:val="34"/>
    <w:qFormat/>
    <w:rsid w:val="00D5507D"/>
    <w:pPr>
      <w:numPr>
        <w:numId w:val="0"/>
      </w:numPr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D5507D"/>
    <w:pPr>
      <w:numPr>
        <w:numId w:val="0"/>
      </w:numPr>
      <w:ind w:left="720" w:hanging="360"/>
    </w:pPr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rsid w:val="00D5507D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D5507D"/>
    <w:pPr>
      <w:numPr>
        <w:numId w:val="0"/>
      </w:num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 w:hanging="36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D5507D"/>
    <w:rPr>
      <w:caps/>
      <w:color w:val="622423" w:themeColor="accent2" w:themeShade="7F"/>
      <w:spacing w:val="5"/>
      <w:sz w:val="20"/>
      <w:szCs w:val="20"/>
    </w:rPr>
  </w:style>
  <w:style w:type="character" w:styleId="Emphaseple">
    <w:name w:val="Subtle Emphasis"/>
    <w:uiPriority w:val="19"/>
    <w:qFormat/>
    <w:rsid w:val="00D5507D"/>
    <w:rPr>
      <w:i/>
      <w:iCs/>
    </w:rPr>
  </w:style>
  <w:style w:type="character" w:styleId="Emphaseintense">
    <w:name w:val="Intense Emphasis"/>
    <w:uiPriority w:val="21"/>
    <w:qFormat/>
    <w:rsid w:val="00D5507D"/>
    <w:rPr>
      <w:i/>
      <w:iCs/>
      <w:caps/>
      <w:spacing w:val="10"/>
      <w:sz w:val="20"/>
      <w:szCs w:val="20"/>
    </w:rPr>
  </w:style>
  <w:style w:type="character" w:styleId="Rfrenceple">
    <w:name w:val="Subtle Reference"/>
    <w:basedOn w:val="Policepardfaut"/>
    <w:uiPriority w:val="31"/>
    <w:qFormat/>
    <w:rsid w:val="00D5507D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Rfrenceintense">
    <w:name w:val="Intense Reference"/>
    <w:uiPriority w:val="32"/>
    <w:qFormat/>
    <w:rsid w:val="00D5507D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itredulivre">
    <w:name w:val="Book Title"/>
    <w:uiPriority w:val="33"/>
    <w:qFormat/>
    <w:rsid w:val="00D5507D"/>
    <w:rPr>
      <w:caps/>
      <w:color w:val="622423" w:themeColor="accent2" w:themeShade="7F"/>
      <w:spacing w:val="5"/>
      <w:u w:color="622423" w:themeColor="accent2" w:themeShade="7F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D5507D"/>
    <w:pPr>
      <w:ind w:left="0" w:firstLine="0"/>
      <w:outlineLvl w:val="9"/>
    </w:pPr>
  </w:style>
  <w:style w:type="paragraph" w:customStyle="1" w:styleId="Style1">
    <w:name w:val="Style1"/>
    <w:basedOn w:val="Normal"/>
    <w:autoRedefine/>
    <w:qFormat/>
    <w:rsid w:val="00C91BBC"/>
    <w:pPr>
      <w:numPr>
        <w:numId w:val="21"/>
      </w:numPr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8B6417"/>
    <w:pPr>
      <w:spacing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B64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fr-MC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texte"/>
    <w:qFormat/>
    <w:rsid w:val="00D5507D"/>
    <w:pPr>
      <w:numPr>
        <w:numId w:val="18"/>
      </w:numPr>
      <w:spacing w:after="80" w:line="240" w:lineRule="auto"/>
    </w:pPr>
  </w:style>
  <w:style w:type="paragraph" w:styleId="Titre1">
    <w:name w:val="heading 1"/>
    <w:basedOn w:val="Normal"/>
    <w:next w:val="Normal"/>
    <w:link w:val="Titre1Car"/>
    <w:uiPriority w:val="9"/>
    <w:qFormat/>
    <w:rsid w:val="00D5507D"/>
    <w:pPr>
      <w:numPr>
        <w:numId w:val="0"/>
      </w:numPr>
      <w:pBdr>
        <w:bottom w:val="thinThickSmallGap" w:sz="12" w:space="1" w:color="943634" w:themeColor="accent2" w:themeShade="BF"/>
      </w:pBdr>
      <w:spacing w:before="400"/>
      <w:ind w:left="720" w:hanging="36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Titre2">
    <w:name w:val="heading 2"/>
    <w:basedOn w:val="Normal"/>
    <w:next w:val="Normal"/>
    <w:link w:val="Titre2Car"/>
    <w:autoRedefine/>
    <w:uiPriority w:val="9"/>
    <w:unhideWhenUsed/>
    <w:qFormat/>
    <w:rsid w:val="00D13263"/>
    <w:pPr>
      <w:numPr>
        <w:numId w:val="19"/>
      </w:num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Titre3">
    <w:name w:val="heading 3"/>
    <w:basedOn w:val="Normal"/>
    <w:next w:val="Normal"/>
    <w:link w:val="Titre3Car"/>
    <w:autoRedefine/>
    <w:uiPriority w:val="9"/>
    <w:unhideWhenUsed/>
    <w:qFormat/>
    <w:rsid w:val="00411164"/>
    <w:pPr>
      <w:numPr>
        <w:numId w:val="24"/>
      </w:numPr>
      <w:spacing w:before="300"/>
      <w:outlineLvl w:val="2"/>
    </w:pPr>
    <w:rPr>
      <w:caps/>
      <w:color w:val="622423" w:themeColor="accent2" w:themeShade="7F"/>
      <w:sz w:val="24"/>
      <w:szCs w:val="24"/>
      <w:u w:val="single"/>
    </w:rPr>
  </w:style>
  <w:style w:type="paragraph" w:styleId="Titre4">
    <w:name w:val="heading 4"/>
    <w:basedOn w:val="Titre3"/>
    <w:next w:val="Normal"/>
    <w:link w:val="Titre4Car"/>
    <w:autoRedefine/>
    <w:uiPriority w:val="9"/>
    <w:unhideWhenUsed/>
    <w:qFormat/>
    <w:rsid w:val="00BE279D"/>
    <w:pPr>
      <w:numPr>
        <w:numId w:val="26"/>
      </w:numPr>
      <w:spacing w:after="120"/>
      <w:outlineLvl w:val="3"/>
    </w:pPr>
    <w:rPr>
      <w:caps w:val="0"/>
      <w:spacing w:val="10"/>
      <w:u w:val="dottedHeavy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D5507D"/>
    <w:pPr>
      <w:numPr>
        <w:numId w:val="0"/>
      </w:numPr>
      <w:spacing w:before="320" w:after="120"/>
      <w:ind w:left="720" w:hanging="360"/>
      <w:jc w:val="center"/>
      <w:outlineLvl w:val="4"/>
    </w:pPr>
    <w:rPr>
      <w:caps/>
      <w:color w:val="622423" w:themeColor="accent2" w:themeShade="7F"/>
      <w:spacing w:val="10"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5"/>
    </w:pPr>
    <w:rPr>
      <w:caps/>
      <w:color w:val="943634" w:themeColor="accent2" w:themeShade="BF"/>
      <w:spacing w:val="10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7"/>
    </w:pPr>
    <w:rPr>
      <w:caps/>
      <w:spacing w:val="10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D5507D"/>
    <w:rPr>
      <w:caps/>
      <w:color w:val="632423" w:themeColor="accent2" w:themeShade="80"/>
      <w:spacing w:val="20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D13263"/>
    <w:rPr>
      <w:caps/>
      <w:color w:val="632423" w:themeColor="accent2" w:themeShade="80"/>
      <w:spacing w:val="15"/>
      <w:sz w:val="24"/>
      <w:szCs w:val="24"/>
    </w:rPr>
  </w:style>
  <w:style w:type="character" w:customStyle="1" w:styleId="Titre3Car">
    <w:name w:val="Titre 3 Car"/>
    <w:basedOn w:val="Policepardfaut"/>
    <w:link w:val="Titre3"/>
    <w:uiPriority w:val="9"/>
    <w:rsid w:val="00411164"/>
    <w:rPr>
      <w:caps/>
      <w:color w:val="622423" w:themeColor="accent2" w:themeShade="7F"/>
      <w:sz w:val="24"/>
      <w:szCs w:val="24"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BE279D"/>
    <w:rPr>
      <w:color w:val="622423" w:themeColor="accent2" w:themeShade="7F"/>
      <w:spacing w:val="10"/>
      <w:sz w:val="24"/>
      <w:szCs w:val="24"/>
      <w:u w:val="dottedHeavy"/>
    </w:rPr>
  </w:style>
  <w:style w:type="character" w:customStyle="1" w:styleId="Titre5Car">
    <w:name w:val="Titre 5 Car"/>
    <w:basedOn w:val="Policepardfaut"/>
    <w:link w:val="Titre5"/>
    <w:uiPriority w:val="9"/>
    <w:rsid w:val="00D5507D"/>
    <w:rPr>
      <w:caps/>
      <w:color w:val="622423" w:themeColor="accent2" w:themeShade="7F"/>
      <w:spacing w:val="10"/>
    </w:rPr>
  </w:style>
  <w:style w:type="character" w:customStyle="1" w:styleId="Titre6Car">
    <w:name w:val="Titre 6 Car"/>
    <w:basedOn w:val="Policepardfaut"/>
    <w:link w:val="Titre6"/>
    <w:uiPriority w:val="9"/>
    <w:rsid w:val="00D5507D"/>
    <w:rPr>
      <w:caps/>
      <w:color w:val="943634" w:themeColor="accent2" w:themeShade="BF"/>
      <w:spacing w:val="10"/>
    </w:rPr>
  </w:style>
  <w:style w:type="character" w:customStyle="1" w:styleId="Titre7Car">
    <w:name w:val="Titre 7 Car"/>
    <w:basedOn w:val="Policepardfaut"/>
    <w:link w:val="Titre7"/>
    <w:uiPriority w:val="9"/>
    <w:semiHidden/>
    <w:rsid w:val="00D5507D"/>
    <w:rPr>
      <w:i/>
      <w:iCs/>
      <w:caps/>
      <w:color w:val="943634" w:themeColor="accent2" w:themeShade="BF"/>
      <w:spacing w:val="10"/>
    </w:rPr>
  </w:style>
  <w:style w:type="character" w:customStyle="1" w:styleId="Titre8Car">
    <w:name w:val="Titre 8 Car"/>
    <w:basedOn w:val="Policepardfaut"/>
    <w:link w:val="Titre8"/>
    <w:uiPriority w:val="9"/>
    <w:semiHidden/>
    <w:rsid w:val="00D5507D"/>
    <w:rPr>
      <w:caps/>
      <w:spacing w:val="10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D5507D"/>
    <w:rPr>
      <w:i/>
      <w:iCs/>
      <w:caps/>
      <w:spacing w:val="10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D5507D"/>
    <w:pPr>
      <w:numPr>
        <w:numId w:val="0"/>
      </w:numPr>
    </w:pPr>
    <w:rPr>
      <w:caps/>
      <w:spacing w:val="10"/>
      <w:sz w:val="18"/>
      <w:szCs w:val="18"/>
    </w:rPr>
  </w:style>
  <w:style w:type="paragraph" w:styleId="Titre">
    <w:name w:val="Title"/>
    <w:basedOn w:val="Normal"/>
    <w:next w:val="Normal"/>
    <w:link w:val="TitreCar"/>
    <w:uiPriority w:val="10"/>
    <w:qFormat/>
    <w:rsid w:val="00D5507D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reCar">
    <w:name w:val="Titre Car"/>
    <w:basedOn w:val="Policepardfaut"/>
    <w:link w:val="Titre"/>
    <w:uiPriority w:val="10"/>
    <w:rsid w:val="00D5507D"/>
    <w:rPr>
      <w:caps/>
      <w:color w:val="632423" w:themeColor="accent2" w:themeShade="80"/>
      <w:spacing w:val="50"/>
      <w:sz w:val="44"/>
      <w:szCs w:val="44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D5507D"/>
    <w:pPr>
      <w:numPr>
        <w:numId w:val="0"/>
      </w:numPr>
      <w:spacing w:after="560"/>
      <w:ind w:left="720" w:hanging="360"/>
      <w:jc w:val="center"/>
    </w:pPr>
    <w:rPr>
      <w:caps/>
      <w:spacing w:val="20"/>
      <w:sz w:val="18"/>
      <w:szCs w:val="18"/>
    </w:rPr>
  </w:style>
  <w:style w:type="character" w:customStyle="1" w:styleId="Sous-titreCar">
    <w:name w:val="Sous-titre Car"/>
    <w:basedOn w:val="Policepardfaut"/>
    <w:link w:val="Sous-titre"/>
    <w:uiPriority w:val="11"/>
    <w:rsid w:val="00D5507D"/>
    <w:rPr>
      <w:caps/>
      <w:spacing w:val="20"/>
      <w:sz w:val="18"/>
      <w:szCs w:val="18"/>
    </w:rPr>
  </w:style>
  <w:style w:type="character" w:styleId="lev">
    <w:name w:val="Strong"/>
    <w:uiPriority w:val="22"/>
    <w:qFormat/>
    <w:rsid w:val="00D5507D"/>
    <w:rPr>
      <w:b/>
      <w:bCs/>
      <w:color w:val="943634" w:themeColor="accent2" w:themeShade="BF"/>
      <w:spacing w:val="5"/>
    </w:rPr>
  </w:style>
  <w:style w:type="character" w:styleId="Accentuation">
    <w:name w:val="Emphasis"/>
    <w:uiPriority w:val="20"/>
    <w:qFormat/>
    <w:rsid w:val="00D5507D"/>
    <w:rPr>
      <w:caps/>
      <w:spacing w:val="5"/>
      <w:sz w:val="20"/>
      <w:szCs w:val="20"/>
    </w:rPr>
  </w:style>
  <w:style w:type="paragraph" w:styleId="Sansinterligne">
    <w:name w:val="No Spacing"/>
    <w:basedOn w:val="Normal"/>
    <w:link w:val="SansinterligneCar"/>
    <w:uiPriority w:val="1"/>
    <w:qFormat/>
    <w:rsid w:val="00D5507D"/>
    <w:pPr>
      <w:numPr>
        <w:numId w:val="0"/>
      </w:numPr>
      <w:spacing w:after="0"/>
      <w:ind w:left="720" w:hanging="360"/>
    </w:pPr>
  </w:style>
  <w:style w:type="character" w:customStyle="1" w:styleId="SansinterligneCar">
    <w:name w:val="Sans interligne Car"/>
    <w:basedOn w:val="Policepardfaut"/>
    <w:link w:val="Sansinterligne"/>
    <w:uiPriority w:val="1"/>
    <w:rsid w:val="00D5507D"/>
  </w:style>
  <w:style w:type="paragraph" w:styleId="Paragraphedeliste">
    <w:name w:val="List Paragraph"/>
    <w:basedOn w:val="Normal"/>
    <w:uiPriority w:val="34"/>
    <w:qFormat/>
    <w:rsid w:val="00D5507D"/>
    <w:pPr>
      <w:numPr>
        <w:numId w:val="0"/>
      </w:numPr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D5507D"/>
    <w:pPr>
      <w:numPr>
        <w:numId w:val="0"/>
      </w:numPr>
      <w:ind w:left="720" w:hanging="360"/>
    </w:pPr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rsid w:val="00D5507D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D5507D"/>
    <w:pPr>
      <w:numPr>
        <w:numId w:val="0"/>
      </w:num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 w:hanging="36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D5507D"/>
    <w:rPr>
      <w:caps/>
      <w:color w:val="622423" w:themeColor="accent2" w:themeShade="7F"/>
      <w:spacing w:val="5"/>
      <w:sz w:val="20"/>
      <w:szCs w:val="20"/>
    </w:rPr>
  </w:style>
  <w:style w:type="character" w:styleId="Emphaseple">
    <w:name w:val="Subtle Emphasis"/>
    <w:uiPriority w:val="19"/>
    <w:qFormat/>
    <w:rsid w:val="00D5507D"/>
    <w:rPr>
      <w:i/>
      <w:iCs/>
    </w:rPr>
  </w:style>
  <w:style w:type="character" w:styleId="Emphaseintense">
    <w:name w:val="Intense Emphasis"/>
    <w:uiPriority w:val="21"/>
    <w:qFormat/>
    <w:rsid w:val="00D5507D"/>
    <w:rPr>
      <w:i/>
      <w:iCs/>
      <w:caps/>
      <w:spacing w:val="10"/>
      <w:sz w:val="20"/>
      <w:szCs w:val="20"/>
    </w:rPr>
  </w:style>
  <w:style w:type="character" w:styleId="Rfrenceple">
    <w:name w:val="Subtle Reference"/>
    <w:basedOn w:val="Policepardfaut"/>
    <w:uiPriority w:val="31"/>
    <w:qFormat/>
    <w:rsid w:val="00D5507D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Rfrenceintense">
    <w:name w:val="Intense Reference"/>
    <w:uiPriority w:val="32"/>
    <w:qFormat/>
    <w:rsid w:val="00D5507D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itredulivre">
    <w:name w:val="Book Title"/>
    <w:uiPriority w:val="33"/>
    <w:qFormat/>
    <w:rsid w:val="00D5507D"/>
    <w:rPr>
      <w:caps/>
      <w:color w:val="622423" w:themeColor="accent2" w:themeShade="7F"/>
      <w:spacing w:val="5"/>
      <w:u w:color="622423" w:themeColor="accent2" w:themeShade="7F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D5507D"/>
    <w:pPr>
      <w:ind w:left="0" w:firstLine="0"/>
      <w:outlineLvl w:val="9"/>
    </w:pPr>
  </w:style>
  <w:style w:type="paragraph" w:customStyle="1" w:styleId="Style1">
    <w:name w:val="Style1"/>
    <w:basedOn w:val="Normal"/>
    <w:autoRedefine/>
    <w:qFormat/>
    <w:rsid w:val="00C91BBC"/>
    <w:pPr>
      <w:numPr>
        <w:numId w:val="21"/>
      </w:numPr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8B6417"/>
    <w:pPr>
      <w:spacing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B64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00350C-19B4-4496-90AF-BADFA924E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530</Words>
  <Characters>2919</Characters>
  <Application>Microsoft Office Word</Application>
  <DocSecurity>0</DocSecurity>
  <Lines>24</Lines>
  <Paragraphs>6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12</vt:i4>
      </vt:variant>
    </vt:vector>
  </HeadingPairs>
  <TitlesOfParts>
    <vt:vector size="13" baseType="lpstr">
      <vt:lpstr/>
      <vt:lpstr>les marqueurs osseux</vt:lpstr>
      <vt:lpstr>    rappels sur le tissu osseux</vt:lpstr>
      <vt:lpstr>        généralités</vt:lpstr>
      <vt:lpstr>        /Sequence de remodelage</vt:lpstr>
      <vt:lpstr>        regulation de remodelage</vt:lpstr>
      <vt:lpstr>    marqueurs biochimiques du remodelage osseux</vt:lpstr>
      <vt:lpstr>        marqueur de formation osseuse</vt:lpstr>
      <vt:lpstr>        marqueurs de la resorption osseuse</vt:lpstr>
      <vt:lpstr>    principales maladies osseuses</vt:lpstr>
      <vt:lpstr>        l’ostéoporose </vt:lpstr>
      <vt:lpstr>        maladie de paget</vt:lpstr>
      <vt:lpstr>        hyperparathyroidie primaire</vt:lpstr>
    </vt:vector>
  </TitlesOfParts>
  <Company/>
  <LinksUpToDate>false</LinksUpToDate>
  <CharactersWithSpaces>3443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lilou</dc:creator>
  <cp:lastModifiedBy>lilou</cp:lastModifiedBy>
  <cp:revision>1</cp:revision>
  <dcterms:created xsi:type="dcterms:W3CDTF">2012-06-10T17:02:00Z</dcterms:created>
  <dcterms:modified xsi:type="dcterms:W3CDTF">2012-06-10T18:53:00Z</dcterms:modified>
</cp:coreProperties>
</file>