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184" w:rsidRDefault="00B34B63" w:rsidP="00B34B63">
      <w:pPr>
        <w:pStyle w:val="Titre1"/>
      </w:pPr>
      <w:r>
        <w:t>la thyroide</w:t>
      </w:r>
    </w:p>
    <w:p w:rsidR="00B34B63" w:rsidRDefault="00B34B63" w:rsidP="00B34B63">
      <w:pPr>
        <w:pStyle w:val="Titre2"/>
      </w:pPr>
      <w:r>
        <w:t>physiologie de la thyroide</w:t>
      </w:r>
    </w:p>
    <w:p w:rsidR="00820F06" w:rsidRDefault="00820F06" w:rsidP="00BF5BE5">
      <w:pPr>
        <w:pStyle w:val="Titre3"/>
      </w:pPr>
      <w:r>
        <w:rPr>
          <w:noProof/>
          <w:lang w:val="fr-FR" w:eastAsia="fr-FR"/>
        </w:rPr>
        <w:drawing>
          <wp:anchor distT="0" distB="0" distL="114300" distR="114300" simplePos="0" relativeHeight="251658240" behindDoc="0" locked="0" layoutInCell="1" allowOverlap="1" wp14:anchorId="1E0420EA" wp14:editId="1F6F7246">
            <wp:simplePos x="0" y="0"/>
            <wp:positionH relativeFrom="column">
              <wp:posOffset>3790315</wp:posOffset>
            </wp:positionH>
            <wp:positionV relativeFrom="paragraph">
              <wp:posOffset>295910</wp:posOffset>
            </wp:positionV>
            <wp:extent cx="1955800" cy="1293495"/>
            <wp:effectExtent l="0" t="0" r="6350" b="190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anatomie</w:t>
      </w:r>
    </w:p>
    <w:p w:rsidR="00820F06" w:rsidRDefault="00820F06" w:rsidP="00820F06">
      <w:r>
        <w:t>Gld endocrine à la base du cou et de la trachée</w:t>
      </w:r>
    </w:p>
    <w:p w:rsidR="00820F06" w:rsidRDefault="00820F06" w:rsidP="00820F06">
      <w:r>
        <w:t>Forme de papillon</w:t>
      </w:r>
    </w:p>
    <w:p w:rsidR="00820F06" w:rsidRDefault="00820F06" w:rsidP="00820F06">
      <w:r>
        <w:t xml:space="preserve">4à8 glandes </w:t>
      </w:r>
      <w:r w:rsidR="002F6751">
        <w:t>parathyroïdes</w:t>
      </w:r>
      <w:r>
        <w:t xml:space="preserve"> à a face post des lobes </w:t>
      </w:r>
      <w:r w:rsidR="002F6751">
        <w:t>thyroïdiens</w:t>
      </w:r>
    </w:p>
    <w:p w:rsidR="00820F06" w:rsidRDefault="00820F06" w:rsidP="00820F06">
      <w:r>
        <w:t xml:space="preserve">Histologie en follicules avec </w:t>
      </w:r>
      <w:r w:rsidR="002F6751" w:rsidRPr="002F6751">
        <w:rPr>
          <w:color w:val="FF0000"/>
        </w:rPr>
        <w:t>colloïde</w:t>
      </w:r>
      <w:r w:rsidRPr="002F6751">
        <w:rPr>
          <w:color w:val="FF0000"/>
        </w:rPr>
        <w:t xml:space="preserve"> </w:t>
      </w:r>
      <w:r>
        <w:t>à l’</w:t>
      </w:r>
      <w:r w:rsidR="002F6751">
        <w:t>intérieur</w:t>
      </w:r>
    </w:p>
    <w:p w:rsidR="00820F06" w:rsidRDefault="00820F06" w:rsidP="00820F06">
      <w:pPr>
        <w:numPr>
          <w:ilvl w:val="0"/>
          <w:numId w:val="0"/>
        </w:numPr>
        <w:ind w:left="720" w:hanging="360"/>
      </w:pPr>
    </w:p>
    <w:p w:rsidR="00820F06" w:rsidRDefault="00820F06" w:rsidP="00BF5BE5">
      <w:pPr>
        <w:pStyle w:val="Titre3"/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0" locked="0" layoutInCell="1" allowOverlap="1" wp14:anchorId="2F848345" wp14:editId="09ACAD89">
            <wp:simplePos x="0" y="0"/>
            <wp:positionH relativeFrom="column">
              <wp:posOffset>3957955</wp:posOffset>
            </wp:positionH>
            <wp:positionV relativeFrom="paragraph">
              <wp:posOffset>65405</wp:posOffset>
            </wp:positionV>
            <wp:extent cx="2273935" cy="155067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060E">
        <w:t>$ des hormones thyroidiennes</w:t>
      </w:r>
    </w:p>
    <w:p w:rsidR="004D060E" w:rsidRDefault="004D060E" w:rsidP="00BF5BE5">
      <w:pPr>
        <w:pStyle w:val="Titre4"/>
      </w:pPr>
      <w:r>
        <w:t xml:space="preserve">$ </w:t>
      </w:r>
      <w:r w:rsidR="002F6751">
        <w:t>De</w:t>
      </w:r>
      <w:r>
        <w:t xml:space="preserve"> la thyroglobuline TG</w:t>
      </w:r>
    </w:p>
    <w:p w:rsidR="004D060E" w:rsidRDefault="002F6751" w:rsidP="004D060E">
      <w:r>
        <w:t>Glycoprotéine</w:t>
      </w:r>
      <w:r w:rsidR="004D060E">
        <w:t xml:space="preserve"> homodimerique, riche en Tyr</w:t>
      </w:r>
    </w:p>
    <w:p w:rsidR="004D060E" w:rsidRDefault="004D060E" w:rsidP="004D060E">
      <w:r>
        <w:t xml:space="preserve">Sécrétée dans la </w:t>
      </w:r>
      <w:r w:rsidR="00D60D54">
        <w:t>lumière</w:t>
      </w:r>
      <w:r>
        <w:t xml:space="preserve"> du follicule</w:t>
      </w:r>
    </w:p>
    <w:p w:rsidR="004D060E" w:rsidRDefault="00D60D54" w:rsidP="004D060E">
      <w:r>
        <w:t>Représente</w:t>
      </w:r>
      <w:r w:rsidR="004D060E">
        <w:t xml:space="preserve"> 95% de la substance </w:t>
      </w:r>
      <w:r>
        <w:t>colloïdale</w:t>
      </w:r>
    </w:p>
    <w:p w:rsidR="004D060E" w:rsidRDefault="00D60D54" w:rsidP="004D060E">
      <w:r>
        <w:t>Précurseur</w:t>
      </w:r>
      <w:r w:rsidR="004D060E">
        <w:t xml:space="preserve"> des H </w:t>
      </w:r>
      <w:r>
        <w:t>thyroïdiennes</w:t>
      </w:r>
    </w:p>
    <w:p w:rsidR="004D060E" w:rsidRDefault="004D060E" w:rsidP="00BF5BE5">
      <w:pPr>
        <w:pStyle w:val="Titre4"/>
      </w:pPr>
      <w:r>
        <w:t>Capture des iodures sanguins</w:t>
      </w:r>
    </w:p>
    <w:p w:rsidR="004D060E" w:rsidRDefault="004D060E" w:rsidP="004D060E">
      <w:r>
        <w:t>Apports exogènes : alimentation (sels ++, aliments marins</w:t>
      </w:r>
      <w:r w:rsidR="00D60D54">
        <w:t>...)</w:t>
      </w:r>
    </w:p>
    <w:p w:rsidR="004D060E" w:rsidRDefault="004D060E" w:rsidP="004D060E">
      <w:r>
        <w:t>Apport</w:t>
      </w:r>
      <w:r w:rsidR="00020BDF">
        <w:t>s</w:t>
      </w:r>
      <w:r>
        <w:t xml:space="preserve"> endogènes</w:t>
      </w:r>
      <w:r w:rsidR="00020BDF">
        <w:t> : désiodisation des Tyr (recyclage)</w:t>
      </w:r>
    </w:p>
    <w:p w:rsidR="00020BDF" w:rsidRDefault="00020BDF" w:rsidP="004D060E">
      <w:r>
        <w:t>Besoins ++ femme enceinte et enfant</w:t>
      </w:r>
    </w:p>
    <w:p w:rsidR="00020BDF" w:rsidRDefault="00020BDF" w:rsidP="004D060E">
      <w:r>
        <w:t>Captation au port basolatéral des thyréocytes par symport Na+/I- ATPase</w:t>
      </w:r>
    </w:p>
    <w:p w:rsidR="00020BDF" w:rsidRDefault="00020BDF" w:rsidP="004D060E">
      <w:r>
        <w:t xml:space="preserve">L’iode migre vers le pole apical puis </w:t>
      </w:r>
      <w:r w:rsidR="00D60D54">
        <w:t>rejoint</w:t>
      </w:r>
      <w:r>
        <w:t xml:space="preserve"> le </w:t>
      </w:r>
      <w:r w:rsidR="00D60D54">
        <w:t>colloïde</w:t>
      </w:r>
    </w:p>
    <w:p w:rsidR="00020BDF" w:rsidRDefault="00020BDF" w:rsidP="00BF5BE5">
      <w:pPr>
        <w:pStyle w:val="Titre4"/>
      </w:pPr>
      <w:r>
        <w:t>Organification de l’iode</w:t>
      </w:r>
    </w:p>
    <w:p w:rsidR="00020BDF" w:rsidRDefault="00020BDF" w:rsidP="00020BDF">
      <w:r>
        <w:t xml:space="preserve">Assuré par la </w:t>
      </w:r>
      <w:r w:rsidRPr="002F6751">
        <w:rPr>
          <w:color w:val="FF0000"/>
        </w:rPr>
        <w:t>TPO</w:t>
      </w:r>
      <w:r>
        <w:t xml:space="preserve"> (tyréoperoxydase)</w:t>
      </w:r>
    </w:p>
    <w:p w:rsidR="00A73260" w:rsidRDefault="00A73260" w:rsidP="00020BDF">
      <w:r>
        <w:t>La tyrosine est fixée sur la</w:t>
      </w:r>
      <w:r w:rsidRPr="002F6751">
        <w:rPr>
          <w:color w:val="FF0000"/>
        </w:rPr>
        <w:t xml:space="preserve"> TG</w:t>
      </w:r>
    </w:p>
    <w:p w:rsidR="00020BDF" w:rsidRPr="00A73260" w:rsidRDefault="00A73260" w:rsidP="00020BDF">
      <w:r w:rsidRPr="002F6751">
        <w:rPr>
          <w:color w:val="FF0000"/>
        </w:rPr>
        <w:t>Tyr</w:t>
      </w:r>
      <w:r w:rsidR="00020BDF" w:rsidRPr="002F6751">
        <w:rPr>
          <w:color w:val="FF0000"/>
        </w:rPr>
        <w:t>+I</w:t>
      </w:r>
      <w:r w:rsidR="00020BDF" w:rsidRPr="002F6751">
        <w:rPr>
          <w:color w:val="FF0000"/>
          <w:vertAlign w:val="superscript"/>
        </w:rPr>
        <w:t>-</w:t>
      </w:r>
      <w:r w:rsidRPr="002F6751">
        <w:rPr>
          <w:rFonts w:ascii="Cambria" w:hAnsi="Cambria"/>
          <w:color w:val="FF0000"/>
        </w:rPr>
        <w:t xml:space="preserve">→MIT +I-→DIT </w:t>
      </w:r>
    </w:p>
    <w:p w:rsidR="00A73260" w:rsidRPr="00A73260" w:rsidRDefault="00A73260" w:rsidP="00020BDF">
      <w:r>
        <w:rPr>
          <w:rFonts w:ascii="Cambria" w:hAnsi="Cambria"/>
        </w:rPr>
        <w:t>Mono et di iodotyrosines (MIT, DIT) sont une Tyr iodée portée par une TG</w:t>
      </w:r>
    </w:p>
    <w:p w:rsidR="00A73260" w:rsidRPr="00A73260" w:rsidRDefault="00A73260" w:rsidP="00020BDF">
      <w:r w:rsidRPr="002F6751">
        <w:rPr>
          <w:rFonts w:ascii="Cambria" w:hAnsi="Cambria"/>
          <w:color w:val="FF0000"/>
        </w:rPr>
        <w:t xml:space="preserve">DIT+DIT→ T4 </w:t>
      </w:r>
      <w:r>
        <w:rPr>
          <w:rFonts w:ascii="Cambria" w:hAnsi="Cambria"/>
        </w:rPr>
        <w:t xml:space="preserve">(avec </w:t>
      </w:r>
      <w:r w:rsidR="00D60D54">
        <w:rPr>
          <w:rFonts w:ascii="Cambria" w:hAnsi="Cambria"/>
        </w:rPr>
        <w:t>libération</w:t>
      </w:r>
      <w:r>
        <w:rPr>
          <w:rFonts w:ascii="Cambria" w:hAnsi="Cambria"/>
        </w:rPr>
        <w:t xml:space="preserve"> d’une TG)</w:t>
      </w:r>
    </w:p>
    <w:p w:rsidR="00A73260" w:rsidRPr="00A73260" w:rsidRDefault="00A73260" w:rsidP="00020BDF">
      <w:r w:rsidRPr="002F6751">
        <w:rPr>
          <w:rFonts w:ascii="Cambria" w:hAnsi="Cambria"/>
          <w:color w:val="FF0000"/>
        </w:rPr>
        <w:t xml:space="preserve">DIT+MIT → T3 </w:t>
      </w:r>
      <w:r>
        <w:rPr>
          <w:rFonts w:ascii="Cambria" w:hAnsi="Cambria"/>
        </w:rPr>
        <w:t xml:space="preserve">(avec </w:t>
      </w:r>
      <w:r w:rsidR="00D60D54">
        <w:rPr>
          <w:rFonts w:ascii="Cambria" w:hAnsi="Cambria"/>
        </w:rPr>
        <w:t>libération</w:t>
      </w:r>
      <w:r>
        <w:rPr>
          <w:rFonts w:ascii="Cambria" w:hAnsi="Cambria"/>
        </w:rPr>
        <w:t xml:space="preserve">  d’une TG)</w:t>
      </w:r>
    </w:p>
    <w:p w:rsidR="00A73260" w:rsidRDefault="00691289" w:rsidP="00BF5BE5">
      <w:pPr>
        <w:pStyle w:val="Titre4"/>
      </w:pPr>
      <w:r>
        <w:t>Libération T3 et T4 de TG</w:t>
      </w:r>
    </w:p>
    <w:p w:rsidR="00691289" w:rsidRDefault="00691289" w:rsidP="008C1E51">
      <w:pPr>
        <w:spacing w:after="0"/>
      </w:pPr>
      <w:r>
        <w:t xml:space="preserve">La TG est </w:t>
      </w:r>
      <w:r w:rsidR="00D60D54">
        <w:t>absorbée</w:t>
      </w:r>
      <w:r>
        <w:t xml:space="preserve"> dans les </w:t>
      </w:r>
      <w:r w:rsidR="00D60D54">
        <w:t>thyréocytes</w:t>
      </w:r>
      <w:r>
        <w:t xml:space="preserve"> par pinocytose</w:t>
      </w:r>
    </w:p>
    <w:p w:rsidR="00691289" w:rsidRDefault="00691289" w:rsidP="008C1E51">
      <w:pPr>
        <w:spacing w:after="0"/>
      </w:pPr>
      <w:r>
        <w:t>Protéolyse de TG avec libération T3, T4 et MIT, DIT</w:t>
      </w:r>
    </w:p>
    <w:p w:rsidR="00691289" w:rsidRDefault="00691289" w:rsidP="008C1E51">
      <w:pPr>
        <w:spacing w:after="0"/>
      </w:pPr>
      <w:r>
        <w:t>La T4 est majoritaire (80%)</w:t>
      </w:r>
    </w:p>
    <w:p w:rsidR="00691289" w:rsidRDefault="00691289" w:rsidP="008C1E51">
      <w:pPr>
        <w:spacing w:after="0"/>
      </w:pPr>
      <w:r>
        <w:t xml:space="preserve"> </w:t>
      </w:r>
      <w:r w:rsidRPr="002F6751">
        <w:rPr>
          <w:color w:val="FF0000"/>
        </w:rPr>
        <w:t>seuls T3 et T4 passent dans la circulation</w:t>
      </w:r>
      <w:r>
        <w:t>, MIT et DIT sont désiodés et recommence le cycle</w:t>
      </w:r>
    </w:p>
    <w:p w:rsidR="008C1E51" w:rsidRDefault="008C1E51" w:rsidP="008C1E51">
      <w:pPr>
        <w:numPr>
          <w:ilvl w:val="0"/>
          <w:numId w:val="0"/>
        </w:numPr>
        <w:spacing w:after="0"/>
        <w:ind w:left="720" w:hanging="360"/>
      </w:pPr>
    </w:p>
    <w:p w:rsidR="008C1E51" w:rsidRDefault="008C1E51" w:rsidP="00BF5BE5">
      <w:pPr>
        <w:pStyle w:val="Titre3"/>
      </w:pPr>
      <w:r>
        <w:t>distribution et metabolisme :</w:t>
      </w:r>
    </w:p>
    <w:p w:rsidR="008C1E51" w:rsidRDefault="008C1E51" w:rsidP="008C1E51">
      <w:pPr>
        <w:numPr>
          <w:ilvl w:val="0"/>
          <w:numId w:val="0"/>
        </w:numPr>
        <w:ind w:left="360"/>
      </w:pPr>
      <w:r>
        <w:rPr>
          <w:noProof/>
          <w:lang w:val="fr-FR" w:eastAsia="fr-FR"/>
        </w:rPr>
        <w:drawing>
          <wp:inline distT="0" distB="0" distL="0" distR="0" wp14:anchorId="5118F442" wp14:editId="455F577A">
            <wp:extent cx="2795453" cy="915628"/>
            <wp:effectExtent l="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40" cy="91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fr-FR" w:eastAsia="fr-FR"/>
        </w:rPr>
        <w:drawing>
          <wp:inline distT="0" distB="0" distL="0" distR="0" wp14:anchorId="75ABB271" wp14:editId="56E9920F">
            <wp:extent cx="2537096" cy="1208598"/>
            <wp:effectExtent l="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848" cy="1209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E51" w:rsidRDefault="008C1E51" w:rsidP="008C1E51">
      <w:r>
        <w:t xml:space="preserve">La majorité de la </w:t>
      </w:r>
      <w:r w:rsidRPr="002F6751">
        <w:rPr>
          <w:color w:val="FF0000"/>
        </w:rPr>
        <w:t xml:space="preserve">T3 circulante provient de la conversion </w:t>
      </w:r>
      <w:r w:rsidR="00D60D54" w:rsidRPr="002F6751">
        <w:rPr>
          <w:color w:val="FF0000"/>
        </w:rPr>
        <w:t>périphérique</w:t>
      </w:r>
      <w:r w:rsidRPr="002F6751">
        <w:rPr>
          <w:color w:val="FF0000"/>
        </w:rPr>
        <w:t xml:space="preserve"> de T4 en T3 </w:t>
      </w:r>
      <w:r>
        <w:t xml:space="preserve">par la 5’desiodase (type 1 : foie, rein, </w:t>
      </w:r>
      <w:r w:rsidR="00D60D54">
        <w:t>thyroïde</w:t>
      </w:r>
      <w:r>
        <w:t>, hypophyse/ type2 : SNC +++, TA brun...)</w:t>
      </w:r>
    </w:p>
    <w:p w:rsidR="008C1E51" w:rsidRDefault="0016777B" w:rsidP="008C1E51">
      <w:r>
        <w:t>La majorité de la rT3 provient de la T4 par la 5 désiodase (SNC, épiderme et placenta)</w:t>
      </w:r>
    </w:p>
    <w:p w:rsidR="008C1E51" w:rsidRDefault="0016777B" w:rsidP="008C1E51">
      <w:r>
        <w:t xml:space="preserve">La </w:t>
      </w:r>
      <w:r w:rsidRPr="002F6751">
        <w:rPr>
          <w:color w:val="FF0000"/>
        </w:rPr>
        <w:t xml:space="preserve">T4 est inactive </w:t>
      </w:r>
      <w:r>
        <w:t>c’est une pro-hormone</w:t>
      </w:r>
    </w:p>
    <w:p w:rsidR="0016777B" w:rsidRDefault="0016777B" w:rsidP="008C1E51">
      <w:r>
        <w:t xml:space="preserve">La </w:t>
      </w:r>
      <w:r w:rsidR="00D60D54">
        <w:t>dégradation</w:t>
      </w:r>
      <w:r>
        <w:t xml:space="preserve"> des hormones </w:t>
      </w:r>
      <w:r w:rsidR="00D60D54">
        <w:t>thyroïdienne</w:t>
      </w:r>
      <w:r>
        <w:t xml:space="preserve"> se fait au foie et au rein </w:t>
      </w:r>
    </w:p>
    <w:p w:rsidR="0016777B" w:rsidRDefault="0016777B" w:rsidP="0016777B">
      <w:pPr>
        <w:numPr>
          <w:ilvl w:val="0"/>
          <w:numId w:val="0"/>
        </w:numPr>
        <w:ind w:left="720" w:hanging="360"/>
      </w:pPr>
    </w:p>
    <w:p w:rsidR="0016777B" w:rsidRDefault="0016777B" w:rsidP="00BF5BE5">
      <w:pPr>
        <w:pStyle w:val="Titre3"/>
      </w:pPr>
      <w:r>
        <w:rPr>
          <w:noProof/>
          <w:lang w:val="fr-FR" w:eastAsia="fr-FR"/>
        </w:rPr>
        <w:drawing>
          <wp:anchor distT="0" distB="0" distL="114300" distR="114300" simplePos="0" relativeHeight="251660288" behindDoc="0" locked="0" layoutInCell="1" allowOverlap="1" wp14:anchorId="599530C6" wp14:editId="4B7D0847">
            <wp:simplePos x="0" y="0"/>
            <wp:positionH relativeFrom="column">
              <wp:posOffset>3711575</wp:posOffset>
            </wp:positionH>
            <wp:positionV relativeFrom="paragraph">
              <wp:posOffset>91440</wp:posOffset>
            </wp:positionV>
            <wp:extent cx="1955800" cy="1431925"/>
            <wp:effectExtent l="0" t="0" r="6350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regulation de la secretion</w:t>
      </w:r>
    </w:p>
    <w:p w:rsidR="0016777B" w:rsidRDefault="0016777B" w:rsidP="00BF5BE5">
      <w:pPr>
        <w:pStyle w:val="Titre4"/>
        <w:numPr>
          <w:ilvl w:val="0"/>
          <w:numId w:val="27"/>
        </w:numPr>
      </w:pPr>
      <w:r>
        <w:t xml:space="preserve">Axe </w:t>
      </w:r>
      <w:r w:rsidR="00D60D54">
        <w:t>thyréotrope</w:t>
      </w:r>
    </w:p>
    <w:p w:rsidR="0016777B" w:rsidRDefault="00D60D54" w:rsidP="0016777B">
      <w:r w:rsidRPr="002F6751">
        <w:rPr>
          <w:color w:val="FF0000"/>
        </w:rPr>
        <w:t>Rétro inhibition</w:t>
      </w:r>
      <w:r w:rsidR="0016777B" w:rsidRPr="002F6751">
        <w:rPr>
          <w:color w:val="FF0000"/>
        </w:rPr>
        <w:t xml:space="preserve"> de T3 et T4 libres sur TSH et TRH</w:t>
      </w:r>
    </w:p>
    <w:p w:rsidR="0016777B" w:rsidRDefault="0016777B" w:rsidP="0016777B">
      <w:pPr>
        <w:numPr>
          <w:ilvl w:val="0"/>
          <w:numId w:val="0"/>
        </w:numPr>
        <w:ind w:left="720" w:hanging="360"/>
      </w:pPr>
    </w:p>
    <w:p w:rsidR="0016777B" w:rsidRDefault="0016777B" w:rsidP="00BF5BE5">
      <w:pPr>
        <w:pStyle w:val="Titre4"/>
      </w:pPr>
      <w:r>
        <w:t>Autorégulation thyroïdienne</w:t>
      </w:r>
    </w:p>
    <w:p w:rsidR="0016777B" w:rsidRDefault="00DE11B9" w:rsidP="0016777B">
      <w:r>
        <w:t xml:space="preserve">Mécanismes </w:t>
      </w:r>
      <w:r w:rsidRPr="002F6751">
        <w:rPr>
          <w:color w:val="FF0000"/>
        </w:rPr>
        <w:t>transitoires</w:t>
      </w:r>
    </w:p>
    <w:p w:rsidR="00DE11B9" w:rsidRDefault="00DE11B9" w:rsidP="00DE11B9">
      <w:pPr>
        <w:pStyle w:val="Style1"/>
      </w:pPr>
      <w:r>
        <w:t>Blocage de l’organification en cas d’apport iodé excessif</w:t>
      </w:r>
    </w:p>
    <w:p w:rsidR="00DE11B9" w:rsidRPr="00DE11B9" w:rsidRDefault="00DE11B9" w:rsidP="00DE11B9">
      <w:pPr>
        <w:pStyle w:val="Style1"/>
      </w:pP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sensibilité à la TSH en cas de </w:t>
      </w:r>
      <w:r w:rsidR="00D60D54">
        <w:rPr>
          <w:rFonts w:ascii="Cambria" w:hAnsi="Cambria"/>
        </w:rPr>
        <w:t>carences</w:t>
      </w:r>
      <w:r>
        <w:rPr>
          <w:rFonts w:ascii="Cambria" w:hAnsi="Cambria"/>
        </w:rPr>
        <w:t xml:space="preserve"> en iode</w:t>
      </w:r>
    </w:p>
    <w:p w:rsidR="00DE11B9" w:rsidRPr="00DE11B9" w:rsidRDefault="00DE11B9" w:rsidP="00DE11B9">
      <w:pPr>
        <w:pStyle w:val="Style1"/>
      </w:pPr>
      <w:r w:rsidRPr="00DE11B9">
        <w:rPr>
          <w:rFonts w:ascii="Cambria" w:hAnsi="Cambria"/>
        </w:rPr>
        <w:t>↗</w:t>
      </w:r>
      <w:r>
        <w:rPr>
          <w:rFonts w:ascii="Cambria" w:hAnsi="Cambria"/>
        </w:rPr>
        <w:t xml:space="preserve"> de la captation d’iode si gld est pauvre en iode (et vice versa)</w:t>
      </w:r>
    </w:p>
    <w:p w:rsidR="00DE11B9" w:rsidRDefault="00DE11B9" w:rsidP="00AD565E">
      <w:pPr>
        <w:pStyle w:val="Style1"/>
        <w:numPr>
          <w:ilvl w:val="0"/>
          <w:numId w:val="0"/>
        </w:numPr>
        <w:ind w:left="2136" w:hanging="360"/>
        <w:rPr>
          <w:rFonts w:ascii="Cambria" w:hAnsi="Cambria"/>
        </w:rPr>
      </w:pPr>
    </w:p>
    <w:p w:rsidR="00AD565E" w:rsidRDefault="00AD565E" w:rsidP="00BF5BE5">
      <w:pPr>
        <w:pStyle w:val="Titre3"/>
      </w:pPr>
      <w:r>
        <w:t>effets biologiques</w:t>
      </w:r>
    </w:p>
    <w:p w:rsidR="00AD565E" w:rsidRDefault="00AD565E" w:rsidP="00AD565E">
      <w:r w:rsidRPr="002F6751">
        <w:rPr>
          <w:color w:val="FF0000"/>
        </w:rPr>
        <w:t>Seule T3 est active</w:t>
      </w:r>
    </w:p>
    <w:p w:rsidR="00AD565E" w:rsidRDefault="00AD565E" w:rsidP="00AD565E">
      <w:r>
        <w:t xml:space="preserve">Le </w:t>
      </w:r>
      <w:r w:rsidR="00D60D54">
        <w:t>récepteur</w:t>
      </w:r>
      <w:r>
        <w:t xml:space="preserve"> est nucléaire (H hydrophobe)</w:t>
      </w:r>
    </w:p>
    <w:p w:rsidR="00AD565E" w:rsidRDefault="00D60D54" w:rsidP="00C10CFE">
      <w:pPr>
        <w:spacing w:after="0"/>
      </w:pPr>
      <w:r>
        <w:t>Effets</w:t>
      </w:r>
      <w:r w:rsidR="00AD565E">
        <w:t xml:space="preserve"> métaboliques :</w:t>
      </w:r>
    </w:p>
    <w:p w:rsidR="00AD565E" w:rsidRPr="00AD565E" w:rsidRDefault="00AD565E" w:rsidP="00C10CFE">
      <w:pPr>
        <w:pStyle w:val="Style1"/>
        <w:spacing w:after="0"/>
      </w:pPr>
      <w:r w:rsidRPr="002F6751">
        <w:rPr>
          <w:rFonts w:ascii="Cambria" w:hAnsi="Cambria"/>
          <w:color w:val="FF0000"/>
        </w:rPr>
        <w:t xml:space="preserve">↗ métabolisme </w:t>
      </w:r>
      <w:r w:rsidR="00D60D54" w:rsidRPr="00AD565E">
        <w:rPr>
          <w:rFonts w:ascii="Cambria" w:hAnsi="Cambria"/>
        </w:rPr>
        <w:t>ȼ</w:t>
      </w:r>
      <w:r w:rsidR="00D60D54">
        <w:rPr>
          <w:rFonts w:ascii="Cambria" w:hAnsi="Cambria"/>
        </w:rPr>
        <w:t>,</w:t>
      </w:r>
      <w:r>
        <w:rPr>
          <w:rFonts w:ascii="Cambria" w:hAnsi="Cambria"/>
        </w:rPr>
        <w:t xml:space="preserve"> </w:t>
      </w:r>
      <w:r w:rsidR="00D60D54">
        <w:rPr>
          <w:rFonts w:ascii="Cambria" w:hAnsi="Cambria"/>
        </w:rPr>
        <w:t>thermogénèse</w:t>
      </w:r>
      <w:r>
        <w:rPr>
          <w:rFonts w:ascii="Cambria" w:hAnsi="Cambria"/>
        </w:rPr>
        <w:t xml:space="preserve">, </w:t>
      </w:r>
      <w:r w:rsidR="00D60D54">
        <w:rPr>
          <w:rFonts w:ascii="Cambria" w:hAnsi="Cambria"/>
        </w:rPr>
        <w:t>consommation</w:t>
      </w:r>
      <w:r>
        <w:rPr>
          <w:rFonts w:ascii="Cambria" w:hAnsi="Cambria"/>
        </w:rPr>
        <w:t xml:space="preserve"> O2</w:t>
      </w:r>
    </w:p>
    <w:p w:rsidR="00AD565E" w:rsidRPr="00AD565E" w:rsidRDefault="00AD565E" w:rsidP="00C10CFE">
      <w:pPr>
        <w:pStyle w:val="Style1"/>
        <w:spacing w:after="0"/>
      </w:pPr>
      <w:r w:rsidRPr="002F6751">
        <w:rPr>
          <w:rFonts w:ascii="Cambria" w:hAnsi="Cambria"/>
          <w:color w:val="FF0000"/>
        </w:rPr>
        <w:t xml:space="preserve">↗glycémie </w:t>
      </w:r>
      <w:r>
        <w:rPr>
          <w:rFonts w:ascii="Cambria" w:hAnsi="Cambria"/>
        </w:rPr>
        <w:t xml:space="preserve">(par </w:t>
      </w:r>
      <w:r w:rsidRPr="00AD565E">
        <w:rPr>
          <w:rFonts w:ascii="Cambria" w:hAnsi="Cambria"/>
        </w:rPr>
        <w:t>↗</w:t>
      </w:r>
      <w:r>
        <w:rPr>
          <w:rFonts w:ascii="Cambria" w:hAnsi="Cambria"/>
        </w:rPr>
        <w:t xml:space="preserve"> $ Glut2, et potentialisation adré)</w:t>
      </w:r>
    </w:p>
    <w:p w:rsidR="00AD565E" w:rsidRPr="00AD565E" w:rsidRDefault="00AD565E" w:rsidP="00C10CFE">
      <w:pPr>
        <w:pStyle w:val="Style1"/>
        <w:spacing w:after="0"/>
      </w:pPr>
      <w:r w:rsidRPr="002F6751">
        <w:rPr>
          <w:rFonts w:ascii="Cambria" w:hAnsi="Cambria"/>
          <w:color w:val="FF0000"/>
        </w:rPr>
        <w:t>↗ $ protéique</w:t>
      </w:r>
    </w:p>
    <w:p w:rsidR="00AD565E" w:rsidRPr="00AD565E" w:rsidRDefault="00AD565E" w:rsidP="00C10CFE">
      <w:pPr>
        <w:pStyle w:val="Style1"/>
        <w:spacing w:after="0"/>
      </w:pPr>
      <w:r w:rsidRPr="002F6751">
        <w:rPr>
          <w:rFonts w:ascii="Cambria" w:hAnsi="Cambria"/>
          <w:color w:val="FF0000"/>
        </w:rPr>
        <w:t>↗ lipolyse</w:t>
      </w:r>
      <w:r>
        <w:rPr>
          <w:rFonts w:ascii="Cambria" w:hAnsi="Cambria"/>
        </w:rPr>
        <w:t xml:space="preserve">, </w:t>
      </w:r>
      <w:r w:rsidR="00D60D54">
        <w:rPr>
          <w:rFonts w:ascii="Cambria" w:hAnsi="Cambria"/>
        </w:rPr>
        <w:t>hypocholestérolémiant</w:t>
      </w:r>
    </w:p>
    <w:p w:rsidR="00AD565E" w:rsidRPr="00AD565E" w:rsidRDefault="00AD565E" w:rsidP="00C10CFE">
      <w:pPr>
        <w:pStyle w:val="Style1"/>
        <w:spacing w:after="0"/>
      </w:pPr>
      <w:r w:rsidRPr="00AD565E">
        <w:rPr>
          <w:rFonts w:ascii="Cambria" w:hAnsi="Cambria"/>
        </w:rPr>
        <w:t>↗</w:t>
      </w:r>
      <w:r>
        <w:rPr>
          <w:rFonts w:ascii="Cambria" w:hAnsi="Cambria"/>
        </w:rPr>
        <w:t xml:space="preserve"> filtration glomérulaire, </w:t>
      </w:r>
      <w:r w:rsidR="00D60D54">
        <w:rPr>
          <w:rFonts w:ascii="Cambria" w:hAnsi="Cambria"/>
        </w:rPr>
        <w:t>débit</w:t>
      </w:r>
      <w:r>
        <w:rPr>
          <w:rFonts w:ascii="Cambria" w:hAnsi="Cambria"/>
        </w:rPr>
        <w:t xml:space="preserve"> sanguin </w:t>
      </w:r>
      <w:r w:rsidR="00D60D54">
        <w:rPr>
          <w:rFonts w:ascii="Cambria" w:hAnsi="Cambria"/>
        </w:rPr>
        <w:t>rénal</w:t>
      </w:r>
    </w:p>
    <w:p w:rsidR="00AD565E" w:rsidRDefault="00AD565E" w:rsidP="00C10CFE">
      <w:pPr>
        <w:spacing w:after="0"/>
      </w:pPr>
      <w:r>
        <w:t>Effets tissulaires</w:t>
      </w:r>
    </w:p>
    <w:p w:rsidR="00AD565E" w:rsidRPr="00C10CFE" w:rsidRDefault="00C10CFE" w:rsidP="00C10CFE">
      <w:pPr>
        <w:pStyle w:val="Style1"/>
        <w:spacing w:after="0"/>
      </w:pPr>
      <w:r w:rsidRPr="002F6751">
        <w:rPr>
          <w:rFonts w:ascii="Cambria" w:hAnsi="Cambria"/>
          <w:color w:val="FF0000"/>
        </w:rPr>
        <w:t xml:space="preserve">↗ croissance </w:t>
      </w:r>
      <w:r>
        <w:rPr>
          <w:rFonts w:ascii="Cambria" w:hAnsi="Cambria"/>
        </w:rPr>
        <w:t>(potentialise la GH)</w:t>
      </w:r>
    </w:p>
    <w:p w:rsidR="00C10CFE" w:rsidRPr="00C10CFE" w:rsidRDefault="00C10CFE" w:rsidP="00C10CFE">
      <w:pPr>
        <w:pStyle w:val="Style1"/>
        <w:spacing w:after="0"/>
      </w:pPr>
      <w:r w:rsidRPr="002F6751">
        <w:rPr>
          <w:rFonts w:ascii="Cambria" w:hAnsi="Cambria"/>
          <w:color w:val="FF0000"/>
        </w:rPr>
        <w:t xml:space="preserve">SNC : maturation </w:t>
      </w:r>
      <w:r>
        <w:rPr>
          <w:rFonts w:ascii="Cambria" w:hAnsi="Cambria"/>
        </w:rPr>
        <w:t>et connexion des neurones</w:t>
      </w:r>
    </w:p>
    <w:p w:rsidR="00C10CFE" w:rsidRPr="00C10CFE" w:rsidRDefault="00C10CFE" w:rsidP="00C10CFE">
      <w:pPr>
        <w:pStyle w:val="Style1"/>
        <w:spacing w:after="0"/>
      </w:pPr>
      <w:r>
        <w:rPr>
          <w:rFonts w:ascii="Cambria" w:hAnsi="Cambria"/>
        </w:rPr>
        <w:t xml:space="preserve">Cœur : </w:t>
      </w:r>
      <w:r w:rsidRPr="00C10CFE">
        <w:rPr>
          <w:rFonts w:ascii="Cambria" w:hAnsi="Cambria"/>
        </w:rPr>
        <w:t>↗</w:t>
      </w:r>
      <w:r>
        <w:rPr>
          <w:rFonts w:ascii="Cambria" w:hAnsi="Cambria"/>
        </w:rPr>
        <w:t xml:space="preserve"> </w:t>
      </w:r>
      <w:r w:rsidR="00D60D54">
        <w:rPr>
          <w:rFonts w:ascii="Cambria" w:hAnsi="Cambria"/>
        </w:rPr>
        <w:t>débit</w:t>
      </w:r>
      <w:r>
        <w:rPr>
          <w:rFonts w:ascii="Cambria" w:hAnsi="Cambria"/>
        </w:rPr>
        <w:t xml:space="preserve"> et </w:t>
      </w:r>
      <w:r w:rsidRPr="002F6751">
        <w:rPr>
          <w:rFonts w:ascii="Cambria" w:hAnsi="Cambria"/>
          <w:color w:val="FF0000"/>
        </w:rPr>
        <w:t>Fc</w:t>
      </w:r>
    </w:p>
    <w:p w:rsidR="00C10CFE" w:rsidRPr="00C10CFE" w:rsidRDefault="00C10CFE" w:rsidP="00C10CFE">
      <w:pPr>
        <w:pStyle w:val="Style1"/>
        <w:spacing w:after="0"/>
      </w:pPr>
      <w:r>
        <w:rPr>
          <w:rFonts w:ascii="Cambria" w:hAnsi="Cambria"/>
        </w:rPr>
        <w:t xml:space="preserve">Système digestif : </w:t>
      </w:r>
      <w:r w:rsidRPr="002F6751">
        <w:rPr>
          <w:rFonts w:ascii="Cambria" w:hAnsi="Cambria"/>
          <w:color w:val="FF0000"/>
        </w:rPr>
        <w:t>↗ transit</w:t>
      </w:r>
    </w:p>
    <w:p w:rsidR="00C10CFE" w:rsidRPr="00C10CFE" w:rsidRDefault="00C10CFE" w:rsidP="00C10CFE">
      <w:pPr>
        <w:pStyle w:val="Style1"/>
        <w:spacing w:after="0"/>
      </w:pPr>
      <w:r>
        <w:rPr>
          <w:rFonts w:ascii="Cambria" w:hAnsi="Cambria"/>
        </w:rPr>
        <w:t>Trophisme+ de la peau et des phanères</w:t>
      </w:r>
    </w:p>
    <w:p w:rsidR="00C10CFE" w:rsidRDefault="00C10CFE" w:rsidP="00C10CFE">
      <w:pPr>
        <w:pStyle w:val="Style1"/>
        <w:numPr>
          <w:ilvl w:val="0"/>
          <w:numId w:val="0"/>
        </w:numPr>
        <w:spacing w:after="0"/>
        <w:ind w:left="2136" w:hanging="360"/>
        <w:rPr>
          <w:rFonts w:ascii="Cambria" w:hAnsi="Cambria"/>
        </w:rPr>
      </w:pPr>
    </w:p>
    <w:p w:rsidR="00C10CFE" w:rsidRDefault="00C10CFE" w:rsidP="00C10CFE">
      <w:pPr>
        <w:pStyle w:val="Titre2"/>
      </w:pPr>
      <w:r>
        <w:t>exploration biologiques</w:t>
      </w:r>
    </w:p>
    <w:p w:rsidR="003E0B8A" w:rsidRDefault="003E0B8A" w:rsidP="003E0B8A">
      <w:r>
        <w:t>Deux types de dosages :</w:t>
      </w:r>
    </w:p>
    <w:p w:rsidR="003E0B8A" w:rsidRDefault="003E0B8A" w:rsidP="003E0B8A">
      <w:pPr>
        <w:pStyle w:val="Style1"/>
      </w:pPr>
      <w:r w:rsidRPr="002F6751">
        <w:rPr>
          <w:color w:val="FF0000"/>
        </w:rPr>
        <w:t xml:space="preserve">Immunometrique sandwich </w:t>
      </w:r>
      <w:r>
        <w:t xml:space="preserve">(Ac fixé—Ag—Ac marqué) : plus le signal est fort plus il y </w:t>
      </w:r>
      <w:r w:rsidR="00D60D54">
        <w:t>a</w:t>
      </w:r>
      <w:r>
        <w:t xml:space="preserve"> d’Ag</w:t>
      </w:r>
    </w:p>
    <w:p w:rsidR="003E0B8A" w:rsidRPr="003E0B8A" w:rsidRDefault="003E0B8A" w:rsidP="003E0B8A">
      <w:pPr>
        <w:pStyle w:val="Style1"/>
      </w:pPr>
      <w:r w:rsidRPr="002F6751">
        <w:rPr>
          <w:color w:val="FF0000"/>
        </w:rPr>
        <w:t>Immunocompétition :</w:t>
      </w:r>
      <w:r>
        <w:t xml:space="preserve"> l’Ag recherché est en </w:t>
      </w:r>
      <w:r w:rsidR="00D60D54">
        <w:t>compétition</w:t>
      </w:r>
      <w:r>
        <w:t xml:space="preserve"> avec un Ag marqué pour se fixer à l’Ac : plus le signal est fort moins il y à d’Ag</w:t>
      </w:r>
    </w:p>
    <w:p w:rsidR="00C10CFE" w:rsidRDefault="003E0B8A" w:rsidP="00BF5BE5">
      <w:pPr>
        <w:pStyle w:val="Titre3"/>
        <w:numPr>
          <w:ilvl w:val="0"/>
          <w:numId w:val="28"/>
        </w:numPr>
      </w:pPr>
      <w:r>
        <w:t>TSH</w:t>
      </w:r>
    </w:p>
    <w:p w:rsidR="003E0B8A" w:rsidRDefault="0011649A" w:rsidP="003E0B8A">
      <w:r>
        <w:t xml:space="preserve">Deux s.u : α (communes à LH, FSH, hCG) et β spé de </w:t>
      </w:r>
      <w:r w:rsidR="00D1585F">
        <w:t>TSH</w:t>
      </w:r>
    </w:p>
    <w:p w:rsidR="00D1585F" w:rsidRDefault="00D1585F" w:rsidP="003E0B8A">
      <w:r>
        <w:t xml:space="preserve">Régulée par TSH et </w:t>
      </w:r>
      <w:r w:rsidR="00D60D54">
        <w:t>rétrocontrôle</w:t>
      </w:r>
      <w:r>
        <w:t xml:space="preserve"> T3-T4</w:t>
      </w:r>
    </w:p>
    <w:p w:rsidR="00D1585F" w:rsidRDefault="00D1585F" w:rsidP="003E0B8A">
      <w:r>
        <w:t>Rythme circadien : pic nocturne vers 2h</w:t>
      </w:r>
    </w:p>
    <w:p w:rsidR="00D1585F" w:rsidRDefault="00D1585F" w:rsidP="003E0B8A">
      <w:r>
        <w:t>Adulte : 0,1-4mUI/l</w:t>
      </w:r>
    </w:p>
    <w:p w:rsidR="00D1585F" w:rsidRDefault="00D1585F" w:rsidP="003E0B8A">
      <w:r>
        <w:t xml:space="preserve">Active la </w:t>
      </w:r>
      <w:r w:rsidR="00D60D54">
        <w:t>prolifération</w:t>
      </w:r>
      <w:r>
        <w:t xml:space="preserve"> </w:t>
      </w:r>
      <w:r w:rsidRPr="00E75E1E">
        <w:rPr>
          <w:rFonts w:ascii="Cambria" w:hAnsi="Cambria"/>
        </w:rPr>
        <w:t>ȼ</w:t>
      </w:r>
      <w:r>
        <w:t xml:space="preserve"> </w:t>
      </w:r>
      <w:r w:rsidR="00D60D54">
        <w:t>thyroïdienne</w:t>
      </w:r>
      <w:r w:rsidR="00BD5BD5">
        <w:t xml:space="preserve">, et toutes les </w:t>
      </w:r>
      <w:r w:rsidR="00D60D54">
        <w:t>étapes</w:t>
      </w:r>
      <w:r w:rsidR="00BD5BD5">
        <w:t xml:space="preserve"> de la $ T3-T4</w:t>
      </w:r>
    </w:p>
    <w:p w:rsidR="00BD5BD5" w:rsidRDefault="00D60D54" w:rsidP="00BF5BE5">
      <w:pPr>
        <w:pStyle w:val="Titre4"/>
        <w:numPr>
          <w:ilvl w:val="0"/>
          <w:numId w:val="29"/>
        </w:numPr>
      </w:pPr>
      <w:r>
        <w:t>Intérêt</w:t>
      </w:r>
      <w:r w:rsidR="00BD5BD5">
        <w:t xml:space="preserve"> du dosage de TSH</w:t>
      </w:r>
    </w:p>
    <w:p w:rsidR="00BD5BD5" w:rsidRDefault="00D60D54" w:rsidP="00BD5BD5">
      <w:r>
        <w:t>Paramètre</w:t>
      </w:r>
      <w:r w:rsidR="00BD5BD5">
        <w:t xml:space="preserve"> demandé en 1ere intention en cas de dysthyroidie fonctionnelle car </w:t>
      </w:r>
      <w:r>
        <w:t>très</w:t>
      </w:r>
      <w:r w:rsidR="00BD5BD5">
        <w:t xml:space="preserve"> discriminant :</w:t>
      </w:r>
    </w:p>
    <w:p w:rsidR="00BD5BD5" w:rsidRPr="00BD5BD5" w:rsidRDefault="00BD5BD5" w:rsidP="00BD5BD5">
      <w:pPr>
        <w:pStyle w:val="Style1"/>
      </w:pPr>
      <w:r w:rsidRPr="002F6751">
        <w:rPr>
          <w:rFonts w:ascii="Cambria" w:hAnsi="Cambria"/>
          <w:color w:val="FF0000"/>
        </w:rPr>
        <w:t xml:space="preserve">↘ TSH = </w:t>
      </w:r>
      <w:r w:rsidR="00D60D54" w:rsidRPr="002F6751">
        <w:rPr>
          <w:rFonts w:ascii="Cambria" w:hAnsi="Cambria"/>
          <w:color w:val="FF0000"/>
        </w:rPr>
        <w:t>hyperthyroïdie</w:t>
      </w:r>
    </w:p>
    <w:p w:rsidR="00BD5BD5" w:rsidRPr="00BD5BD5" w:rsidRDefault="00BD5BD5" w:rsidP="00BD5BD5">
      <w:pPr>
        <w:pStyle w:val="Style1"/>
      </w:pPr>
      <w:r w:rsidRPr="002F6751">
        <w:rPr>
          <w:rFonts w:ascii="Cambria" w:hAnsi="Cambria"/>
          <w:color w:val="FF0000"/>
        </w:rPr>
        <w:t xml:space="preserve">↗TSH = </w:t>
      </w:r>
      <w:r w:rsidR="00D60D54" w:rsidRPr="002F6751">
        <w:rPr>
          <w:rFonts w:ascii="Cambria" w:hAnsi="Cambria"/>
          <w:color w:val="FF0000"/>
        </w:rPr>
        <w:t>hypothyroïdie</w:t>
      </w:r>
    </w:p>
    <w:p w:rsidR="00BD5BD5" w:rsidRDefault="00D60D54" w:rsidP="00BD5BD5">
      <w:r w:rsidRPr="002F6751">
        <w:rPr>
          <w:color w:val="FF0000"/>
        </w:rPr>
        <w:t>Dépistage</w:t>
      </w:r>
      <w:r w:rsidR="00BD5BD5" w:rsidRPr="002F6751">
        <w:rPr>
          <w:color w:val="FF0000"/>
        </w:rPr>
        <w:t xml:space="preserve"> </w:t>
      </w:r>
      <w:r w:rsidRPr="002F6751">
        <w:rPr>
          <w:color w:val="FF0000"/>
        </w:rPr>
        <w:t>néonatal</w:t>
      </w:r>
      <w:r w:rsidR="00BD5BD5" w:rsidRPr="002F6751">
        <w:rPr>
          <w:color w:val="FF0000"/>
        </w:rPr>
        <w:t xml:space="preserve"> </w:t>
      </w:r>
      <w:r w:rsidR="00BD5BD5">
        <w:t>de l’</w:t>
      </w:r>
      <w:r>
        <w:t>hypothyroïdie</w:t>
      </w:r>
    </w:p>
    <w:p w:rsidR="00BD5BD5" w:rsidRDefault="00BD5BD5" w:rsidP="00BD5BD5">
      <w:r>
        <w:t>Surveillance ttt</w:t>
      </w:r>
    </w:p>
    <w:p w:rsidR="00BD5BD5" w:rsidRDefault="00BD5BD5" w:rsidP="00BD5BD5">
      <w:r>
        <w:t>Chaque individu à un point d’</w:t>
      </w:r>
      <w:r w:rsidR="00D60D54">
        <w:t>équilibre</w:t>
      </w:r>
      <w:r>
        <w:t xml:space="preserve"> spécifique T4/TSH spécifique = </w:t>
      </w:r>
      <w:r w:rsidRPr="002F6751">
        <w:rPr>
          <w:color w:val="FF0000"/>
        </w:rPr>
        <w:t>tyréostat</w:t>
      </w:r>
    </w:p>
    <w:p w:rsidR="00BD5BD5" w:rsidRDefault="00BD5BD5" w:rsidP="00BD5BD5">
      <w:r>
        <w:t xml:space="preserve">La TSH </w:t>
      </w:r>
      <w:r w:rsidR="00D60D54">
        <w:t>répond</w:t>
      </w:r>
      <w:r>
        <w:t xml:space="preserve"> aux variations de T4 jusqu’à 8semaines </w:t>
      </w:r>
      <w:r w:rsidR="00D60D54">
        <w:t>après</w:t>
      </w:r>
    </w:p>
    <w:p w:rsidR="00BD5BD5" w:rsidRDefault="008509AA" w:rsidP="00BF5BE5">
      <w:pPr>
        <w:pStyle w:val="Titre4"/>
      </w:pPr>
      <w:r>
        <w:t>Méthodes de dosage</w:t>
      </w:r>
    </w:p>
    <w:p w:rsidR="008509AA" w:rsidRDefault="008509AA" w:rsidP="008509AA">
      <w:r>
        <w:t>Méthodes de 2eme et 3eme générations</w:t>
      </w:r>
    </w:p>
    <w:p w:rsidR="008509AA" w:rsidRDefault="008509AA" w:rsidP="008509AA">
      <w:r>
        <w:t xml:space="preserve">3eme </w:t>
      </w:r>
      <w:r w:rsidR="00D60D54">
        <w:t>génération</w:t>
      </w:r>
      <w:r>
        <w:t xml:space="preserve"> </w:t>
      </w:r>
      <w:r w:rsidR="00D60D54">
        <w:t>ultrasensible</w:t>
      </w:r>
      <w:r>
        <w:t xml:space="preserve"> par sandwich (à St Roch)</w:t>
      </w:r>
    </w:p>
    <w:p w:rsidR="008509AA" w:rsidRDefault="008509AA" w:rsidP="008509AA">
      <w:r>
        <w:t>Biais :</w:t>
      </w:r>
    </w:p>
    <w:p w:rsidR="008509AA" w:rsidRDefault="008509AA" w:rsidP="008509AA">
      <w:pPr>
        <w:pStyle w:val="Style1"/>
      </w:pPr>
      <w:r>
        <w:t xml:space="preserve">Ac </w:t>
      </w:r>
      <w:r w:rsidR="00D60D54">
        <w:t>hétérophiles</w:t>
      </w:r>
      <w:r>
        <w:t xml:space="preserve"> : Ac humain contre les immunoglobulines animales utilisées dans </w:t>
      </w:r>
      <w:r w:rsidR="00D60D54">
        <w:t>les tests</w:t>
      </w:r>
      <w:r>
        <w:t xml:space="preserve"> : faux positifs (aussi avec facteurs </w:t>
      </w:r>
      <w:r w:rsidR="00D60D54">
        <w:t>rhumatoïdes</w:t>
      </w:r>
    </w:p>
    <w:p w:rsidR="008509AA" w:rsidRDefault="008509AA" w:rsidP="008509AA">
      <w:pPr>
        <w:pStyle w:val="Style1"/>
      </w:pPr>
      <w:r>
        <w:t xml:space="preserve">Effet </w:t>
      </w:r>
      <w:r w:rsidR="00D60D54">
        <w:t>Hooke</w:t>
      </w:r>
      <w:r>
        <w:t xml:space="preserve"> : </w:t>
      </w:r>
      <w:r w:rsidR="00250FCC">
        <w:t xml:space="preserve">signal faussement diminué </w:t>
      </w:r>
      <w:r w:rsidR="00D60D54">
        <w:t>dû</w:t>
      </w:r>
      <w:r w:rsidR="00250FCC">
        <w:t xml:space="preserve"> à une trop grande concentration d’Ag (diluer l’</w:t>
      </w:r>
      <w:r w:rsidR="00D60D54">
        <w:t>échantillon</w:t>
      </w:r>
      <w:r w:rsidR="00250FCC">
        <w:t>)</w:t>
      </w:r>
    </w:p>
    <w:p w:rsidR="00250FCC" w:rsidRPr="008509AA" w:rsidRDefault="00250FCC" w:rsidP="008509AA">
      <w:pPr>
        <w:pStyle w:val="Style1"/>
      </w:pPr>
      <w:r>
        <w:t>Ac anti-TSH</w:t>
      </w:r>
    </w:p>
    <w:p w:rsidR="003E0B8A" w:rsidRDefault="003E0B8A" w:rsidP="00BF5BE5">
      <w:pPr>
        <w:pStyle w:val="Titre3"/>
      </w:pPr>
      <w:r>
        <w:t>T3-T4</w:t>
      </w:r>
    </w:p>
    <w:p w:rsidR="00250FCC" w:rsidRDefault="00250FCC" w:rsidP="00BF5BE5">
      <w:pPr>
        <w:pStyle w:val="Titre4"/>
        <w:numPr>
          <w:ilvl w:val="0"/>
          <w:numId w:val="30"/>
        </w:numPr>
      </w:pPr>
      <w:r>
        <w:t>Caractéristiques</w:t>
      </w:r>
    </w:p>
    <w:p w:rsidR="00250FCC" w:rsidRDefault="00250FCC" w:rsidP="00250FCC">
      <w:r>
        <w:t>Petites molécules (pas prot !)</w:t>
      </w:r>
    </w:p>
    <w:p w:rsidR="00250FCC" w:rsidRDefault="00250FCC" w:rsidP="00250FCC">
      <w:r>
        <w:t xml:space="preserve">Seule la </w:t>
      </w:r>
      <w:r w:rsidRPr="002F6751">
        <w:rPr>
          <w:color w:val="FF0000"/>
        </w:rPr>
        <w:t xml:space="preserve">forme libre </w:t>
      </w:r>
      <w:r>
        <w:t xml:space="preserve">est active : c’est elle </w:t>
      </w:r>
      <w:r w:rsidRPr="002F6751">
        <w:rPr>
          <w:color w:val="FF0000"/>
        </w:rPr>
        <w:t>qu’il faut doser</w:t>
      </w:r>
    </w:p>
    <w:p w:rsidR="00250FCC" w:rsidRDefault="00250FCC" w:rsidP="00250FCC">
      <w:r>
        <w:t>½ vie 24H</w:t>
      </w:r>
    </w:p>
    <w:p w:rsidR="005F411B" w:rsidRDefault="005F411B" w:rsidP="005F411B">
      <w:pPr>
        <w:numPr>
          <w:ilvl w:val="0"/>
          <w:numId w:val="0"/>
        </w:numPr>
        <w:ind w:left="720" w:hanging="360"/>
      </w:pPr>
    </w:p>
    <w:p w:rsidR="005F411B" w:rsidRDefault="005F411B" w:rsidP="005F411B">
      <w:pPr>
        <w:numPr>
          <w:ilvl w:val="0"/>
          <w:numId w:val="0"/>
        </w:numPr>
        <w:ind w:left="720" w:hanging="360"/>
      </w:pPr>
    </w:p>
    <w:p w:rsidR="00250FCC" w:rsidRDefault="00250FCC" w:rsidP="00BF5BE5">
      <w:pPr>
        <w:pStyle w:val="Titre4"/>
      </w:pPr>
      <w:r>
        <w:t>Dosage</w:t>
      </w:r>
    </w:p>
    <w:p w:rsidR="00250FCC" w:rsidRDefault="00250FCC" w:rsidP="00250FCC">
      <w:r>
        <w:t>Préférable de doser la fraction libre (car la variation de qtt de prot de transport fait varier la qtt globale de T3-T4 sans variation de fraction libre donc métaboliques)</w:t>
      </w:r>
    </w:p>
    <w:p w:rsidR="00250FCC" w:rsidRDefault="005F411B" w:rsidP="005F411B">
      <w:r>
        <w:rPr>
          <w:noProof/>
          <w:lang w:val="fr-FR" w:eastAsia="fr-FR"/>
        </w:rPr>
        <w:drawing>
          <wp:anchor distT="0" distB="0" distL="114300" distR="114300" simplePos="0" relativeHeight="251661312" behindDoc="0" locked="0" layoutInCell="1" allowOverlap="1" wp14:anchorId="5395479F" wp14:editId="20E97A8D">
            <wp:simplePos x="0" y="0"/>
            <wp:positionH relativeFrom="column">
              <wp:posOffset>4863465</wp:posOffset>
            </wp:positionH>
            <wp:positionV relativeFrom="paragraph">
              <wp:posOffset>96520</wp:posOffset>
            </wp:positionV>
            <wp:extent cx="1261745" cy="383540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38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0FCC">
        <w:t xml:space="preserve">Dosage difficile car </w:t>
      </w:r>
      <w:r>
        <w:t xml:space="preserve">dosage </w:t>
      </w:r>
      <w:r w:rsidR="00D60D54">
        <w:t>très</w:t>
      </w:r>
      <w:r>
        <w:t xml:space="preserve"> faible</w:t>
      </w:r>
      <w:r w:rsidR="00250FCC">
        <w:t xml:space="preserve"> </w:t>
      </w:r>
    </w:p>
    <w:p w:rsidR="00250FCC" w:rsidRDefault="005F411B" w:rsidP="00250FCC">
      <w:r>
        <w:t xml:space="preserve">Plusieurs techniques complexes pas expliquées ici… (sans </w:t>
      </w:r>
      <w:r w:rsidR="00D60D54">
        <w:t>intérêt</w:t>
      </w:r>
      <w:r>
        <w:t>)</w:t>
      </w:r>
    </w:p>
    <w:p w:rsidR="005F411B" w:rsidRDefault="00D60D54" w:rsidP="00BF5BE5">
      <w:pPr>
        <w:pStyle w:val="Titre4"/>
      </w:pPr>
      <w:r>
        <w:t>Pièges</w:t>
      </w:r>
      <w:r w:rsidR="005F411B">
        <w:t xml:space="preserve"> à </w:t>
      </w:r>
      <w:r>
        <w:t>éviter</w:t>
      </w:r>
      <w:r w:rsidR="005F411B">
        <w:t xml:space="preserve"> dans l’</w:t>
      </w:r>
      <w:r>
        <w:t>interprétation</w:t>
      </w:r>
      <w:r w:rsidR="005F411B">
        <w:t xml:space="preserve"> des </w:t>
      </w:r>
      <w:r>
        <w:t>résultats</w:t>
      </w:r>
    </w:p>
    <w:p w:rsidR="005F411B" w:rsidRDefault="005F411B" w:rsidP="005F411B">
      <w:r w:rsidRPr="002F6751">
        <w:rPr>
          <w:color w:val="FF0000"/>
        </w:rPr>
        <w:t>Artéfacts analytiques </w:t>
      </w:r>
      <w:r w:rsidR="00D60D54">
        <w:t>(auto</w:t>
      </w:r>
      <w:r>
        <w:t xml:space="preserve"> anticorps, </w:t>
      </w:r>
      <w:r w:rsidR="00D60D54">
        <w:t>réaction</w:t>
      </w:r>
      <w:r>
        <w:t xml:space="preserve"> croisées, anomalie des prot </w:t>
      </w:r>
      <w:r w:rsidR="00D60D54">
        <w:t>Bla</w:t>
      </w:r>
      <w:r>
        <w:t xml:space="preserve"> </w:t>
      </w:r>
      <w:r w:rsidR="00D60D54">
        <w:t>Bla</w:t>
      </w:r>
      <w:r>
        <w:t xml:space="preserve"> </w:t>
      </w:r>
      <w:r w:rsidR="00D60D54">
        <w:t>Bla</w:t>
      </w:r>
      <w:r>
        <w:t>)</w:t>
      </w:r>
    </w:p>
    <w:p w:rsidR="00F46201" w:rsidRDefault="00D60D54" w:rsidP="005F411B">
      <w:r w:rsidRPr="002F6751">
        <w:rPr>
          <w:color w:val="FF0000"/>
        </w:rPr>
        <w:t>Interférences</w:t>
      </w:r>
      <w:r w:rsidR="005F411B" w:rsidRPr="002F6751">
        <w:rPr>
          <w:color w:val="FF0000"/>
        </w:rPr>
        <w:t xml:space="preserve"> </w:t>
      </w:r>
      <w:r w:rsidRPr="002F6751">
        <w:rPr>
          <w:color w:val="FF0000"/>
        </w:rPr>
        <w:t>médicamenteuses</w:t>
      </w:r>
      <w:r w:rsidR="00F46201" w:rsidRPr="002F6751">
        <w:rPr>
          <w:color w:val="FF0000"/>
        </w:rPr>
        <w:t> </w:t>
      </w:r>
      <w:r w:rsidR="00F46201">
        <w:t>:</w:t>
      </w:r>
    </w:p>
    <w:p w:rsidR="005F411B" w:rsidRPr="00F46201" w:rsidRDefault="00D60D54" w:rsidP="00F46201">
      <w:pPr>
        <w:pStyle w:val="Style1"/>
      </w:pPr>
      <w:r>
        <w:t>Compétition</w:t>
      </w:r>
      <w:r w:rsidR="00F46201">
        <w:t xml:space="preserve"> de liaison avec les prot de transport </w:t>
      </w:r>
      <w:r w:rsidR="00F46201" w:rsidRPr="000F416B">
        <w:rPr>
          <w:rFonts w:ascii="Cambria" w:hAnsi="Cambria"/>
        </w:rPr>
        <w:t>↗</w:t>
      </w:r>
      <w:r w:rsidR="00F46201">
        <w:rPr>
          <w:rFonts w:ascii="Cambria" w:hAnsi="Cambria"/>
        </w:rPr>
        <w:t xml:space="preserve"> T3-4 libre</w:t>
      </w:r>
    </w:p>
    <w:p w:rsidR="00F46201" w:rsidRPr="00F46201" w:rsidRDefault="00F46201" w:rsidP="00F46201">
      <w:pPr>
        <w:pStyle w:val="Style1"/>
      </w:pPr>
      <w:r>
        <w:rPr>
          <w:rFonts w:ascii="Cambria" w:hAnsi="Cambria"/>
        </w:rPr>
        <w:t>AINS</w:t>
      </w:r>
    </w:p>
    <w:p w:rsidR="00F46201" w:rsidRPr="00F46201" w:rsidRDefault="00F46201" w:rsidP="00F46201">
      <w:pPr>
        <w:pStyle w:val="Style1"/>
      </w:pPr>
      <w:r>
        <w:rPr>
          <w:rFonts w:ascii="Cambria" w:hAnsi="Cambria"/>
        </w:rPr>
        <w:t>Inhibiteurs de la 5’désiodase (T4</w:t>
      </w:r>
      <w:r w:rsidRPr="00F46201">
        <w:rPr>
          <w:rFonts w:ascii="Cambria" w:hAnsi="Cambria"/>
        </w:rPr>
        <w:t>→</w:t>
      </w:r>
      <w:r>
        <w:rPr>
          <w:rFonts w:ascii="Cambria" w:hAnsi="Cambria"/>
        </w:rPr>
        <w:t xml:space="preserve">T3) (amiodarone, dexamethasone, </w:t>
      </w:r>
      <w:r w:rsidR="00D60D54">
        <w:rPr>
          <w:rFonts w:ascii="Cambria" w:hAnsi="Cambria"/>
        </w:rPr>
        <w:t>glucocorticoïdes...)</w:t>
      </w:r>
    </w:p>
    <w:p w:rsidR="00F46201" w:rsidRPr="00F46201" w:rsidRDefault="00F46201" w:rsidP="00F46201">
      <w:pPr>
        <w:pStyle w:val="Style1"/>
      </w:pPr>
      <w:r>
        <w:rPr>
          <w:rFonts w:ascii="Cambria" w:hAnsi="Cambria"/>
        </w:rPr>
        <w:t>Inducteurs enzymatiques (</w:t>
      </w:r>
      <w:r w:rsidRPr="00F46201">
        <w:rPr>
          <w:rFonts w:ascii="Cambria" w:hAnsi="Cambria"/>
        </w:rPr>
        <w:t>↗</w:t>
      </w:r>
      <w:r>
        <w:rPr>
          <w:rFonts w:ascii="Cambria" w:hAnsi="Cambria"/>
        </w:rPr>
        <w:t xml:space="preserve"> la clairance </w:t>
      </w:r>
      <w:r w:rsidR="00D60D54">
        <w:rPr>
          <w:rFonts w:ascii="Cambria" w:hAnsi="Cambria"/>
        </w:rPr>
        <w:t>métabolique</w:t>
      </w:r>
      <w:r>
        <w:rPr>
          <w:rFonts w:ascii="Cambria" w:hAnsi="Cambria"/>
        </w:rPr>
        <w:t xml:space="preserve"> de T3-4 mais normalement la </w:t>
      </w:r>
      <w:r w:rsidR="00D60D54">
        <w:rPr>
          <w:rFonts w:ascii="Cambria" w:hAnsi="Cambria"/>
        </w:rPr>
        <w:t>thyroïde</w:t>
      </w:r>
      <w:r>
        <w:rPr>
          <w:rFonts w:ascii="Cambria" w:hAnsi="Cambria"/>
        </w:rPr>
        <w:t xml:space="preserve"> compense)</w:t>
      </w:r>
    </w:p>
    <w:p w:rsidR="00F46201" w:rsidRDefault="00F46201" w:rsidP="00F46201">
      <w:r w:rsidRPr="002F6751">
        <w:rPr>
          <w:color w:val="FF0000"/>
        </w:rPr>
        <w:t xml:space="preserve">Variations pathologiques non </w:t>
      </w:r>
      <w:r w:rsidR="00D60D54" w:rsidRPr="002F6751">
        <w:rPr>
          <w:color w:val="FF0000"/>
        </w:rPr>
        <w:t>thyroïdiennes</w:t>
      </w:r>
      <w:r w:rsidRPr="002F6751">
        <w:rPr>
          <w:color w:val="FF0000"/>
        </w:rPr>
        <w:t> </w:t>
      </w:r>
      <w:r>
        <w:t>:</w:t>
      </w:r>
    </w:p>
    <w:p w:rsidR="00F46201" w:rsidRDefault="00117E83" w:rsidP="00F46201">
      <w:pPr>
        <w:pStyle w:val="Style1"/>
      </w:pPr>
      <w:r>
        <w:t xml:space="preserve">Maladie non </w:t>
      </w:r>
      <w:r w:rsidR="00D60D54">
        <w:t>thyroïdienne</w:t>
      </w:r>
      <w:r>
        <w:t xml:space="preserve"> </w:t>
      </w:r>
      <w:r w:rsidR="00D60D54">
        <w:t>sévère</w:t>
      </w:r>
      <w:r>
        <w:t xml:space="preserve"> (IH, IR, cirrhose, </w:t>
      </w:r>
      <w:r w:rsidR="00D60D54">
        <w:t>diabète</w:t>
      </w:r>
      <w:r>
        <w:t>)= $ de basse T3 et/ou T4</w:t>
      </w:r>
    </w:p>
    <w:p w:rsidR="00117E83" w:rsidRDefault="00D60D54" w:rsidP="00F46201">
      <w:pPr>
        <w:pStyle w:val="Style1"/>
      </w:pPr>
      <w:r>
        <w:t>Dénutrition</w:t>
      </w:r>
      <w:r w:rsidR="00117E83">
        <w:t>, jeûne : $ de basse T3</w:t>
      </w:r>
    </w:p>
    <w:p w:rsidR="00117E83" w:rsidRDefault="00D60D54" w:rsidP="00BF5BE5">
      <w:pPr>
        <w:pStyle w:val="Titre4"/>
      </w:pPr>
      <w:r>
        <w:t>Intérêt</w:t>
      </w:r>
      <w:r w:rsidR="00117E83">
        <w:t xml:space="preserve"> clinique du dosage T3-4</w:t>
      </w:r>
    </w:p>
    <w:p w:rsidR="00117E83" w:rsidRDefault="00117E83" w:rsidP="00117E83">
      <w:r>
        <w:t xml:space="preserve">Permet de confirmer une dysthyroidie devant des signes cliniques et une TSH anormale </w:t>
      </w:r>
    </w:p>
    <w:p w:rsidR="00117E83" w:rsidRDefault="00117E83" w:rsidP="00117E83">
      <w:r>
        <w:t xml:space="preserve">Suivit ttt de </w:t>
      </w:r>
      <w:r w:rsidR="00D60D54">
        <w:t>dysthyroidie</w:t>
      </w:r>
    </w:p>
    <w:p w:rsidR="00117E83" w:rsidRPr="005F411B" w:rsidRDefault="00117E83" w:rsidP="00117E83">
      <w:pPr>
        <w:numPr>
          <w:ilvl w:val="0"/>
          <w:numId w:val="0"/>
        </w:numPr>
        <w:ind w:left="720" w:hanging="360"/>
      </w:pPr>
    </w:p>
    <w:p w:rsidR="003E0B8A" w:rsidRDefault="003E0B8A" w:rsidP="00BF5BE5">
      <w:pPr>
        <w:pStyle w:val="Titre3"/>
      </w:pPr>
      <w:r>
        <w:t>iode</w:t>
      </w:r>
    </w:p>
    <w:p w:rsidR="00117E83" w:rsidRDefault="00117E83" w:rsidP="00117E83">
      <w:r>
        <w:t xml:space="preserve">En temps normale </w:t>
      </w:r>
      <w:r w:rsidR="00D60D54">
        <w:t>excrétion</w:t>
      </w:r>
      <w:r>
        <w:t xml:space="preserve"> ~apports</w:t>
      </w:r>
    </w:p>
    <w:p w:rsidR="00117E83" w:rsidRDefault="00117E83" w:rsidP="00117E83">
      <w:r>
        <w:t xml:space="preserve">Dosage par </w:t>
      </w:r>
      <w:r w:rsidR="00D60D54">
        <w:t>calorimètre</w:t>
      </w:r>
    </w:p>
    <w:p w:rsidR="00117E83" w:rsidRDefault="00D60D54" w:rsidP="00117E83">
      <w:r>
        <w:t>Intérêt</w:t>
      </w:r>
      <w:r w:rsidR="00117E83">
        <w:t xml:space="preserve"> : </w:t>
      </w:r>
    </w:p>
    <w:p w:rsidR="00117E83" w:rsidRDefault="002221ED" w:rsidP="00117E83">
      <w:pPr>
        <w:pStyle w:val="Style1"/>
      </w:pPr>
      <w:r>
        <w:t xml:space="preserve">Mettre en </w:t>
      </w:r>
      <w:r w:rsidR="00D60D54">
        <w:t>évidence</w:t>
      </w:r>
      <w:r>
        <w:t xml:space="preserve"> une surcharge</w:t>
      </w:r>
    </w:p>
    <w:p w:rsidR="002221ED" w:rsidRDefault="002221ED" w:rsidP="00117E83">
      <w:pPr>
        <w:pStyle w:val="Style1"/>
      </w:pPr>
      <w:r>
        <w:t xml:space="preserve">Contrôle d’une </w:t>
      </w:r>
      <w:r w:rsidR="00D60D54">
        <w:t>éventuelle</w:t>
      </w:r>
      <w:r>
        <w:t xml:space="preserve"> surcharge avant un ttt par iode </w:t>
      </w:r>
      <w:r w:rsidR="00D60D54">
        <w:t>radioactif</w:t>
      </w:r>
    </w:p>
    <w:p w:rsidR="002221ED" w:rsidRDefault="002221ED" w:rsidP="00117E83">
      <w:pPr>
        <w:pStyle w:val="Style1"/>
      </w:pPr>
      <w:r>
        <w:t xml:space="preserve">Recherche de </w:t>
      </w:r>
      <w:r w:rsidR="00D60D54">
        <w:t>carence</w:t>
      </w:r>
      <w:r>
        <w:t xml:space="preserve"> en iode</w:t>
      </w:r>
    </w:p>
    <w:p w:rsidR="002221ED" w:rsidRPr="00117E83" w:rsidRDefault="002221ED" w:rsidP="00117E83">
      <w:pPr>
        <w:pStyle w:val="Style1"/>
      </w:pPr>
      <w:r>
        <w:t>Evaluation des apports</w:t>
      </w:r>
    </w:p>
    <w:p w:rsidR="003E0B8A" w:rsidRDefault="003E0B8A" w:rsidP="00BF5BE5">
      <w:pPr>
        <w:pStyle w:val="Titre3"/>
      </w:pPr>
      <w:r>
        <w:t>Ac anti-thyroidiens</w:t>
      </w:r>
    </w:p>
    <w:p w:rsidR="002221ED" w:rsidRDefault="002221ED" w:rsidP="002221ED">
      <w:r>
        <w:t>Dirigés contre :</w:t>
      </w:r>
    </w:p>
    <w:p w:rsidR="002221ED" w:rsidRDefault="002221ED" w:rsidP="002221ED">
      <w:pPr>
        <w:pStyle w:val="Style1"/>
      </w:pPr>
      <w:r>
        <w:t xml:space="preserve">TG </w:t>
      </w:r>
    </w:p>
    <w:p w:rsidR="002221ED" w:rsidRDefault="002221ED" w:rsidP="002221ED">
      <w:pPr>
        <w:pStyle w:val="Style1"/>
      </w:pPr>
      <w:r>
        <w:t>Thyréoperoxydase TPO</w:t>
      </w:r>
    </w:p>
    <w:p w:rsidR="002221ED" w:rsidRDefault="002221ED" w:rsidP="002221ED">
      <w:pPr>
        <w:pStyle w:val="Style1"/>
      </w:pPr>
      <w:r>
        <w:t xml:space="preserve">Ou </w:t>
      </w:r>
      <w:r w:rsidR="00D60D54">
        <w:t>récepteurs</w:t>
      </w:r>
      <w:r>
        <w:t xml:space="preserve"> TSH</w:t>
      </w:r>
    </w:p>
    <w:p w:rsidR="002221ED" w:rsidRPr="002221ED" w:rsidRDefault="00D60D54" w:rsidP="002221ED">
      <w:r>
        <w:t>Intérêt</w:t>
      </w:r>
      <w:r w:rsidR="002221ED">
        <w:t xml:space="preserve"> dans diagnostic des </w:t>
      </w:r>
      <w:r w:rsidR="002221ED" w:rsidRPr="002F6751">
        <w:rPr>
          <w:color w:val="FF0000"/>
        </w:rPr>
        <w:t xml:space="preserve">MAI </w:t>
      </w:r>
      <w:r w:rsidRPr="002F6751">
        <w:rPr>
          <w:color w:val="FF0000"/>
        </w:rPr>
        <w:t>thyroïdiennes</w:t>
      </w:r>
    </w:p>
    <w:p w:rsidR="003E0B8A" w:rsidRDefault="002221ED" w:rsidP="002221ED">
      <w:pPr>
        <w:pStyle w:val="Titre2"/>
      </w:pPr>
      <w:r>
        <w:t>imagerie medicale</w:t>
      </w:r>
    </w:p>
    <w:p w:rsidR="002221ED" w:rsidRDefault="00BF5BE5" w:rsidP="00BF5BE5">
      <w:pPr>
        <w:pStyle w:val="Titre3"/>
        <w:numPr>
          <w:ilvl w:val="0"/>
          <w:numId w:val="31"/>
        </w:numPr>
      </w:pPr>
      <w:r>
        <w:t>echographie :</w:t>
      </w:r>
    </w:p>
    <w:p w:rsidR="00BF5BE5" w:rsidRDefault="00BF5BE5" w:rsidP="00BF5BE5">
      <w:r>
        <w:t>Indication :</w:t>
      </w:r>
    </w:p>
    <w:p w:rsidR="00BF5BE5" w:rsidRDefault="00BF5BE5" w:rsidP="00BF5BE5">
      <w:pPr>
        <w:pStyle w:val="Style1"/>
      </w:pPr>
      <w:r>
        <w:t xml:space="preserve">Observation </w:t>
      </w:r>
      <w:r w:rsidRPr="002F6751">
        <w:rPr>
          <w:color w:val="FF0000"/>
        </w:rPr>
        <w:t xml:space="preserve">morphologie </w:t>
      </w:r>
      <w:r>
        <w:t>de la gld</w:t>
      </w:r>
    </w:p>
    <w:p w:rsidR="00BF5BE5" w:rsidRDefault="00BF5BE5" w:rsidP="00BF5BE5">
      <w:pPr>
        <w:pStyle w:val="Style1"/>
      </w:pPr>
      <w:r w:rsidRPr="002F6751">
        <w:rPr>
          <w:color w:val="FF0000"/>
        </w:rPr>
        <w:t xml:space="preserve">Description </w:t>
      </w:r>
      <w:r>
        <w:t xml:space="preserve">d’un </w:t>
      </w:r>
      <w:r w:rsidRPr="002F6751">
        <w:rPr>
          <w:color w:val="FF0000"/>
        </w:rPr>
        <w:t xml:space="preserve">nodule </w:t>
      </w:r>
      <w:r>
        <w:t xml:space="preserve">palpé (taille, liquide, solide) et recherche </w:t>
      </w:r>
      <w:r w:rsidR="00D60D54">
        <w:t>d’autres nodules</w:t>
      </w:r>
    </w:p>
    <w:p w:rsidR="00BF5BE5" w:rsidRDefault="00BF5BE5" w:rsidP="00BF5BE5">
      <w:pPr>
        <w:pStyle w:val="Style1"/>
      </w:pPr>
      <w:r w:rsidRPr="002F6751">
        <w:rPr>
          <w:color w:val="FF0000"/>
        </w:rPr>
        <w:t xml:space="preserve">Guidage </w:t>
      </w:r>
      <w:r>
        <w:t>de cytoponction nodulaire</w:t>
      </w:r>
    </w:p>
    <w:p w:rsidR="00BF5BE5" w:rsidRDefault="00BF5BE5" w:rsidP="00BF5BE5">
      <w:pPr>
        <w:pStyle w:val="Titre3"/>
      </w:pPr>
      <w:r>
        <w:t>scintigraphie</w:t>
      </w:r>
    </w:p>
    <w:p w:rsidR="00BF5BE5" w:rsidRDefault="00BF5BE5" w:rsidP="00BF5BE5">
      <w:r>
        <w:t>Principe : traceur= Iode 123</w:t>
      </w:r>
    </w:p>
    <w:p w:rsidR="00BF5BE5" w:rsidRDefault="00BF5BE5" w:rsidP="00BF5BE5">
      <w:r>
        <w:t>Indications :</w:t>
      </w:r>
    </w:p>
    <w:p w:rsidR="00BF5BE5" w:rsidRDefault="00BF5BE5" w:rsidP="00BF5BE5">
      <w:pPr>
        <w:pStyle w:val="Style1"/>
      </w:pPr>
      <w:r>
        <w:t xml:space="preserve">Examen </w:t>
      </w:r>
      <w:r w:rsidRPr="002F6751">
        <w:rPr>
          <w:color w:val="FF0000"/>
        </w:rPr>
        <w:t xml:space="preserve">fonctionnel </w:t>
      </w:r>
      <w:r>
        <w:t>d’un nodule (froid ou chaud)</w:t>
      </w:r>
    </w:p>
    <w:p w:rsidR="00BF5BE5" w:rsidRDefault="00D60D54" w:rsidP="00BF5BE5">
      <w:pPr>
        <w:pStyle w:val="Style1"/>
      </w:pPr>
      <w:r>
        <w:t>Préciser</w:t>
      </w:r>
      <w:r w:rsidR="00BF5BE5">
        <w:t xml:space="preserve"> la nature </w:t>
      </w:r>
      <w:r>
        <w:t>d’une</w:t>
      </w:r>
      <w:r w:rsidR="00BF5BE5">
        <w:t xml:space="preserve"> </w:t>
      </w:r>
      <w:r w:rsidR="00BF5BE5" w:rsidRPr="002F6751">
        <w:rPr>
          <w:color w:val="FF0000"/>
        </w:rPr>
        <w:t xml:space="preserve">dysgénésie </w:t>
      </w:r>
      <w:r>
        <w:t>thyroïdienne</w:t>
      </w:r>
    </w:p>
    <w:p w:rsidR="00BF5BE5" w:rsidRDefault="00BF5BE5" w:rsidP="00BF5BE5">
      <w:pPr>
        <w:pStyle w:val="Style1"/>
      </w:pPr>
      <w:r>
        <w:t>Suivit cancer</w:t>
      </w:r>
    </w:p>
    <w:p w:rsidR="00234FB4" w:rsidRDefault="00234FB4" w:rsidP="00234FB4">
      <w:pPr>
        <w:pStyle w:val="Style1"/>
        <w:numPr>
          <w:ilvl w:val="0"/>
          <w:numId w:val="0"/>
        </w:numPr>
        <w:ind w:left="2136" w:hanging="360"/>
      </w:pPr>
      <w:bookmarkStart w:id="0" w:name="_GoBack"/>
      <w:bookmarkEnd w:id="0"/>
    </w:p>
    <w:p w:rsidR="00C10CFE" w:rsidRPr="00AD565E" w:rsidRDefault="00C10CFE" w:rsidP="00C10CFE">
      <w:pPr>
        <w:pStyle w:val="Style1"/>
        <w:numPr>
          <w:ilvl w:val="0"/>
          <w:numId w:val="0"/>
        </w:numPr>
        <w:ind w:left="2136" w:hanging="360"/>
      </w:pPr>
    </w:p>
    <w:p w:rsidR="0016777B" w:rsidRPr="0016777B" w:rsidRDefault="0016777B" w:rsidP="0016777B">
      <w:pPr>
        <w:numPr>
          <w:ilvl w:val="0"/>
          <w:numId w:val="0"/>
        </w:numPr>
        <w:ind w:left="720" w:hanging="360"/>
      </w:pPr>
    </w:p>
    <w:p w:rsidR="008C1E51" w:rsidRPr="008C1E51" w:rsidRDefault="008C1E51" w:rsidP="008C1E51">
      <w:pPr>
        <w:numPr>
          <w:ilvl w:val="0"/>
          <w:numId w:val="0"/>
        </w:numPr>
        <w:ind w:left="720" w:hanging="360"/>
      </w:pPr>
    </w:p>
    <w:sectPr w:rsidR="008C1E51" w:rsidRPr="008C1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36D04CF0"/>
    <w:lvl w:ilvl="0" w:tplc="0548FCDE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ED4C1D94"/>
    <w:lvl w:ilvl="0" w:tplc="131ED492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4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4"/>
    <w:lvlOverride w:ilvl="0">
      <w:startOverride w:val="1"/>
    </w:lvlOverride>
  </w:num>
  <w:num w:numId="31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B63"/>
    <w:rsid w:val="00020BDF"/>
    <w:rsid w:val="0011649A"/>
    <w:rsid w:val="00117E83"/>
    <w:rsid w:val="0016777B"/>
    <w:rsid w:val="002221ED"/>
    <w:rsid w:val="00234FB4"/>
    <w:rsid w:val="00250FCC"/>
    <w:rsid w:val="00252B06"/>
    <w:rsid w:val="002F6751"/>
    <w:rsid w:val="00390DEB"/>
    <w:rsid w:val="003E0B8A"/>
    <w:rsid w:val="004D060E"/>
    <w:rsid w:val="005F411B"/>
    <w:rsid w:val="00691289"/>
    <w:rsid w:val="00820F06"/>
    <w:rsid w:val="008434C4"/>
    <w:rsid w:val="008509AA"/>
    <w:rsid w:val="008C1E51"/>
    <w:rsid w:val="0098622F"/>
    <w:rsid w:val="00A73260"/>
    <w:rsid w:val="00AD565E"/>
    <w:rsid w:val="00B30B32"/>
    <w:rsid w:val="00B34B63"/>
    <w:rsid w:val="00BD5BD5"/>
    <w:rsid w:val="00BD7184"/>
    <w:rsid w:val="00BF5BE5"/>
    <w:rsid w:val="00C10CFE"/>
    <w:rsid w:val="00C91BBC"/>
    <w:rsid w:val="00D13263"/>
    <w:rsid w:val="00D1585F"/>
    <w:rsid w:val="00D5507D"/>
    <w:rsid w:val="00D60D54"/>
    <w:rsid w:val="00DE11B9"/>
    <w:rsid w:val="00F46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BF5BE5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250FCC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BF5BE5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250FC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20F0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0F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BF5BE5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250FCC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BF5BE5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250FCC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20F06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0F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D173-4B68-4796-806B-5495AC575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861</Words>
  <Characters>4741</Characters>
  <Application>Microsoft Office Word</Application>
  <DocSecurity>0</DocSecurity>
  <Lines>39</Lines>
  <Paragraphs>11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15</vt:i4>
      </vt:variant>
    </vt:vector>
  </HeadingPairs>
  <TitlesOfParts>
    <vt:vector size="16" baseType="lpstr">
      <vt:lpstr/>
      <vt:lpstr>la thyroide</vt:lpstr>
      <vt:lpstr>    physiologie de la thyroide</vt:lpstr>
      <vt:lpstr>        /anatomie</vt:lpstr>
      <vt:lpstr>        /$ des hormones thyroidiennes</vt:lpstr>
      <vt:lpstr>        distribution et metabolisme :</vt:lpstr>
      <vt:lpstr>        /regulation de la secretion</vt:lpstr>
      <vt:lpstr>        effets biologiques</vt:lpstr>
      <vt:lpstr>    exploration biologiques</vt:lpstr>
      <vt:lpstr>        TSH</vt:lpstr>
      <vt:lpstr>        T3-T4</vt:lpstr>
      <vt:lpstr>        iode</vt:lpstr>
      <vt:lpstr>        Ac anti-thyroidiens</vt:lpstr>
      <vt:lpstr>    imagerie medicale</vt:lpstr>
      <vt:lpstr>        echographie :</vt:lpstr>
      <vt:lpstr>        scintigraphie</vt:lpstr>
    </vt:vector>
  </TitlesOfParts>
  <Company/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2012-06-11T15:55:00Z</dcterms:created>
  <dcterms:modified xsi:type="dcterms:W3CDTF">2012-06-11T18:54:00Z</dcterms:modified>
</cp:coreProperties>
</file>